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89040B">
      <w:pPr>
        <w:pStyle w:val="11"/>
        <w:keepNext w:val="0"/>
        <w:keepLines w:val="0"/>
        <w:pageBreakBefore w:val="0"/>
        <w:kinsoku/>
        <w:wordWrap w:val="0"/>
        <w:overflowPunct/>
        <w:topLinePunct/>
        <w:autoSpaceDE/>
        <w:autoSpaceDN/>
        <w:bidi w:val="0"/>
        <w:adjustRightInd w:val="0"/>
        <w:snapToGrid w:val="0"/>
        <w:spacing w:line="244" w:lineRule="auto"/>
        <w:textAlignment w:val="baseline"/>
        <w:rPr>
          <w:rFonts w:hint="default" w:ascii="Times New Roman" w:hAnsi="Times New Roman" w:cs="Times New Roman"/>
          <w:color w:val="auto"/>
          <w:highlight w:val="none"/>
        </w:rPr>
      </w:pPr>
    </w:p>
    <w:p w14:paraId="221FE918">
      <w:pPr>
        <w:pStyle w:val="11"/>
        <w:keepNext w:val="0"/>
        <w:keepLines w:val="0"/>
        <w:pageBreakBefore w:val="0"/>
        <w:kinsoku/>
        <w:wordWrap w:val="0"/>
        <w:overflowPunct/>
        <w:topLinePunct/>
        <w:autoSpaceDE/>
        <w:autoSpaceDN/>
        <w:bidi w:val="0"/>
        <w:adjustRightInd w:val="0"/>
        <w:snapToGrid w:val="0"/>
        <w:spacing w:line="244" w:lineRule="auto"/>
        <w:textAlignment w:val="baseline"/>
        <w:rPr>
          <w:rFonts w:hint="default" w:ascii="Times New Roman" w:hAnsi="Times New Roman" w:cs="Times New Roman"/>
          <w:color w:val="auto"/>
          <w:highlight w:val="none"/>
        </w:rPr>
      </w:pPr>
    </w:p>
    <w:p w14:paraId="3559A90A">
      <w:pPr>
        <w:pStyle w:val="11"/>
        <w:keepNext w:val="0"/>
        <w:keepLines w:val="0"/>
        <w:pageBreakBefore w:val="0"/>
        <w:kinsoku/>
        <w:wordWrap w:val="0"/>
        <w:overflowPunct/>
        <w:topLinePunct/>
        <w:autoSpaceDE/>
        <w:autoSpaceDN/>
        <w:bidi w:val="0"/>
        <w:adjustRightInd w:val="0"/>
        <w:snapToGrid w:val="0"/>
        <w:spacing w:line="245" w:lineRule="auto"/>
        <w:textAlignment w:val="baseline"/>
        <w:rPr>
          <w:rFonts w:hint="default" w:ascii="Times New Roman" w:hAnsi="Times New Roman" w:cs="Times New Roman"/>
          <w:color w:val="auto"/>
          <w:highlight w:val="none"/>
        </w:rPr>
      </w:pPr>
    </w:p>
    <w:p w14:paraId="7F975E4C">
      <w:pPr>
        <w:pStyle w:val="11"/>
        <w:keepNext w:val="0"/>
        <w:keepLines w:val="0"/>
        <w:pageBreakBefore w:val="0"/>
        <w:kinsoku/>
        <w:wordWrap w:val="0"/>
        <w:overflowPunct/>
        <w:topLinePunct/>
        <w:autoSpaceDE/>
        <w:autoSpaceDN/>
        <w:bidi w:val="0"/>
        <w:adjustRightInd w:val="0"/>
        <w:snapToGrid w:val="0"/>
        <w:spacing w:line="245" w:lineRule="auto"/>
        <w:textAlignment w:val="baseline"/>
        <w:rPr>
          <w:rFonts w:hint="default" w:ascii="Times New Roman" w:hAnsi="Times New Roman" w:cs="Times New Roman"/>
          <w:color w:val="auto"/>
          <w:highlight w:val="none"/>
        </w:rPr>
      </w:pPr>
    </w:p>
    <w:p w14:paraId="07F06B50">
      <w:pPr>
        <w:pStyle w:val="11"/>
        <w:keepNext w:val="0"/>
        <w:keepLines w:val="0"/>
        <w:pageBreakBefore w:val="0"/>
        <w:kinsoku/>
        <w:wordWrap w:val="0"/>
        <w:overflowPunct/>
        <w:topLinePunct/>
        <w:autoSpaceDE/>
        <w:autoSpaceDN/>
        <w:bidi w:val="0"/>
        <w:adjustRightInd w:val="0"/>
        <w:snapToGrid w:val="0"/>
        <w:spacing w:line="245" w:lineRule="auto"/>
        <w:textAlignment w:val="baseline"/>
        <w:rPr>
          <w:rFonts w:hint="default" w:ascii="Times New Roman" w:hAnsi="Times New Roman" w:cs="Times New Roman"/>
          <w:color w:val="auto"/>
          <w:highlight w:val="none"/>
        </w:rPr>
      </w:pPr>
    </w:p>
    <w:p w14:paraId="1C40B9E1">
      <w:pPr>
        <w:pStyle w:val="11"/>
        <w:keepNext w:val="0"/>
        <w:keepLines w:val="0"/>
        <w:pageBreakBefore w:val="0"/>
        <w:kinsoku/>
        <w:wordWrap w:val="0"/>
        <w:overflowPunct/>
        <w:topLinePunct/>
        <w:autoSpaceDE/>
        <w:autoSpaceDN/>
        <w:bidi w:val="0"/>
        <w:adjustRightInd w:val="0"/>
        <w:snapToGrid w:val="0"/>
        <w:spacing w:line="245" w:lineRule="auto"/>
        <w:jc w:val="center"/>
        <w:textAlignment w:val="baseline"/>
        <w:rPr>
          <w:rFonts w:hint="default" w:ascii="Times New Roman" w:hAnsi="Times New Roman" w:cs="Times New Roman"/>
          <w:color w:val="auto"/>
          <w:highlight w:val="none"/>
        </w:rPr>
      </w:pPr>
    </w:p>
    <w:p w14:paraId="5DDFFFD5">
      <w:pPr>
        <w:pStyle w:val="11"/>
        <w:keepNext w:val="0"/>
        <w:keepLines w:val="0"/>
        <w:pageBreakBefore w:val="0"/>
        <w:kinsoku/>
        <w:wordWrap w:val="0"/>
        <w:overflowPunct/>
        <w:topLinePunct/>
        <w:autoSpaceDE/>
        <w:autoSpaceDN/>
        <w:bidi w:val="0"/>
        <w:adjustRightInd w:val="0"/>
        <w:snapToGrid w:val="0"/>
        <w:spacing w:line="245" w:lineRule="auto"/>
        <w:jc w:val="center"/>
        <w:textAlignment w:val="baseline"/>
        <w:rPr>
          <w:rFonts w:hint="default" w:ascii="Times New Roman" w:hAnsi="Times New Roman" w:cs="Times New Roman"/>
          <w:color w:val="auto"/>
          <w:highlight w:val="none"/>
        </w:rPr>
      </w:pPr>
    </w:p>
    <w:p w14:paraId="7CECC080">
      <w:pPr>
        <w:keepNext w:val="0"/>
        <w:keepLines w:val="0"/>
        <w:pageBreakBefore w:val="0"/>
        <w:kinsoku/>
        <w:wordWrap w:val="0"/>
        <w:overflowPunct/>
        <w:topLinePunct/>
        <w:autoSpaceDE/>
        <w:autoSpaceDN/>
        <w:bidi w:val="0"/>
        <w:adjustRightInd w:val="0"/>
        <w:snapToGrid w:val="0"/>
        <w:spacing w:before="179" w:line="275" w:lineRule="auto"/>
        <w:jc w:val="center"/>
        <w:textAlignment w:val="baseline"/>
        <w:outlineLvl w:val="9"/>
        <w:rPr>
          <w:rFonts w:hint="default" w:ascii="Times New Roman" w:hAnsi="Times New Roman" w:eastAsia="Arial" w:cs="Times New Roman"/>
          <w:b/>
          <w:snapToGrid w:val="0"/>
          <w:color w:val="auto"/>
          <w:spacing w:val="46"/>
          <w:kern w:val="0"/>
          <w:sz w:val="72"/>
          <w:szCs w:val="96"/>
          <w:highlight w:val="none"/>
          <w:lang w:val="en-US" w:eastAsia="en-US" w:bidi="ar-SA"/>
        </w:rPr>
      </w:pPr>
      <w:bookmarkStart w:id="0" w:name="_Toc18931"/>
      <w:r>
        <w:rPr>
          <w:rFonts w:hint="default" w:ascii="Times New Roman" w:hAnsi="Times New Roman" w:eastAsia="Arial" w:cs="Times New Roman"/>
          <w:b/>
          <w:snapToGrid w:val="0"/>
          <w:color w:val="auto"/>
          <w:spacing w:val="46"/>
          <w:kern w:val="0"/>
          <w:sz w:val="72"/>
          <w:szCs w:val="96"/>
          <w:highlight w:val="none"/>
          <w:lang w:val="en-US" w:eastAsia="en-US" w:bidi="ar-SA"/>
        </w:rPr>
        <w:t>双鸭山市永胜农机合作社肉牛养殖基</w:t>
      </w:r>
      <w:r>
        <w:rPr>
          <w:rFonts w:hint="default" w:ascii="Times New Roman" w:hAnsi="Times New Roman" w:eastAsia="宋体" w:cs="Times New Roman"/>
          <w:b/>
          <w:snapToGrid w:val="0"/>
          <w:color w:val="auto"/>
          <w:spacing w:val="46"/>
          <w:kern w:val="0"/>
          <w:sz w:val="72"/>
          <w:szCs w:val="96"/>
          <w:highlight w:val="none"/>
          <w:lang w:val="en-US" w:eastAsia="zh-CN" w:bidi="ar-SA"/>
        </w:rPr>
        <w:t>地</w:t>
      </w:r>
      <w:r>
        <w:rPr>
          <w:rFonts w:hint="default" w:ascii="Times New Roman" w:hAnsi="Times New Roman" w:eastAsia="Arial" w:cs="Times New Roman"/>
          <w:b/>
          <w:snapToGrid w:val="0"/>
          <w:color w:val="auto"/>
          <w:spacing w:val="46"/>
          <w:kern w:val="0"/>
          <w:sz w:val="72"/>
          <w:szCs w:val="96"/>
          <w:highlight w:val="none"/>
          <w:lang w:val="en-US" w:eastAsia="en-US" w:bidi="ar-SA"/>
        </w:rPr>
        <w:t>项目</w:t>
      </w:r>
      <w:bookmarkEnd w:id="0"/>
    </w:p>
    <w:p w14:paraId="1866C8E5">
      <w:pPr>
        <w:pStyle w:val="11"/>
        <w:keepNext w:val="0"/>
        <w:keepLines w:val="0"/>
        <w:pageBreakBefore w:val="0"/>
        <w:kinsoku/>
        <w:wordWrap w:val="0"/>
        <w:overflowPunct/>
        <w:topLinePunct/>
        <w:autoSpaceDE/>
        <w:autoSpaceDN/>
        <w:bidi w:val="0"/>
        <w:adjustRightInd w:val="0"/>
        <w:snapToGrid w:val="0"/>
        <w:jc w:val="center"/>
        <w:textAlignment w:val="baseline"/>
        <w:rPr>
          <w:rFonts w:hint="default" w:ascii="Times New Roman" w:hAnsi="Times New Roman" w:cs="Times New Roman"/>
          <w:color w:val="auto"/>
          <w:highlight w:val="none"/>
        </w:rPr>
      </w:pPr>
      <w:r>
        <w:rPr>
          <w:rFonts w:hint="default" w:ascii="Times New Roman" w:hAnsi="Times New Roman" w:cs="Times New Roman"/>
          <w:b/>
          <w:color w:val="auto"/>
          <w:spacing w:val="46"/>
          <w:sz w:val="72"/>
          <w:szCs w:val="96"/>
          <w:highlight w:val="none"/>
        </w:rPr>
        <w:t>环境影响报告书</w:t>
      </w:r>
    </w:p>
    <w:p w14:paraId="486BDD15">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1F9D4507">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367AECD7">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5D5B128F">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521D34A9">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3C51EE3D">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729EBACA">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eastAsia="宋体" w:cs="Times New Roman"/>
          <w:color w:val="auto"/>
          <w:highlight w:val="none"/>
          <w:lang w:eastAsia="zh-CN"/>
        </w:rPr>
      </w:pPr>
    </w:p>
    <w:p w14:paraId="6A1A394E">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14FC2D56">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1D2DE6E7">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3C67880C">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55C7B038">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52E029AC">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2503EF2E">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6E113A03">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71373FC5">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70A93F5B">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637D14CE">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02426A60">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7F2541DE">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2B19C834">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54471A14">
      <w:pPr>
        <w:keepNext w:val="0"/>
        <w:keepLines w:val="0"/>
        <w:pageBreakBefore w:val="0"/>
        <w:kinsoku/>
        <w:wordWrap w:val="0"/>
        <w:overflowPunct/>
        <w:topLinePunct/>
        <w:autoSpaceDE/>
        <w:autoSpaceDN/>
        <w:bidi w:val="0"/>
        <w:adjustRightInd w:val="0"/>
        <w:snapToGrid w:val="0"/>
        <w:spacing w:before="97" w:line="219" w:lineRule="auto"/>
        <w:textAlignment w:val="baseline"/>
        <w:rPr>
          <w:rFonts w:hint="default" w:ascii="Times New Roman" w:hAnsi="Times New Roman" w:eastAsia="宋体" w:cs="Times New Roman"/>
          <w:color w:val="auto"/>
          <w:spacing w:val="-1"/>
          <w:sz w:val="30"/>
          <w:szCs w:val="30"/>
          <w:highlight w:val="none"/>
        </w:rPr>
      </w:pPr>
    </w:p>
    <w:p w14:paraId="786182F3">
      <w:pPr>
        <w:keepNext w:val="0"/>
        <w:keepLines w:val="0"/>
        <w:pageBreakBefore w:val="0"/>
        <w:kinsoku/>
        <w:wordWrap w:val="0"/>
        <w:overflowPunct/>
        <w:topLinePunct/>
        <w:autoSpaceDE/>
        <w:autoSpaceDN/>
        <w:bidi w:val="0"/>
        <w:adjustRightInd w:val="0"/>
        <w:snapToGrid w:val="0"/>
        <w:spacing w:before="97" w:line="219" w:lineRule="auto"/>
        <w:jc w:val="center"/>
        <w:textAlignment w:val="baseline"/>
        <w:rPr>
          <w:rFonts w:hint="default" w:ascii="Times New Roman" w:hAnsi="Times New Roman" w:eastAsia="宋体" w:cs="Times New Roman"/>
          <w:color w:val="auto"/>
          <w:sz w:val="30"/>
          <w:szCs w:val="30"/>
          <w:highlight w:val="none"/>
          <w:lang w:val="en-US" w:eastAsia="zh-CN"/>
        </w:rPr>
      </w:pPr>
      <w:r>
        <w:rPr>
          <w:rFonts w:hint="default" w:ascii="Times New Roman" w:hAnsi="Times New Roman" w:eastAsia="宋体" w:cs="Times New Roman"/>
          <w:color w:val="auto"/>
          <w:spacing w:val="-1"/>
          <w:sz w:val="30"/>
          <w:szCs w:val="30"/>
          <w:highlight w:val="none"/>
        </w:rPr>
        <w:t>建设单位（盖章</w:t>
      </w:r>
      <w:r>
        <w:rPr>
          <w:rFonts w:hint="default" w:ascii="Times New Roman" w:hAnsi="Times New Roman" w:eastAsia="宋体" w:cs="Times New Roman"/>
          <w:color w:val="auto"/>
          <w:spacing w:val="1"/>
          <w:sz w:val="30"/>
          <w:szCs w:val="30"/>
          <w:highlight w:val="none"/>
        </w:rPr>
        <w:t>）：双鸭山市永胜农机合作</w:t>
      </w:r>
      <w:r>
        <w:rPr>
          <w:rFonts w:hint="default" w:ascii="Times New Roman" w:hAnsi="Times New Roman" w:eastAsia="宋体" w:cs="Times New Roman"/>
          <w:color w:val="auto"/>
          <w:spacing w:val="1"/>
          <w:sz w:val="30"/>
          <w:szCs w:val="30"/>
          <w:highlight w:val="none"/>
          <w:lang w:val="en-US" w:eastAsia="zh-CN"/>
        </w:rPr>
        <w:t>社</w:t>
      </w:r>
    </w:p>
    <w:p w14:paraId="2599AEB4">
      <w:pPr>
        <w:keepNext w:val="0"/>
        <w:keepLines w:val="0"/>
        <w:pageBreakBefore w:val="0"/>
        <w:kinsoku/>
        <w:wordWrap w:val="0"/>
        <w:overflowPunct/>
        <w:topLinePunct/>
        <w:autoSpaceDE/>
        <w:autoSpaceDN/>
        <w:bidi w:val="0"/>
        <w:adjustRightInd w:val="0"/>
        <w:snapToGrid w:val="0"/>
        <w:spacing w:before="296" w:line="220" w:lineRule="auto"/>
        <w:jc w:val="center"/>
        <w:textAlignment w:val="baseline"/>
        <w:rPr>
          <w:rFonts w:hint="default" w:ascii="Times New Roman" w:hAnsi="Times New Roman" w:eastAsia="宋体" w:cs="Times New Roman"/>
          <w:color w:val="auto"/>
          <w:spacing w:val="-1"/>
          <w:sz w:val="30"/>
          <w:szCs w:val="30"/>
          <w:highlight w:val="none"/>
        </w:rPr>
      </w:pPr>
      <w:r>
        <w:rPr>
          <w:rFonts w:hint="default" w:ascii="Times New Roman" w:hAnsi="Times New Roman" w:eastAsia="宋体" w:cs="Times New Roman"/>
          <w:color w:val="auto"/>
          <w:spacing w:val="-1"/>
          <w:sz w:val="30"/>
          <w:szCs w:val="30"/>
          <w:highlight w:val="none"/>
        </w:rPr>
        <w:t>环评单位：黑龙江省科润工程咨询有限公司</w:t>
      </w:r>
    </w:p>
    <w:p w14:paraId="46740D5B">
      <w:pPr>
        <w:pStyle w:val="11"/>
        <w:keepNext w:val="0"/>
        <w:keepLines w:val="0"/>
        <w:pageBreakBefore w:val="0"/>
        <w:kinsoku/>
        <w:wordWrap w:val="0"/>
        <w:overflowPunct/>
        <w:topLinePunct/>
        <w:autoSpaceDE/>
        <w:autoSpaceDN/>
        <w:bidi w:val="0"/>
        <w:adjustRightInd w:val="0"/>
        <w:snapToGrid w:val="0"/>
        <w:spacing w:line="334" w:lineRule="auto"/>
        <w:textAlignment w:val="baseline"/>
        <w:rPr>
          <w:rFonts w:hint="default" w:ascii="Times New Roman" w:hAnsi="Times New Roman" w:cs="Times New Roman"/>
          <w:color w:val="auto"/>
          <w:highlight w:val="none"/>
        </w:rPr>
      </w:pPr>
    </w:p>
    <w:p w14:paraId="051E0DEC">
      <w:pPr>
        <w:pStyle w:val="11"/>
        <w:keepNext w:val="0"/>
        <w:keepLines w:val="0"/>
        <w:pageBreakBefore w:val="0"/>
        <w:kinsoku/>
        <w:wordWrap w:val="0"/>
        <w:overflowPunct/>
        <w:topLinePunct/>
        <w:autoSpaceDE/>
        <w:autoSpaceDN/>
        <w:bidi w:val="0"/>
        <w:adjustRightInd w:val="0"/>
        <w:snapToGrid w:val="0"/>
        <w:spacing w:line="335" w:lineRule="auto"/>
        <w:textAlignment w:val="baseline"/>
        <w:rPr>
          <w:rFonts w:hint="default" w:ascii="Times New Roman" w:hAnsi="Times New Roman" w:cs="Times New Roman"/>
          <w:color w:val="auto"/>
          <w:highlight w:val="none"/>
        </w:rPr>
      </w:pPr>
    </w:p>
    <w:p w14:paraId="2C058CA1">
      <w:pPr>
        <w:keepNext w:val="0"/>
        <w:keepLines w:val="0"/>
        <w:pageBreakBefore w:val="0"/>
        <w:kinsoku/>
        <w:wordWrap w:val="0"/>
        <w:overflowPunct/>
        <w:topLinePunct/>
        <w:autoSpaceDE/>
        <w:autoSpaceDN/>
        <w:bidi w:val="0"/>
        <w:adjustRightInd w:val="0"/>
        <w:snapToGrid w:val="0"/>
        <w:spacing w:before="100" w:line="225" w:lineRule="auto"/>
        <w:ind w:left="3207"/>
        <w:textAlignment w:val="baseline"/>
        <w:rPr>
          <w:rFonts w:hint="default" w:ascii="Times New Roman" w:hAnsi="Times New Roman" w:eastAsia="宋体" w:cs="Times New Roman"/>
          <w:color w:val="auto"/>
          <w:sz w:val="31"/>
          <w:szCs w:val="31"/>
          <w:highlight w:val="none"/>
        </w:rPr>
      </w:pPr>
      <w:r>
        <w:rPr>
          <w:rFonts w:hint="default" w:ascii="Times New Roman" w:hAnsi="Times New Roman" w:eastAsia="宋体" w:cs="Times New Roman"/>
          <w:color w:val="auto"/>
          <w:spacing w:val="7"/>
          <w:sz w:val="31"/>
          <w:szCs w:val="31"/>
          <w:highlight w:val="none"/>
        </w:rPr>
        <w:t>二〇二</w:t>
      </w:r>
      <w:r>
        <w:rPr>
          <w:rFonts w:hint="default" w:ascii="Times New Roman" w:hAnsi="Times New Roman" w:eastAsia="宋体" w:cs="Times New Roman"/>
          <w:color w:val="auto"/>
          <w:spacing w:val="7"/>
          <w:sz w:val="31"/>
          <w:szCs w:val="31"/>
          <w:highlight w:val="none"/>
          <w:lang w:val="en-US" w:eastAsia="zh-CN"/>
        </w:rPr>
        <w:t>五</w:t>
      </w:r>
      <w:r>
        <w:rPr>
          <w:rFonts w:hint="default" w:ascii="Times New Roman" w:hAnsi="Times New Roman" w:eastAsia="宋体" w:cs="Times New Roman"/>
          <w:color w:val="auto"/>
          <w:spacing w:val="7"/>
          <w:sz w:val="31"/>
          <w:szCs w:val="31"/>
          <w:highlight w:val="none"/>
        </w:rPr>
        <w:t>年</w:t>
      </w:r>
      <w:r>
        <w:rPr>
          <w:rFonts w:hint="eastAsia" w:ascii="Times New Roman" w:hAnsi="Times New Roman" w:eastAsia="宋体" w:cs="Times New Roman"/>
          <w:color w:val="auto"/>
          <w:spacing w:val="7"/>
          <w:sz w:val="31"/>
          <w:szCs w:val="31"/>
          <w:highlight w:val="none"/>
          <w:lang w:val="en-US" w:eastAsia="zh-CN"/>
        </w:rPr>
        <w:t>十</w:t>
      </w:r>
      <w:r>
        <w:rPr>
          <w:rFonts w:hint="default" w:ascii="Times New Roman" w:hAnsi="Times New Roman" w:eastAsia="宋体" w:cs="Times New Roman"/>
          <w:color w:val="auto"/>
          <w:spacing w:val="7"/>
          <w:sz w:val="31"/>
          <w:szCs w:val="31"/>
          <w:highlight w:val="none"/>
        </w:rPr>
        <w:t>月</w:t>
      </w:r>
    </w:p>
    <w:p w14:paraId="67C29DE9">
      <w:pPr>
        <w:rPr>
          <w:rFonts w:hint="default" w:ascii="Times New Roman" w:hAnsi="Times New Roman" w:eastAsia="宋体" w:cs="Times New Roman"/>
          <w:color w:val="auto"/>
          <w:sz w:val="31"/>
          <w:szCs w:val="31"/>
          <w:highlight w:val="none"/>
        </w:rPr>
      </w:pPr>
      <w:r>
        <w:rPr>
          <w:rFonts w:hint="default" w:ascii="Times New Roman" w:hAnsi="Times New Roman" w:eastAsia="宋体" w:cs="Times New Roman"/>
          <w:color w:val="auto"/>
          <w:sz w:val="31"/>
          <w:szCs w:val="31"/>
          <w:highlight w:val="none"/>
        </w:rPr>
        <w:br w:type="page"/>
      </w:r>
    </w:p>
    <w:p w14:paraId="75DF9498">
      <w:pPr>
        <w:rPr>
          <w:rFonts w:hint="default" w:ascii="Times New Roman" w:hAnsi="Times New Roman" w:eastAsia="宋体" w:cs="Times New Roman"/>
          <w:color w:val="auto"/>
          <w:sz w:val="31"/>
          <w:szCs w:val="31"/>
          <w:highlight w:val="none"/>
        </w:rPr>
        <w:sectPr>
          <w:headerReference r:id="rId5" w:type="default"/>
          <w:pgSz w:w="11905" w:h="16838"/>
          <w:pgMar w:top="1440" w:right="1797" w:bottom="1440" w:left="1797" w:header="0" w:footer="1060" w:gutter="0"/>
          <w:pgBorders>
            <w:top w:val="none" w:sz="0" w:space="0"/>
            <w:left w:val="none" w:sz="0" w:space="0"/>
            <w:bottom w:val="none" w:sz="0" w:space="0"/>
            <w:right w:val="none" w:sz="0" w:space="0"/>
          </w:pgBorders>
          <w:cols w:space="0" w:num="1"/>
          <w:rtlGutter w:val="0"/>
          <w:docGrid w:linePitch="0" w:charSpace="0"/>
        </w:sectPr>
      </w:pPr>
      <w:r>
        <w:rPr>
          <w:rFonts w:hint="default" w:ascii="Times New Roman" w:hAnsi="Times New Roman" w:eastAsia="仿宋" w:cs="Times New Roman"/>
          <w:color w:val="auto"/>
          <w:sz w:val="30"/>
          <w:szCs w:val="30"/>
          <w:highlight w:val="none"/>
          <w:lang w:eastAsia="zh-CN"/>
        </w:rPr>
        <w:drawing>
          <wp:anchor distT="0" distB="0" distL="114300" distR="114300" simplePos="0" relativeHeight="251668480" behindDoc="0" locked="0" layoutInCell="1" allowOverlap="1">
            <wp:simplePos x="0" y="0"/>
            <wp:positionH relativeFrom="column">
              <wp:posOffset>1688465</wp:posOffset>
            </wp:positionH>
            <wp:positionV relativeFrom="paragraph">
              <wp:posOffset>3557270</wp:posOffset>
            </wp:positionV>
            <wp:extent cx="1335405" cy="1398270"/>
            <wp:effectExtent l="15240" t="0" r="0" b="0"/>
            <wp:wrapNone/>
            <wp:docPr id="66"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52"/>
                    <pic:cNvPicPr>
                      <a:picLocks noChangeAspect="1"/>
                    </pic:cNvPicPr>
                  </pic:nvPicPr>
                  <pic:blipFill>
                    <a:blip r:embed="rId54"/>
                    <a:stretch>
                      <a:fillRect/>
                    </a:stretch>
                  </pic:blipFill>
                  <pic:spPr>
                    <a:xfrm rot="-480000">
                      <a:off x="0" y="0"/>
                      <a:ext cx="1335405" cy="1398270"/>
                    </a:xfrm>
                    <a:prstGeom prst="rect">
                      <a:avLst/>
                    </a:prstGeom>
                    <a:noFill/>
                    <a:ln>
                      <a:noFill/>
                    </a:ln>
                  </pic:spPr>
                </pic:pic>
              </a:graphicData>
            </a:graphic>
          </wp:anchor>
        </w:drawing>
      </w:r>
      <w:r>
        <w:rPr>
          <w:rFonts w:hint="default" w:ascii="Times New Roman" w:hAnsi="Times New Roman" w:eastAsia="宋体" w:cs="Times New Roman"/>
          <w:color w:val="auto"/>
          <w:highlight w:val="none"/>
          <w:lang w:eastAsia="zh-CN"/>
        </w:rPr>
        <w:drawing>
          <wp:anchor distT="0" distB="0" distL="114300" distR="114300" simplePos="0" relativeHeight="251670528" behindDoc="0" locked="0" layoutInCell="1" allowOverlap="1">
            <wp:simplePos x="0" y="0"/>
            <wp:positionH relativeFrom="column">
              <wp:posOffset>4279265</wp:posOffset>
            </wp:positionH>
            <wp:positionV relativeFrom="paragraph">
              <wp:posOffset>5934710</wp:posOffset>
            </wp:positionV>
            <wp:extent cx="444500" cy="267970"/>
            <wp:effectExtent l="0" t="0" r="12700" b="17780"/>
            <wp:wrapNone/>
            <wp:docPr id="68" name="图片 4" descr="5df11fde39048abfc8e1b0d9a4e91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 descr="5df11fde39048abfc8e1b0d9a4e91e7"/>
                    <pic:cNvPicPr>
                      <a:picLocks noChangeAspect="1"/>
                    </pic:cNvPicPr>
                  </pic:nvPicPr>
                  <pic:blipFill>
                    <a:blip r:embed="rId55">
                      <a:clrChange>
                        <a:clrFrom>
                          <a:srgbClr val="FFFFFF"/>
                        </a:clrFrom>
                        <a:clrTo>
                          <a:srgbClr val="FFFFFF">
                            <a:alpha val="0"/>
                          </a:srgbClr>
                        </a:clrTo>
                      </a:clrChange>
                    </a:blip>
                    <a:stretch>
                      <a:fillRect/>
                    </a:stretch>
                  </pic:blipFill>
                  <pic:spPr>
                    <a:xfrm>
                      <a:off x="0" y="0"/>
                      <a:ext cx="444500" cy="267970"/>
                    </a:xfrm>
                    <a:prstGeom prst="rect">
                      <a:avLst/>
                    </a:prstGeom>
                    <a:noFill/>
                    <a:ln>
                      <a:noFill/>
                    </a:ln>
                  </pic:spPr>
                </pic:pic>
              </a:graphicData>
            </a:graphic>
          </wp:anchor>
        </w:drawing>
      </w:r>
      <w:r>
        <w:rPr>
          <w:rFonts w:hint="default" w:ascii="Times New Roman" w:hAnsi="Times New Roman" w:cs="Times New Roman" w:eastAsiaTheme="minorEastAsia"/>
          <w:color w:val="auto"/>
          <w:highlight w:val="none"/>
          <w:lang w:eastAsia="zh-CN"/>
        </w:rPr>
        <w:drawing>
          <wp:anchor distT="0" distB="0" distL="114300" distR="114300" simplePos="0" relativeHeight="251671552" behindDoc="0" locked="0" layoutInCell="1" allowOverlap="1">
            <wp:simplePos x="0" y="0"/>
            <wp:positionH relativeFrom="column">
              <wp:posOffset>4154170</wp:posOffset>
            </wp:positionH>
            <wp:positionV relativeFrom="paragraph">
              <wp:posOffset>6157595</wp:posOffset>
            </wp:positionV>
            <wp:extent cx="627380" cy="471170"/>
            <wp:effectExtent l="0" t="0" r="0" b="0"/>
            <wp:wrapNone/>
            <wp:docPr id="69" name="图片 69" descr="03e3d0c23b56ca1b9a5c959cab51fb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03e3d0c23b56ca1b9a5c959cab51fbca"/>
                    <pic:cNvPicPr>
                      <a:picLocks noChangeAspect="1"/>
                    </pic:cNvPicPr>
                  </pic:nvPicPr>
                  <pic:blipFill>
                    <a:blip r:embed="rId56"/>
                    <a:stretch>
                      <a:fillRect/>
                    </a:stretch>
                  </pic:blipFill>
                  <pic:spPr>
                    <a:xfrm>
                      <a:off x="0" y="0"/>
                      <a:ext cx="627380" cy="471170"/>
                    </a:xfrm>
                    <a:prstGeom prst="rect">
                      <a:avLst/>
                    </a:prstGeom>
                  </pic:spPr>
                </pic:pic>
              </a:graphicData>
            </a:graphic>
          </wp:anchor>
        </w:drawing>
      </w:r>
      <w:r>
        <w:rPr>
          <w:rFonts w:hint="default" w:ascii="Times New Roman" w:hAnsi="Times New Roman" w:eastAsia="宋体" w:cs="Times New Roman"/>
          <w:color w:val="auto"/>
          <w:highlight w:val="none"/>
          <w:lang w:eastAsia="zh-CN"/>
        </w:rPr>
        <w:drawing>
          <wp:anchor distT="0" distB="0" distL="114300" distR="114300" simplePos="0" relativeHeight="251669504" behindDoc="0" locked="0" layoutInCell="1" allowOverlap="1">
            <wp:simplePos x="0" y="0"/>
            <wp:positionH relativeFrom="column">
              <wp:posOffset>4184015</wp:posOffset>
            </wp:positionH>
            <wp:positionV relativeFrom="paragraph">
              <wp:posOffset>5173345</wp:posOffset>
            </wp:positionV>
            <wp:extent cx="444500" cy="267970"/>
            <wp:effectExtent l="0" t="0" r="12700" b="17780"/>
            <wp:wrapNone/>
            <wp:docPr id="67" name="图片 4" descr="5df11fde39048abfc8e1b0d9a4e91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descr="5df11fde39048abfc8e1b0d9a4e91e7"/>
                    <pic:cNvPicPr>
                      <a:picLocks noChangeAspect="1"/>
                    </pic:cNvPicPr>
                  </pic:nvPicPr>
                  <pic:blipFill>
                    <a:blip r:embed="rId55">
                      <a:clrChange>
                        <a:clrFrom>
                          <a:srgbClr val="FFFFFF"/>
                        </a:clrFrom>
                        <a:clrTo>
                          <a:srgbClr val="FFFFFF">
                            <a:alpha val="0"/>
                          </a:srgbClr>
                        </a:clrTo>
                      </a:clrChange>
                    </a:blip>
                    <a:stretch>
                      <a:fillRect/>
                    </a:stretch>
                  </pic:blipFill>
                  <pic:spPr>
                    <a:xfrm>
                      <a:off x="0" y="0"/>
                      <a:ext cx="444500" cy="267970"/>
                    </a:xfrm>
                    <a:prstGeom prst="rect">
                      <a:avLst/>
                    </a:prstGeom>
                    <a:noFill/>
                    <a:ln>
                      <a:noFill/>
                    </a:ln>
                  </pic:spPr>
                </pic:pic>
              </a:graphicData>
            </a:graphic>
          </wp:anchor>
        </w:drawing>
      </w:r>
      <w:r>
        <w:rPr>
          <w:rFonts w:hint="default" w:ascii="Times New Roman" w:hAnsi="Times New Roman" w:cs="Times New Roman"/>
          <w:color w:val="auto"/>
        </w:rPr>
        <w:drawing>
          <wp:inline distT="0" distB="0" distL="114300" distR="114300">
            <wp:extent cx="5276850" cy="7495540"/>
            <wp:effectExtent l="0" t="0" r="0" b="1016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57"/>
                    <a:stretch>
                      <a:fillRect/>
                    </a:stretch>
                  </pic:blipFill>
                  <pic:spPr>
                    <a:xfrm>
                      <a:off x="0" y="0"/>
                      <a:ext cx="5276850" cy="7495540"/>
                    </a:xfrm>
                    <a:prstGeom prst="rect">
                      <a:avLst/>
                    </a:prstGeom>
                    <a:noFill/>
                    <a:ln>
                      <a:noFill/>
                    </a:ln>
                  </pic:spPr>
                </pic:pic>
              </a:graphicData>
            </a:graphic>
          </wp:inline>
        </w:drawing>
      </w:r>
    </w:p>
    <w:p w14:paraId="32803817">
      <w:pPr>
        <w:pStyle w:val="37"/>
        <w:pageBreakBefore w:val="0"/>
        <w:kinsoku/>
        <w:wordWrap w:val="0"/>
        <w:overflowPunct/>
        <w:topLinePunct/>
        <w:autoSpaceDE/>
        <w:autoSpaceDN/>
        <w:bidi w:val="0"/>
        <w:adjustRightInd/>
        <w:snapToGrid/>
        <w:spacing w:before="240"/>
        <w:jc w:val="center"/>
        <w:textAlignment w:val="auto"/>
        <w:rPr>
          <w:rFonts w:hint="default" w:ascii="Times New Roman" w:hAnsi="Times New Roman" w:eastAsia="宋体" w:cs="Times New Roman"/>
          <w:b/>
          <w:snapToGrid/>
          <w:color w:val="auto"/>
          <w:sz w:val="36"/>
          <w:highlight w:val="none"/>
          <w:lang w:val="zh-CN" w:eastAsia="zh-CN"/>
        </w:rPr>
      </w:pPr>
      <w:r>
        <w:rPr>
          <w:rFonts w:hint="default" w:ascii="Times New Roman" w:hAnsi="Times New Roman" w:eastAsia="宋体" w:cs="Times New Roman"/>
          <w:b/>
          <w:snapToGrid/>
          <w:color w:val="auto"/>
          <w:sz w:val="36"/>
          <w:highlight w:val="none"/>
          <w:lang w:val="zh-CN" w:eastAsia="zh-CN"/>
        </w:rPr>
        <w:t>目</w:t>
      </w:r>
      <w:r>
        <w:rPr>
          <w:rFonts w:hint="default" w:ascii="Times New Roman" w:hAnsi="Times New Roman" w:eastAsia="宋体" w:cs="Times New Roman"/>
          <w:b/>
          <w:snapToGrid/>
          <w:color w:val="auto"/>
          <w:sz w:val="36"/>
          <w:highlight w:val="none"/>
          <w:lang w:val="en-US" w:eastAsia="zh-CN"/>
        </w:rPr>
        <w:t xml:space="preserve"> </w:t>
      </w:r>
      <w:r>
        <w:rPr>
          <w:rFonts w:hint="default" w:ascii="Times New Roman" w:hAnsi="Times New Roman" w:eastAsia="宋体" w:cs="Times New Roman"/>
          <w:b/>
          <w:snapToGrid/>
          <w:color w:val="auto"/>
          <w:sz w:val="36"/>
          <w:highlight w:val="none"/>
          <w:lang w:val="zh-CN" w:eastAsia="zh-CN"/>
        </w:rPr>
        <w:t>录</w:t>
      </w:r>
    </w:p>
    <w:p w14:paraId="3EB06429">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TOC \o "1-3" \h \u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_Toc3001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z w:val="24"/>
          <w:szCs w:val="24"/>
          <w:highlight w:val="none"/>
        </w:rPr>
        <w:t>1.</w:t>
      </w:r>
      <w:r>
        <w:rPr>
          <w:rFonts w:hint="default" w:ascii="Times New Roman" w:hAnsi="Times New Roman" w:eastAsia="宋体" w:cs="Times New Roman"/>
          <w:bCs/>
          <w:sz w:val="24"/>
          <w:szCs w:val="24"/>
          <w:highlight w:val="none"/>
        </w:rPr>
        <w:t>概述</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_Toc3001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DF01823">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_Toc19035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5"/>
          <w:sz w:val="24"/>
          <w:szCs w:val="24"/>
          <w:highlight w:val="none"/>
          <w:lang w:val="en-US" w:eastAsia="zh-CN"/>
        </w:rPr>
        <w:t>1.1项目由来</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_Toc19035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558038D">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_Toc9887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1.2项目</w:t>
      </w:r>
      <w:r>
        <w:rPr>
          <w:rFonts w:hint="default" w:ascii="Times New Roman" w:hAnsi="Times New Roman" w:eastAsia="Times New Roman" w:cs="Times New Roman"/>
          <w:bCs/>
          <w:spacing w:val="-5"/>
          <w:sz w:val="24"/>
          <w:szCs w:val="24"/>
          <w:highlight w:val="none"/>
          <w:lang w:val="en-US" w:eastAsia="zh-CN"/>
        </w:rPr>
        <w:t>特点</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_Toc9887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3C11F9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_Toc30344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1.2.1项目概况</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_Toc30344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3AFB4E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_Toc4387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1.2.2本项目产排污特点</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_Toc4387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88D3168">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_Toc14592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1.2.</w:t>
      </w:r>
      <w:r>
        <w:rPr>
          <w:rFonts w:hint="default" w:ascii="Times New Roman" w:hAnsi="Times New Roman" w:eastAsia="宋体" w:cs="Times New Roman"/>
          <w:bCs/>
          <w:spacing w:val="-2"/>
          <w:sz w:val="24"/>
          <w:szCs w:val="24"/>
          <w:highlight w:val="none"/>
          <w:lang w:val="en-US" w:eastAsia="zh-CN"/>
        </w:rPr>
        <w:t>3主要环境问题及环境影响</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_Toc14592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ABB04E7">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_Toc22095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1.2.</w:t>
      </w:r>
      <w:r>
        <w:rPr>
          <w:rFonts w:hint="default" w:ascii="Times New Roman" w:hAnsi="Times New Roman" w:eastAsia="宋体" w:cs="Times New Roman"/>
          <w:bCs/>
          <w:spacing w:val="-2"/>
          <w:sz w:val="24"/>
          <w:szCs w:val="24"/>
          <w:highlight w:val="none"/>
          <w:lang w:val="en-US" w:eastAsia="zh-CN"/>
        </w:rPr>
        <w:t>4</w:t>
      </w:r>
      <w:r>
        <w:rPr>
          <w:rFonts w:hint="default" w:ascii="Times New Roman" w:hAnsi="Times New Roman" w:eastAsia="Times New Roman" w:cs="Times New Roman"/>
          <w:bCs/>
          <w:spacing w:val="-2"/>
          <w:sz w:val="24"/>
          <w:szCs w:val="24"/>
          <w:highlight w:val="none"/>
        </w:rPr>
        <w:t>场区周边情况及选址特点</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_Toc22095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71F1E70">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_Toc3040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1.2.</w:t>
      </w:r>
      <w:r>
        <w:rPr>
          <w:rFonts w:hint="default" w:ascii="Times New Roman" w:hAnsi="Times New Roman" w:eastAsia="Times New Roman" w:cs="Times New Roman"/>
          <w:bCs/>
          <w:spacing w:val="-2"/>
          <w:sz w:val="24"/>
          <w:szCs w:val="24"/>
          <w:highlight w:val="none"/>
          <w:lang w:val="en-US" w:eastAsia="zh-CN"/>
        </w:rPr>
        <w:t>5主要结论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_Toc3040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3103D9C">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_Toc7709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1.</w:t>
      </w:r>
      <w:r>
        <w:rPr>
          <w:rFonts w:hint="default" w:ascii="Times New Roman" w:hAnsi="Times New Roman" w:eastAsia="宋体" w:cs="Times New Roman"/>
          <w:bCs/>
          <w:spacing w:val="-5"/>
          <w:sz w:val="24"/>
          <w:szCs w:val="24"/>
          <w:highlight w:val="none"/>
          <w:lang w:val="en-US" w:eastAsia="zh-CN"/>
        </w:rPr>
        <w:t>3</w:t>
      </w:r>
      <w:r>
        <w:rPr>
          <w:rFonts w:hint="default" w:ascii="Times New Roman" w:hAnsi="Times New Roman" w:eastAsia="Times New Roman" w:cs="Times New Roman"/>
          <w:bCs/>
          <w:spacing w:val="-5"/>
          <w:sz w:val="24"/>
          <w:szCs w:val="24"/>
          <w:highlight w:val="none"/>
        </w:rPr>
        <w:t>环境影响评价的工作过程</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_Toc7709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40C807C">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_Toc31814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lang w:val="en-US" w:eastAsia="zh-CN"/>
        </w:rPr>
        <w:t>4</w:t>
      </w:r>
      <w:r>
        <w:rPr>
          <w:rFonts w:hint="default" w:ascii="Times New Roman" w:hAnsi="Times New Roman" w:eastAsia="宋体" w:cs="Times New Roman"/>
          <w:bCs/>
          <w:spacing w:val="-3"/>
          <w:sz w:val="24"/>
          <w:szCs w:val="24"/>
          <w:highlight w:val="none"/>
        </w:rPr>
        <w:t>分析判定相关情况</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_Toc31814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8222AD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_Toc23065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lang w:val="en-US" w:eastAsia="zh-CN"/>
        </w:rPr>
        <w:t>4.</w:t>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rPr>
        <w:t>产业政策符合性分析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_Toc23065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F4E779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_Toc29417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3"/>
          <w:sz w:val="24"/>
          <w:szCs w:val="24"/>
          <w:highlight w:val="none"/>
          <w:lang w:val="en-US" w:eastAsia="zh-CN"/>
        </w:rPr>
        <w:t>1.4.2相关政策及规划符合性分析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_Toc29417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47989BD">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Times New Roman" w:cs="Times New Roman"/>
          <w:bCs/>
          <w:spacing w:val="-3"/>
          <w:sz w:val="24"/>
          <w:szCs w:val="24"/>
          <w:highlight w:val="none"/>
          <w:lang w:val="en-US" w:eastAsia="zh-CN"/>
        </w:rPr>
        <w:t>4</w:t>
      </w:r>
      <w:r>
        <w:rPr>
          <w:rFonts w:hint="default" w:ascii="Times New Roman" w:hAnsi="Times New Roman" w:eastAsia="Times New Roman" w:cs="Times New Roman"/>
          <w:bCs/>
          <w:spacing w:val="-3"/>
          <w:sz w:val="24"/>
          <w:szCs w:val="24"/>
          <w:highlight w:val="none"/>
        </w:rPr>
        <w:t>.</w:t>
      </w:r>
      <w:r>
        <w:rPr>
          <w:rFonts w:hint="default" w:ascii="Times New Roman" w:hAnsi="Times New Roman" w:eastAsia="Times New Roman" w:cs="Times New Roman"/>
          <w:bCs/>
          <w:spacing w:val="-3"/>
          <w:sz w:val="24"/>
          <w:szCs w:val="24"/>
          <w:highlight w:val="none"/>
          <w:lang w:val="en-US" w:eastAsia="zh-CN"/>
        </w:rPr>
        <w:t>3</w:t>
      </w:r>
      <w:r>
        <w:rPr>
          <w:rFonts w:hint="default" w:ascii="Times New Roman" w:hAnsi="Times New Roman" w:eastAsia="Times New Roman" w:cs="Times New Roman"/>
          <w:bCs/>
          <w:spacing w:val="-3"/>
          <w:sz w:val="24"/>
          <w:szCs w:val="24"/>
          <w:highlight w:val="none"/>
        </w:rPr>
        <w:t>“</w:t>
      </w:r>
      <w:r>
        <w:rPr>
          <w:rFonts w:hint="default" w:ascii="Times New Roman" w:hAnsi="Times New Roman" w:eastAsia="Times New Roman" w:cs="Times New Roman"/>
          <w:bCs/>
          <w:spacing w:val="-3"/>
          <w:sz w:val="24"/>
          <w:szCs w:val="24"/>
          <w:highlight w:val="none"/>
          <w:lang w:val="en-US" w:eastAsia="zh-CN"/>
        </w:rPr>
        <w:t>生态环境分区管控</w:t>
      </w:r>
      <w:r>
        <w:rPr>
          <w:rFonts w:hint="default" w:ascii="Times New Roman" w:hAnsi="Times New Roman" w:eastAsia="Times New Roman" w:cs="Times New Roman"/>
          <w:bCs/>
          <w:spacing w:val="-3"/>
          <w:sz w:val="24"/>
          <w:szCs w:val="24"/>
          <w:highlight w:val="none"/>
        </w:rPr>
        <w:t>”符合性分析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CBC568C">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_Toc18063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lang w:val="en-US" w:eastAsia="zh-CN"/>
        </w:rPr>
        <w:t>4</w:t>
      </w:r>
      <w:r>
        <w:rPr>
          <w:rFonts w:hint="default" w:ascii="Times New Roman" w:hAnsi="Times New Roman" w:eastAsia="Times New Roman" w:cs="Times New Roman"/>
          <w:bCs/>
          <w:spacing w:val="-3"/>
          <w:sz w:val="24"/>
          <w:szCs w:val="24"/>
          <w:highlight w:val="none"/>
        </w:rPr>
        <w:t>.</w:t>
      </w:r>
      <w:r>
        <w:rPr>
          <w:rFonts w:hint="default" w:ascii="Times New Roman" w:hAnsi="Times New Roman" w:eastAsia="Times New Roman" w:cs="Times New Roman"/>
          <w:bCs/>
          <w:spacing w:val="-3"/>
          <w:sz w:val="24"/>
          <w:szCs w:val="24"/>
          <w:highlight w:val="none"/>
          <w:lang w:val="en-US" w:eastAsia="zh-CN"/>
        </w:rPr>
        <w:t>4</w:t>
      </w:r>
      <w:r>
        <w:rPr>
          <w:rFonts w:hint="default" w:ascii="Times New Roman" w:hAnsi="Times New Roman" w:eastAsia="Times New Roman" w:cs="Times New Roman"/>
          <w:bCs/>
          <w:spacing w:val="-3"/>
          <w:sz w:val="24"/>
          <w:szCs w:val="24"/>
          <w:highlight w:val="none"/>
        </w:rPr>
        <w:t>选址合理性分析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_Toc18063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C753FCB">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_Toc2861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lang w:val="en-US" w:eastAsia="zh-CN"/>
        </w:rPr>
        <w:t>5</w:t>
      </w:r>
      <w:r>
        <w:rPr>
          <w:rFonts w:hint="default" w:ascii="Times New Roman" w:hAnsi="Times New Roman" w:eastAsia="宋体" w:cs="Times New Roman"/>
          <w:bCs/>
          <w:spacing w:val="-3"/>
          <w:sz w:val="24"/>
          <w:szCs w:val="24"/>
          <w:highlight w:val="none"/>
        </w:rPr>
        <w:t>主要环境问题及评价重点</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_Toc2861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293EAB2">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_Toc3874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lang w:val="en-US" w:eastAsia="zh-CN"/>
        </w:rPr>
        <w:t>5</w:t>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rPr>
        <w:t>施工期主要关注环境问题</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_Toc3874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C166691">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_Toc32586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Times New Roman" w:cs="Times New Roman"/>
          <w:bCs/>
          <w:spacing w:val="-3"/>
          <w:sz w:val="24"/>
          <w:szCs w:val="24"/>
          <w:highlight w:val="none"/>
          <w:lang w:val="en-US" w:eastAsia="zh-CN"/>
        </w:rPr>
        <w:t>5</w:t>
      </w:r>
      <w:r>
        <w:rPr>
          <w:rFonts w:hint="default" w:ascii="Times New Roman" w:hAnsi="Times New Roman" w:eastAsia="Times New Roman" w:cs="Times New Roman"/>
          <w:bCs/>
          <w:spacing w:val="-3"/>
          <w:sz w:val="24"/>
          <w:szCs w:val="24"/>
          <w:highlight w:val="none"/>
        </w:rPr>
        <w:t>.2营运期主要关注环境问题</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_Toc32586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DE04ECD">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_Toc9837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lang w:val="en-US" w:eastAsia="zh-CN"/>
        </w:rPr>
        <w:t>5</w:t>
      </w:r>
      <w:r>
        <w:rPr>
          <w:rFonts w:hint="default" w:ascii="Times New Roman" w:hAnsi="Times New Roman" w:eastAsia="Times New Roman" w:cs="Times New Roman"/>
          <w:bCs/>
          <w:spacing w:val="-3"/>
          <w:sz w:val="24"/>
          <w:szCs w:val="24"/>
          <w:highlight w:val="none"/>
        </w:rPr>
        <w:t>.3</w:t>
      </w:r>
      <w:r>
        <w:rPr>
          <w:rFonts w:hint="default" w:ascii="Times New Roman" w:hAnsi="Times New Roman" w:eastAsia="宋体" w:cs="Times New Roman"/>
          <w:bCs/>
          <w:spacing w:val="-3"/>
          <w:sz w:val="24"/>
          <w:szCs w:val="24"/>
          <w:highlight w:val="none"/>
        </w:rPr>
        <w:t>评价重点</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_Toc9837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690292A">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_Toc18212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1.</w:t>
      </w:r>
      <w:r>
        <w:rPr>
          <w:rFonts w:hint="default" w:ascii="Times New Roman" w:hAnsi="Times New Roman" w:eastAsia="宋体" w:cs="Times New Roman"/>
          <w:bCs/>
          <w:spacing w:val="-3"/>
          <w:sz w:val="24"/>
          <w:szCs w:val="24"/>
          <w:highlight w:val="none"/>
          <w:lang w:val="en-US" w:eastAsia="zh-CN"/>
        </w:rPr>
        <w:t>6</w:t>
      </w:r>
      <w:r>
        <w:rPr>
          <w:rFonts w:hint="default" w:ascii="Times New Roman" w:hAnsi="Times New Roman" w:eastAsia="宋体" w:cs="Times New Roman"/>
          <w:bCs/>
          <w:spacing w:val="-3"/>
          <w:sz w:val="24"/>
          <w:szCs w:val="24"/>
          <w:highlight w:val="none"/>
        </w:rPr>
        <w:t>环境影响报告书的主要结论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_Toc18212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01A88F2">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_Toc27597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z w:val="24"/>
          <w:szCs w:val="24"/>
          <w:highlight w:val="none"/>
        </w:rPr>
        <w:t>2.总则</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_Toc27597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4390B17">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_Toc19928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2.1</w:t>
      </w:r>
      <w:r>
        <w:rPr>
          <w:rFonts w:hint="default" w:ascii="Times New Roman" w:hAnsi="Times New Roman" w:eastAsia="宋体" w:cs="Times New Roman"/>
          <w:bCs/>
          <w:spacing w:val="-2"/>
          <w:sz w:val="24"/>
          <w:szCs w:val="24"/>
          <w:highlight w:val="none"/>
        </w:rPr>
        <w:t>环境影响评价原则</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_Toc19928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9790BC9">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_Toc19031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2.2评价目的</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_Toc19031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45FE361">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_Toc29926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2.3编制依据</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_Toc29926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78C06D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_Toc15684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2.3.1相关环境保护法律、法规</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_Toc15684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77622D3">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_Toc21368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2.3.2相关规章、政策</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_Toc21368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3439DB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_Toc11425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2.3.3地方法规、标准与规划</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_Toc11425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7613B0C">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_Toc20683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2.3.4相关导则及技术规范</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_Toc20683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79B6D11">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_Toc3216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2.3.5建设项目有关文件</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_Toc3216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17549C1">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_Toc31460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2.4环境影响因素识别、评价因子筛选及评价标准</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_Toc31460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21A235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_Toc15275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2.4.1环境影响因素识别</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_Toc15275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EF5A0F5">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_Toc17408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2.4.2评价因子筛选</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_Toc17408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8F3A30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_Toc16696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2.4.3环境功能区划</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_Toc16696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FC6ABF7">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_Toc25687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2.4.4评价标准</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_Toc25687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37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A967717">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_Toc21080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2.5评价工作等级和评价重点</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_Toc21080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42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1B17CE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_Toc19245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2.5.1评价工作等级</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_Toc19245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42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B7A9D56">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_Toc32087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2.5.2评价重点</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_Toc32087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55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5FDE7E6">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_Toc8524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2.6评价范围</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_Toc8524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55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2B6DAA8">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_Toc5313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2.7</w:t>
      </w:r>
      <w:r>
        <w:rPr>
          <w:rFonts w:hint="default" w:ascii="Times New Roman" w:hAnsi="Times New Roman" w:eastAsia="宋体" w:cs="Times New Roman"/>
          <w:bCs/>
          <w:spacing w:val="-2"/>
          <w:sz w:val="24"/>
          <w:szCs w:val="24"/>
          <w:highlight w:val="none"/>
        </w:rPr>
        <w:t>保护目标</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_Toc5313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56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04B3919">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_Toc12372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2.8污染物排放标准</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_Toc12372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58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1969EF0">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_Toc32753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3.1.1基本情况</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_Toc32753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7D9EC1D">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_Toc23944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z w:val="24"/>
          <w:szCs w:val="24"/>
          <w:highlight w:val="none"/>
        </w:rPr>
        <w:t>3.建设项目工程分析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_Toc23944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FFE27BF">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_Toc1323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3.1建设项目概况</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_Toc1323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BDB2273">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_Toc7165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3.1.2项目建设内容及规模</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_Toc7165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71A68CE">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_Toc391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3.1.3本项目原辅材料消耗</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_Toc391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41DBD87">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_Toc6490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3.1.4干撒式发酵床垫运行方案</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_Toc6490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A2C8178">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_Toc25911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3.1.5产品方案</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_Toc25911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2A8ABEE">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_Toc16784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3.1.6公用工程</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_Toc16784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F4E0652">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_Toc16105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3.1.7劳动定员及工作制度</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_Toc16105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3713120">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_Toc22818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3.1.8项目占地</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_Toc22818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253398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_Toc14169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3.1.9场区总平面布置</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_Toc14169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73DAED1">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_Toc11010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3.1.10建设周期</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_Toc11010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38A1B80">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_Toc9804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3.2项目生产工艺及产污环节</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_Toc9804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69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EC25B10">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_Toc28176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3.2.1施工期工艺流程及产污环节分析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_Toc28176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70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5882A9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_Toc29835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3.2.2运营期工艺流程及产污环节分析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_Toc29835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70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7862E5E">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_Toc26547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3.</w:t>
      </w:r>
      <w:r>
        <w:rPr>
          <w:rFonts w:hint="default" w:ascii="Times New Roman" w:hAnsi="Times New Roman" w:eastAsia="Times New Roman" w:cs="Times New Roman"/>
          <w:bCs/>
          <w:spacing w:val="-5"/>
          <w:sz w:val="24"/>
          <w:szCs w:val="24"/>
          <w:highlight w:val="none"/>
          <w:lang w:val="en-US" w:eastAsia="zh-CN"/>
        </w:rPr>
        <w:t>3</w:t>
      </w:r>
      <w:r>
        <w:rPr>
          <w:rFonts w:hint="default" w:ascii="Times New Roman" w:hAnsi="Times New Roman" w:eastAsia="Times New Roman" w:cs="Times New Roman"/>
          <w:bCs/>
          <w:spacing w:val="-5"/>
          <w:sz w:val="24"/>
          <w:szCs w:val="24"/>
          <w:highlight w:val="none"/>
        </w:rPr>
        <w:t>本项目生产工艺及产污环节源强分析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_Toc26547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74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74940D3">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_Toc23196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3.3.1施工期工程分析污染源及源强分析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_Toc23196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74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CFAA5E2">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_Toc15406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3.3.</w:t>
      </w:r>
      <w:r>
        <w:rPr>
          <w:rFonts w:hint="default" w:ascii="Times New Roman" w:hAnsi="Times New Roman" w:eastAsia="宋体" w:cs="Times New Roman"/>
          <w:bCs/>
          <w:spacing w:val="-3"/>
          <w:sz w:val="24"/>
          <w:szCs w:val="24"/>
          <w:highlight w:val="none"/>
          <w:lang w:val="en-US" w:eastAsia="zh-CN"/>
        </w:rPr>
        <w:t>2运营期污染源及源强分析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_Toc15406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76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DE005F3">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_Toc19011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z w:val="24"/>
          <w:szCs w:val="24"/>
          <w:highlight w:val="none"/>
        </w:rPr>
        <w:t>4.环境现状调查与评价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_Toc19011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8EDFAAF">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_Toc8855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4.1自然环境现状调查与评价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_Toc8855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2C1D568">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_Toc276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4.1.1地理位置</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_Toc276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AE47A40">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_Toc8609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4.1.2地质构造</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_Toc8609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EF027B4">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_Toc29858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4.1.3气候气象</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_Toc29858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D0EB0E4">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_Toc25493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4.1.4水文</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_Toc25493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2050DB4">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_Toc3339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4.2环境保护目标调查</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_Toc3339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EC674B7">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_Toc25388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4.2.1环境功能区划</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_Toc25388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0051806">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_Toc2286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4.2.2环境保护目标</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_Toc2286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7FEE44F">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_Toc44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4.3环境质量现状调查与评价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_Toc44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6E2326A">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_Toc32273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4.3.1地表水环境现状</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_Toc32273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3A9081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_Toc16885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4.3.2环境空气现状监测与评价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_Toc16885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96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6D7B33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_Toc17474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4.3.3地下水环境现状监测与评价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_Toc17474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100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6658926">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_Toc32604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4.3.4噪声环境现状监测与评价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_Toc32604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105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0D4CC0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_Toc17466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4.3.5土壤环境质量现状评价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_Toc17466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107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0B73E0C">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_Toc7820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4.3.6生态环境现状</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_Toc7820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882D06A">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_Toc12932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4.4区域污染源调查</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_Toc12932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2EBFFB0">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_Toc29892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4.4.1大气污染源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_Toc29892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A694296">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_Toc16058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4.3.2地表水污染源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_Toc16058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D38AF9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_Toc19753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4.3.3地下水污染源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_Toc19753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433BB3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_Toc16792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4.3.4噪声污染源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_Toc16792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C9F392B">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_Toc5896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4.3.5土壤污染源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_Toc5896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B7F156F">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_Toc2226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z w:val="24"/>
          <w:szCs w:val="24"/>
          <w:highlight w:val="none"/>
        </w:rPr>
        <w:t>5.环境影响预测与评价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_Toc2226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971E6F2">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_Toc32565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5.1施工期环境影响分析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_Toc32565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358E2D4">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_Toc5331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5.1.1施工期大气环境影响评价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_Toc5331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61CD03C">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_Toc5493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5.1.2施工期水环境影响评价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_Toc5493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D665E22">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_Toc2122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5.1.3施工设备噪声影响评价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_Toc2122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D845951">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_Toc26124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5.1.4施工期固体废物环境影响评价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_Toc26124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06F4C45">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_Toc11443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5.1.5</w:t>
      </w:r>
      <w:r>
        <w:rPr>
          <w:rFonts w:hint="default" w:ascii="Times New Roman" w:hAnsi="Times New Roman" w:eastAsia="宋体" w:cs="Times New Roman"/>
          <w:bCs/>
          <w:sz w:val="24"/>
          <w:szCs w:val="24"/>
          <w:highlight w:val="none"/>
        </w:rPr>
        <w:t>生态环境影响预测与评价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_Toc11443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07D4EB8">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_Toc28904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5.2运营期环境影响预测与评价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_Toc28904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6EF8F20">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_Toc29696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5.2.1地表水环境影响预测与分析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_Toc29696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BC0E35A">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_Toc29442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5.2.2大气环境影响预测与分析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_Toc29442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117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80025DA">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_Toc14029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5.2.3声环境影响预测与分析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_Toc14029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120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6F6B0A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_Toc23531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5.2.4地下水影响预测与评价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_Toc23531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122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B9AFA57">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_Toc16960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5.2.5固体废物环境影响预测与分析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_Toc16960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129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66C66DE">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_Toc22692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5.2.6土壤环境影响分析与评价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_Toc22692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711E0A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_Toc6662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5.2.7生态环境影响预测与分析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_Toc6662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1D5294E">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_Toc26146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5.2.8水土流失的影响预测与分析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_Toc26146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52D0796">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_Toc14132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5.2.9环境风险评价</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_Toc14132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48CB21D">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_Toc12608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z w:val="24"/>
          <w:szCs w:val="24"/>
          <w:highlight w:val="none"/>
        </w:rPr>
        <w:t>6.环境保护措施及其可行性论证</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_Toc12608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B40C40A">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_Toc4870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6.1施工期污染防治措施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_Toc4870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F6BAA4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_Toc30438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6.1.1施工废水防治措施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_Toc30438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0FCA4DD">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_Toc1245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6.1.2施工扬尘防治措施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_Toc1245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7D70CDA">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_Toc28327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6.1.3噪声防治措施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_Toc28327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62C56A1">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_Toc29930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6.1.4固体废物防治措施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_Toc29930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2D4027A">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_Toc23343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6.1.5施工期生态保护措施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_Toc23343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C135894">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_Toc12643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6.2运营期污染物防治措施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_Toc12643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F96CBA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_Toc30513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6.2.1水治理措施及利用可行性分析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_Toc30513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139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C452B33">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_Toc25145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6.2.2大气污染防治措施及利用可行性分析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_Toc25145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140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306DA8C">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_Toc27319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6.2.3噪声污染防治措施及利用可行性分析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_Toc27319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141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002A4E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_Toc14249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6.2.4固体废物处理处置及利用可行性分析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_Toc14249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142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668E93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_Toc5122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6.2.5土壤环境保护措施及利用可行性分析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_Toc5122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147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00BDA7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_Toc4634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6.2.6运营期生态环境保护措施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_Toc4634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148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E9DE0CE">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_Toc2140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zh-CN" w:eastAsia="zh-CN"/>
        </w:rPr>
        <w:t>6.</w:t>
      </w:r>
      <w:r>
        <w:rPr>
          <w:rFonts w:hint="default" w:ascii="Times New Roman" w:hAnsi="Times New Roman" w:eastAsia="Times New Roman" w:cs="Times New Roman"/>
          <w:bCs/>
          <w:spacing w:val="-5"/>
          <w:sz w:val="24"/>
          <w:szCs w:val="24"/>
          <w:highlight w:val="none"/>
          <w:lang w:val="en-US" w:eastAsia="zh-CN"/>
        </w:rPr>
        <w:t>3</w:t>
      </w:r>
      <w:r>
        <w:rPr>
          <w:rFonts w:hint="default" w:ascii="Times New Roman" w:hAnsi="Times New Roman" w:eastAsia="宋体" w:cs="Times New Roman"/>
          <w:bCs w:val="0"/>
          <w:kern w:val="44"/>
          <w:sz w:val="24"/>
          <w:szCs w:val="24"/>
          <w:highlight w:val="none"/>
        </w:rPr>
        <w:t>风险防范措施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_Toc2140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149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1E0A636">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_Toc5669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6.3.1疾病疫情风险防范措施</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_Toc5669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149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71CC73C">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_Toc5260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6.3.2应急预案</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_Toc5260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5D8F8B4">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_Toc30148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6.3.3风险评价结论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_Toc30148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F6DC667">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_Toc454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z w:val="24"/>
          <w:szCs w:val="24"/>
          <w:highlight w:val="none"/>
        </w:rPr>
        <w:t>7.环境影响经济损益分析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_Toc454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0B1ABF7">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_Toc16367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5"/>
          <w:sz w:val="24"/>
          <w:szCs w:val="24"/>
          <w:highlight w:val="none"/>
        </w:rPr>
        <w:t>7.1环境保护投资估算</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_Toc16367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C9CFB44">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_Toc19285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val="0"/>
          <w:kern w:val="44"/>
          <w:sz w:val="24"/>
          <w:szCs w:val="24"/>
          <w:highlight w:val="none"/>
        </w:rPr>
        <w:t>7.</w:t>
      </w:r>
      <w:r>
        <w:rPr>
          <w:rFonts w:hint="default" w:ascii="Times New Roman" w:hAnsi="Times New Roman" w:eastAsia="宋体" w:cs="Times New Roman"/>
          <w:bCs w:val="0"/>
          <w:kern w:val="44"/>
          <w:sz w:val="24"/>
          <w:szCs w:val="24"/>
          <w:highlight w:val="none"/>
          <w:lang w:val="en-US" w:eastAsia="zh-CN"/>
        </w:rPr>
        <w:t>2</w:t>
      </w:r>
      <w:r>
        <w:rPr>
          <w:rFonts w:hint="default" w:ascii="Times New Roman" w:hAnsi="Times New Roman" w:eastAsia="宋体" w:cs="Times New Roman"/>
          <w:bCs w:val="0"/>
          <w:kern w:val="44"/>
          <w:sz w:val="24"/>
          <w:szCs w:val="24"/>
          <w:highlight w:val="none"/>
        </w:rPr>
        <w:t>经济效益</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_Toc19285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FE63343">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_Toc21045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val="0"/>
          <w:kern w:val="44"/>
          <w:sz w:val="24"/>
          <w:szCs w:val="24"/>
          <w:highlight w:val="none"/>
        </w:rPr>
        <w:t>7.3</w:t>
      </w:r>
      <w:r>
        <w:rPr>
          <w:rFonts w:hint="default" w:ascii="Times New Roman" w:hAnsi="Times New Roman" w:eastAsia="宋体" w:cs="Times New Roman"/>
          <w:bCs w:val="0"/>
          <w:kern w:val="44"/>
          <w:sz w:val="24"/>
          <w:szCs w:val="24"/>
          <w:highlight w:val="none"/>
          <w:lang w:val="en-US" w:eastAsia="zh-CN"/>
        </w:rPr>
        <w:t>社会</w:t>
      </w:r>
      <w:r>
        <w:rPr>
          <w:rFonts w:hint="default" w:ascii="Times New Roman" w:hAnsi="Times New Roman" w:eastAsia="宋体" w:cs="Times New Roman"/>
          <w:bCs w:val="0"/>
          <w:kern w:val="44"/>
          <w:sz w:val="24"/>
          <w:szCs w:val="24"/>
          <w:highlight w:val="none"/>
        </w:rPr>
        <w:t>效益</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_Toc21045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2E1C175">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_Toc4683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val="0"/>
          <w:kern w:val="44"/>
          <w:sz w:val="24"/>
          <w:szCs w:val="24"/>
          <w:highlight w:val="none"/>
        </w:rPr>
        <w:t>7.</w:t>
      </w:r>
      <w:r>
        <w:rPr>
          <w:rFonts w:hint="default" w:ascii="Times New Roman" w:hAnsi="Times New Roman" w:eastAsia="宋体" w:cs="Times New Roman"/>
          <w:bCs w:val="0"/>
          <w:kern w:val="44"/>
          <w:sz w:val="24"/>
          <w:szCs w:val="24"/>
          <w:highlight w:val="none"/>
          <w:lang w:val="en-US" w:eastAsia="zh-CN"/>
        </w:rPr>
        <w:t>4</w:t>
      </w:r>
      <w:r>
        <w:rPr>
          <w:rFonts w:hint="default" w:ascii="Times New Roman" w:hAnsi="Times New Roman" w:eastAsia="宋体" w:cs="Times New Roman"/>
          <w:bCs w:val="0"/>
          <w:kern w:val="44"/>
          <w:sz w:val="24"/>
          <w:szCs w:val="24"/>
          <w:highlight w:val="none"/>
        </w:rPr>
        <w:t>环境效益</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_Toc4683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BB79873">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_Toc9239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z w:val="24"/>
          <w:szCs w:val="24"/>
          <w:highlight w:val="none"/>
        </w:rPr>
        <w:t>8.环境管理与监测计划</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_Toc9239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57D9B98">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_Toc18426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8.1环境管理</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_Toc18426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9806AD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_Toc8743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8.1.1环境管理的意义</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_Toc8743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C468B9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_Toc3343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8.1.2环境管理体系</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_Toc3343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E4F6711">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_Toc16188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8.1.3环境管理内容</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_Toc16188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967C1C0">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_Toc29301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8.1.4环境管理计划</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_Toc29301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159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C3D23AD">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_Toc21568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3"/>
          <w:sz w:val="24"/>
          <w:szCs w:val="24"/>
          <w:highlight w:val="none"/>
        </w:rPr>
        <w:t>8.2</w:t>
      </w:r>
      <w:r>
        <w:rPr>
          <w:rFonts w:hint="default" w:ascii="Times New Roman" w:hAnsi="Times New Roman" w:eastAsia="宋体" w:cs="Times New Roman"/>
          <w:bCs/>
          <w:spacing w:val="-3"/>
          <w:sz w:val="24"/>
          <w:szCs w:val="24"/>
          <w:highlight w:val="none"/>
        </w:rPr>
        <w:t>环境监测</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_Toc21568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164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AF1BD83">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_Toc29296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8.2.1环境监测的必要性</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_Toc29296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164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DCDD938">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_Toc27482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8.2.2环境监测机构设置</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_Toc27482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164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35C4419">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_Toc27547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8.2.3环境监测职责</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_Toc27547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164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DAC5993">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_Toc14729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8.2.</w:t>
      </w:r>
      <w:r>
        <w:rPr>
          <w:rFonts w:hint="default" w:ascii="Times New Roman" w:hAnsi="Times New Roman" w:eastAsia="宋体" w:cs="Times New Roman"/>
          <w:bCs/>
          <w:spacing w:val="-2"/>
          <w:sz w:val="24"/>
          <w:szCs w:val="24"/>
          <w:highlight w:val="none"/>
          <w:lang w:val="en-US" w:eastAsia="zh-CN"/>
        </w:rPr>
        <w:t>4</w:t>
      </w:r>
      <w:r>
        <w:rPr>
          <w:rFonts w:hint="default" w:ascii="Times New Roman" w:hAnsi="Times New Roman" w:eastAsia="宋体" w:cs="Times New Roman"/>
          <w:bCs/>
          <w:spacing w:val="-2"/>
          <w:sz w:val="24"/>
          <w:szCs w:val="24"/>
          <w:highlight w:val="none"/>
        </w:rPr>
        <w:t>排污口信息</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_Toc14729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165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A40436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_Toc29857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8.</w:t>
      </w:r>
      <w:r>
        <w:rPr>
          <w:rFonts w:hint="default" w:ascii="Times New Roman" w:hAnsi="Times New Roman" w:eastAsia="宋体" w:cs="Times New Roman"/>
          <w:bCs/>
          <w:sz w:val="24"/>
          <w:szCs w:val="24"/>
          <w:highlight w:val="none"/>
          <w:lang w:val="en-US" w:eastAsia="zh-CN"/>
        </w:rPr>
        <w:t>2.5环</w:t>
      </w:r>
      <w:r>
        <w:rPr>
          <w:rFonts w:hint="default" w:ascii="Times New Roman" w:hAnsi="Times New Roman" w:eastAsia="宋体" w:cs="Times New Roman"/>
          <w:bCs/>
          <w:sz w:val="24"/>
          <w:szCs w:val="24"/>
          <w:highlight w:val="none"/>
        </w:rPr>
        <w:t>境保护验收</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_Toc29857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169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69847B9">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_Toc25060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val="0"/>
          <w:snapToGrid w:val="0"/>
          <w:kern w:val="0"/>
          <w:sz w:val="24"/>
          <w:szCs w:val="24"/>
          <w:lang w:eastAsia="zh-CN"/>
        </w:rPr>
        <w:t>8.3总量控制分析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_Toc25060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FC970A4">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_Toc22248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8.3.1</w:t>
      </w:r>
      <w:r>
        <w:rPr>
          <w:rFonts w:hint="default" w:ascii="Times New Roman" w:hAnsi="Times New Roman" w:eastAsia="宋体" w:cs="Times New Roman"/>
          <w:bCs/>
          <w:spacing w:val="-2"/>
          <w:sz w:val="24"/>
          <w:szCs w:val="24"/>
          <w:highlight w:val="none"/>
        </w:rPr>
        <w:t>污染物排放总量控制原则</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_Toc22248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1C1DE2C">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_Toc14369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8.3.2</w:t>
      </w:r>
      <w:r>
        <w:rPr>
          <w:rFonts w:hint="default" w:ascii="Times New Roman" w:hAnsi="Times New Roman" w:eastAsia="宋体" w:cs="Times New Roman"/>
          <w:bCs/>
          <w:spacing w:val="-2"/>
          <w:sz w:val="24"/>
          <w:szCs w:val="24"/>
          <w:highlight w:val="none"/>
        </w:rPr>
        <w:t>污染物排放总量控制因子</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_Toc14369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3D7E0C7">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_Toc12180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2"/>
          <w:sz w:val="24"/>
          <w:szCs w:val="24"/>
          <w:highlight w:val="none"/>
        </w:rPr>
        <w:t>8.3.</w:t>
      </w:r>
      <w:r>
        <w:rPr>
          <w:rFonts w:hint="default" w:ascii="Times New Roman" w:hAnsi="Times New Roman" w:eastAsia="宋体" w:cs="Times New Roman"/>
          <w:bCs/>
          <w:spacing w:val="-2"/>
          <w:sz w:val="24"/>
          <w:szCs w:val="24"/>
          <w:highlight w:val="none"/>
          <w:lang w:val="en-US" w:eastAsia="zh-CN"/>
        </w:rPr>
        <w:t>3与排污许可证制度衔接</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_Toc12180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AB25002">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_Toc9235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9.</w:t>
      </w:r>
      <w:r>
        <w:rPr>
          <w:rFonts w:hint="default" w:ascii="Times New Roman" w:hAnsi="Times New Roman" w:eastAsia="宋体" w:cs="Times New Roman"/>
          <w:bCs/>
          <w:spacing w:val="5"/>
          <w:sz w:val="24"/>
          <w:szCs w:val="24"/>
          <w:highlight w:val="none"/>
        </w:rPr>
        <w:t>环境影响评价结论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_Toc9235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55D0926">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_Toc29055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9.1</w:t>
      </w:r>
      <w:r>
        <w:rPr>
          <w:rFonts w:hint="default" w:ascii="Times New Roman" w:hAnsi="Times New Roman" w:eastAsia="宋体" w:cs="Times New Roman"/>
          <w:bCs/>
          <w:sz w:val="24"/>
          <w:szCs w:val="24"/>
          <w:highlight w:val="none"/>
          <w:lang w:val="en-US" w:eastAsia="zh-CN"/>
        </w:rPr>
        <w:t>评价结论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_Toc29055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CF7542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_Toc5683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9</w:t>
      </w:r>
      <w:r>
        <w:rPr>
          <w:rFonts w:hint="default" w:ascii="Times New Roman" w:hAnsi="Times New Roman" w:eastAsia="宋体" w:cs="Times New Roman"/>
          <w:bCs/>
          <w:sz w:val="24"/>
          <w:szCs w:val="24"/>
          <w:highlight w:val="none"/>
        </w:rPr>
        <w:t>.</w:t>
      </w:r>
      <w:r>
        <w:rPr>
          <w:rFonts w:hint="default" w:ascii="Times New Roman" w:hAnsi="Times New Roman" w:eastAsia="宋体" w:cs="Times New Roman"/>
          <w:bCs/>
          <w:sz w:val="24"/>
          <w:szCs w:val="24"/>
          <w:highlight w:val="none"/>
          <w:lang w:val="en-US" w:eastAsia="zh-CN"/>
        </w:rPr>
        <w:t>1.</w:t>
      </w:r>
      <w:r>
        <w:rPr>
          <w:rFonts w:hint="default" w:ascii="Times New Roman" w:hAnsi="Times New Roman" w:eastAsia="宋体" w:cs="Times New Roman"/>
          <w:bCs/>
          <w:sz w:val="24"/>
          <w:szCs w:val="24"/>
          <w:highlight w:val="none"/>
        </w:rPr>
        <w:t>1</w:t>
      </w:r>
      <w:r>
        <w:rPr>
          <w:rFonts w:hint="default" w:ascii="Times New Roman" w:hAnsi="Times New Roman" w:eastAsia="宋体" w:cs="Times New Roman"/>
          <w:bCs/>
          <w:sz w:val="24"/>
          <w:szCs w:val="24"/>
          <w:highlight w:val="none"/>
          <w:lang w:val="en-US" w:eastAsia="zh-CN"/>
        </w:rPr>
        <w:t>建设概况</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_Toc5683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10F4424">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_Toc6174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9.1.2项目符合性结论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_Toc6174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EB69FCD">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_Toc15741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9.1.3环境质量现状评价结论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_Toc15741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98E7785">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_Toc6765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9.1.4污染防治措施可行性结论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_Toc6765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BEE7FF8">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_Toc28965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9.1.5</w:t>
      </w:r>
      <w:r>
        <w:rPr>
          <w:rFonts w:hint="default" w:ascii="Times New Roman" w:hAnsi="Times New Roman" w:eastAsia="宋体" w:cs="Times New Roman"/>
          <w:bCs/>
          <w:sz w:val="24"/>
          <w:szCs w:val="24"/>
          <w:highlight w:val="none"/>
        </w:rPr>
        <w:t>经济损益分析结论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_Toc28965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412DD2F">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_Toc26198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9.1.6环境</w:t>
      </w:r>
      <w:r>
        <w:rPr>
          <w:rFonts w:hint="default" w:ascii="Times New Roman" w:hAnsi="Times New Roman" w:eastAsia="宋体" w:cs="Times New Roman"/>
          <w:bCs/>
          <w:sz w:val="24"/>
          <w:szCs w:val="24"/>
          <w:highlight w:val="none"/>
        </w:rPr>
        <w:t>管理与监测结论</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_Toc26198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F8582FE">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_Toc5353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9.1.7</w:t>
      </w:r>
      <w:r>
        <w:rPr>
          <w:rFonts w:hint="default" w:ascii="Times New Roman" w:hAnsi="Times New Roman" w:eastAsia="宋体" w:cs="Times New Roman"/>
          <w:bCs/>
          <w:sz w:val="24"/>
          <w:szCs w:val="24"/>
          <w:highlight w:val="none"/>
        </w:rPr>
        <w:t>公众意见采纳情况</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_Toc5353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7005691">
      <w:pPr>
        <w:pStyle w:val="12"/>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_Toc12334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9.1.8总结</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_Toc12334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040A415">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_Toc13586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pacing w:val="-2"/>
          <w:sz w:val="24"/>
          <w:szCs w:val="24"/>
          <w:highlight w:val="none"/>
          <w:lang w:val="en-US" w:eastAsia="zh-CN"/>
        </w:rPr>
        <w:t>9</w:t>
      </w:r>
      <w:r>
        <w:rPr>
          <w:rFonts w:hint="default" w:ascii="Times New Roman" w:hAnsi="Times New Roman" w:eastAsia="Times New Roman" w:cs="Times New Roman"/>
          <w:bCs/>
          <w:spacing w:val="-2"/>
          <w:sz w:val="24"/>
          <w:szCs w:val="24"/>
          <w:highlight w:val="none"/>
        </w:rPr>
        <w:t>.</w:t>
      </w:r>
      <w:r>
        <w:rPr>
          <w:rFonts w:hint="default" w:ascii="Times New Roman" w:hAnsi="Times New Roman" w:eastAsia="宋体" w:cs="Times New Roman"/>
          <w:bCs/>
          <w:spacing w:val="-2"/>
          <w:sz w:val="24"/>
          <w:szCs w:val="24"/>
          <w:highlight w:val="none"/>
          <w:lang w:val="en-US" w:eastAsia="zh-CN"/>
        </w:rPr>
        <w:t>2  建议</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_Toc13586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178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84C9EEF">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_Toc32574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附表</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_Toc32574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5462FB6">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_Toc16226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lang w:val="en-US" w:eastAsia="zh-CN"/>
        </w:rPr>
        <w:t>附表1：</w:t>
      </w:r>
      <w:r>
        <w:rPr>
          <w:rFonts w:hint="default" w:ascii="Times New Roman" w:hAnsi="Times New Roman" w:eastAsia="宋体" w:cs="Times New Roman"/>
          <w:sz w:val="24"/>
          <w:szCs w:val="24"/>
          <w:highlight w:val="none"/>
        </w:rPr>
        <w:t>建设项目大气环境影响评价自查表</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_Toc16226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730E6A5">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_Toc26482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lang w:val="en-US" w:eastAsia="zh-CN"/>
        </w:rPr>
        <w:t>附表2：建设项目</w:t>
      </w:r>
      <w:r>
        <w:rPr>
          <w:rFonts w:hint="default" w:ascii="Times New Roman" w:hAnsi="Times New Roman" w:eastAsia="宋体" w:cs="Times New Roman"/>
          <w:sz w:val="24"/>
          <w:szCs w:val="24"/>
          <w:highlight w:val="none"/>
        </w:rPr>
        <w:t>地表水环境影响评价自查表</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_Toc26482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D07EA7C">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_Toc10363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lang w:val="en-US" w:eastAsia="zh-CN"/>
        </w:rPr>
        <w:t>附表3：建设项目声环境影响评价自查表</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_Toc10363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3B527F9">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_Toc8613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lang w:val="en-US" w:eastAsia="zh-CN"/>
        </w:rPr>
        <w:t>附表4：建设项目</w:t>
      </w:r>
      <w:r>
        <w:rPr>
          <w:rFonts w:hint="default" w:ascii="Times New Roman" w:hAnsi="Times New Roman" w:eastAsia="宋体" w:cs="Times New Roman"/>
          <w:sz w:val="24"/>
          <w:szCs w:val="24"/>
          <w:highlight w:val="none"/>
        </w:rPr>
        <w:t>环境风险评价自查表</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_Toc8613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054B365">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_Toc2442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lang w:val="en-US" w:eastAsia="zh-CN"/>
        </w:rPr>
        <w:t>附表5：建设项目</w:t>
      </w:r>
      <w:r>
        <w:rPr>
          <w:rFonts w:hint="default" w:ascii="Times New Roman" w:hAnsi="Times New Roman" w:eastAsia="宋体" w:cs="Times New Roman"/>
          <w:sz w:val="24"/>
          <w:szCs w:val="24"/>
          <w:highlight w:val="none"/>
        </w:rPr>
        <w:t>土壤环境影响评价自查表</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_Toc2442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771D55C">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_Toc32545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pacing w:val="0"/>
          <w:kern w:val="2"/>
          <w:sz w:val="24"/>
          <w:szCs w:val="24"/>
          <w:highlight w:val="none"/>
          <w:lang w:val="en-US" w:eastAsia="zh-CN" w:bidi="ar-SA"/>
        </w:rPr>
        <w:t>附表6：</w:t>
      </w:r>
      <w:r>
        <w:rPr>
          <w:rFonts w:hint="default" w:ascii="Times New Roman" w:hAnsi="Times New Roman" w:eastAsia="宋体" w:cs="Times New Roman"/>
          <w:sz w:val="24"/>
          <w:szCs w:val="24"/>
          <w:highlight w:val="none"/>
          <w:lang w:val="en-US" w:eastAsia="zh-CN"/>
        </w:rPr>
        <w:t>建设项目</w:t>
      </w:r>
      <w:r>
        <w:rPr>
          <w:rFonts w:hint="default" w:ascii="Times New Roman" w:hAnsi="Times New Roman" w:eastAsia="宋体" w:cs="Times New Roman"/>
          <w:spacing w:val="0"/>
          <w:kern w:val="2"/>
          <w:sz w:val="24"/>
          <w:szCs w:val="24"/>
          <w:highlight w:val="none"/>
          <w:lang w:val="en-US" w:eastAsia="zh-CN" w:bidi="ar-SA"/>
        </w:rPr>
        <w:t>生态影响评价自查表</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_Toc32545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331B7A5">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_Toc24633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附件</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_Toc24633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26F440F">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_Toc23115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附件1营业执照</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_Toc23115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189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A3605E4">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_Toc11057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2</w:t>
      </w:r>
      <w:r>
        <w:rPr>
          <w:rFonts w:hint="default" w:ascii="Times New Roman" w:hAnsi="Times New Roman" w:eastAsia="Times New Roman" w:cs="Times New Roman"/>
          <w:bCs/>
          <w:spacing w:val="5"/>
          <w:sz w:val="24"/>
          <w:szCs w:val="24"/>
          <w:highlight w:val="none"/>
        </w:rPr>
        <w:t>用地手续</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_Toc11057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190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C407876">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_Toc30108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3</w:t>
      </w:r>
      <w:r>
        <w:rPr>
          <w:rFonts w:hint="default" w:ascii="Times New Roman" w:hAnsi="Times New Roman" w:eastAsia="Times New Roman" w:cs="Times New Roman"/>
          <w:bCs/>
          <w:spacing w:val="5"/>
          <w:sz w:val="24"/>
          <w:szCs w:val="24"/>
          <w:highlight w:val="none"/>
        </w:rPr>
        <w:t>无害化处置协议</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_Toc30108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196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599A204">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_Toc12214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4粪污消纳协议</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_Toc12214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200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8C05341">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_Toc839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5现状检测报告</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_Toc839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203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06D0506">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_Toc22822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6医疗废物处理协议</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_Toc22822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220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F898987">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_Toc9030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7 企业投资备案承诺书</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_Toc9030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224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C2822BE">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_Toc26973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8生态环境分区管控分析报告</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_Toc26973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225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E7BD2C3">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_Toc21158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9委托单位双鸭山翁氏环保有限公司资质报告</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_Toc21158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230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D519E30">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_Toc10573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10委托单位双鸭山百奥迈斯生物科技有限公司资质报告</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_Toc10573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231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D02CE2D">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_Toc24131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11委托单位集贤县远东牧业有限公司环评批复</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_Toc24131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232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09311CC">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_Toc847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12委托单位双鸭山市永胜农机合作社环评批复</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_Toc847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235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5EF757AD">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_Toc15445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rPr>
        <w:t>附件</w:t>
      </w:r>
      <w:r>
        <w:rPr>
          <w:rFonts w:hint="default" w:ascii="Times New Roman" w:hAnsi="Times New Roman" w:eastAsia="Times New Roman" w:cs="Times New Roman"/>
          <w:bCs/>
          <w:spacing w:val="5"/>
          <w:sz w:val="24"/>
          <w:szCs w:val="24"/>
          <w:highlight w:val="none"/>
          <w:lang w:val="en-US" w:eastAsia="zh-CN"/>
        </w:rPr>
        <w:t>13项目位置情况证明</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_Toc15445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236</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1240D16">
      <w:pPr>
        <w:pStyle w:val="19"/>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_Toc31986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_Toc31986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239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465FD13D">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_Toc2943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附图1项目地理位置图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_Toc2943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239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328560D">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_Toc29784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附图2厂区平面布置图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_Toc29784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240</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6C49CF7">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_Toc11073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附图3环境保护目标图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_Toc11073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241</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B621532">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_Toc25949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附图4评价范围图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_Toc25949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242</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76BAA992">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_Toc16626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附图5分区防渗图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_Toc16626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243</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61135568">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_Toc23841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附图6行政区划图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_Toc23841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244</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3DB7BD54">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_Toc21948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附图7 厂区四周环境图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_Toc21948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245</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D440EC4">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_Toc13991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附图8 集贤县禁养区分布图位置关系图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_Toc13991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247</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2F3B3050">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_Toc23843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附图9 评价区植被植被类型分布图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_Toc23843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248</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1E4C8AF5">
      <w:pPr>
        <w:pStyle w:val="21"/>
        <w:keepNext w:val="0"/>
        <w:keepLines w:val="0"/>
        <w:pageBreakBefore w:val="0"/>
        <w:widowControl/>
        <w:tabs>
          <w:tab w:val="right" w:leader="dot" w:pos="8311"/>
        </w:tabs>
        <w:overflowPunct/>
        <w:bidi w:val="0"/>
        <w:adjustRightInd w:val="0"/>
        <w:snapToGrid w:val="0"/>
        <w:spacing w:line="360" w:lineRule="auto"/>
        <w:textAlignment w:val="baseline"/>
        <w:rPr>
          <w:rFonts w:hint="default" w:ascii="Times New Roman" w:hAnsi="Times New Roman" w:cs="Times New Roman"/>
          <w:sz w:val="24"/>
          <w:szCs w:val="24"/>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_Toc20903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Times New Roman" w:cs="Times New Roman"/>
          <w:bCs/>
          <w:spacing w:val="5"/>
          <w:sz w:val="24"/>
          <w:szCs w:val="24"/>
          <w:highlight w:val="none"/>
          <w:lang w:val="en-US" w:eastAsia="zh-CN"/>
        </w:rPr>
        <w:t>附图10评价区土地利用现状图</w:t>
      </w:r>
      <w:r>
        <w:rPr>
          <w:rFonts w:hint="default" w:ascii="Times New Roman" w:hAnsi="Times New Roman" w:cs="Times New Roman"/>
          <w:sz w:val="24"/>
          <w:szCs w:val="24"/>
        </w:rPr>
        <w:tab/>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PAGEREF _Toc20903 \h </w:instrText>
      </w:r>
      <w:r>
        <w:rPr>
          <w:rFonts w:hint="default" w:ascii="Times New Roman" w:hAnsi="Times New Roman" w:cs="Times New Roman"/>
          <w:sz w:val="24"/>
          <w:szCs w:val="24"/>
        </w:rPr>
        <w:fldChar w:fldCharType="separate"/>
      </w:r>
      <w:r>
        <w:rPr>
          <w:rFonts w:hint="default" w:ascii="Times New Roman" w:hAnsi="Times New Roman" w:cs="Times New Roman"/>
          <w:sz w:val="24"/>
          <w:szCs w:val="24"/>
        </w:rPr>
        <w:t>249</w:t>
      </w:r>
      <w:r>
        <w:rPr>
          <w:rFonts w:hint="default" w:ascii="Times New Roman" w:hAnsi="Times New Roman" w:cs="Times New Roman"/>
          <w:sz w:val="24"/>
          <w:szCs w:val="24"/>
        </w:rPr>
        <w:fldChar w:fldCharType="end"/>
      </w:r>
      <w:r>
        <w:rPr>
          <w:rFonts w:hint="default" w:ascii="Times New Roman" w:hAnsi="Times New Roman" w:eastAsia="宋体" w:cs="Times New Roman"/>
          <w:color w:val="auto"/>
          <w:sz w:val="24"/>
          <w:szCs w:val="24"/>
          <w:highlight w:val="none"/>
        </w:rPr>
        <w:fldChar w:fldCharType="end"/>
      </w:r>
    </w:p>
    <w:p w14:paraId="099E6B15">
      <w:pPr>
        <w:keepNext w:val="0"/>
        <w:keepLines w:val="0"/>
        <w:pageBreakBefore w:val="0"/>
        <w:widowControl/>
        <w:kinsoku/>
        <w:wordWrap w:val="0"/>
        <w:overflowPunct/>
        <w:topLinePunct/>
        <w:autoSpaceDE/>
        <w:autoSpaceDN/>
        <w:bidi w:val="0"/>
        <w:adjustRightInd w:val="0"/>
        <w:snapToGrid w:val="0"/>
        <w:spacing w:line="360" w:lineRule="auto"/>
        <w:textAlignment w:val="baseline"/>
        <w:rPr>
          <w:rFonts w:hint="default" w:ascii="Times New Roman" w:hAnsi="Times New Roman" w:eastAsia="宋体" w:cs="Times New Roman"/>
          <w:snapToGrid w:val="0"/>
          <w:color w:val="auto"/>
          <w:kern w:val="0"/>
          <w:sz w:val="24"/>
          <w:szCs w:val="24"/>
          <w:highlight w:val="none"/>
          <w:lang w:val="en-US" w:eastAsia="en-US" w:bidi="ar-SA"/>
        </w:rPr>
        <w:sectPr>
          <w:footerReference r:id="rId6" w:type="default"/>
          <w:pgSz w:w="11905" w:h="16838"/>
          <w:pgMar w:top="1440" w:right="1797" w:bottom="1440" w:left="1797" w:header="0" w:footer="1060" w:gutter="0"/>
          <w:pgBorders>
            <w:top w:val="none" w:sz="0" w:space="0"/>
            <w:left w:val="none" w:sz="0" w:space="0"/>
            <w:bottom w:val="none" w:sz="0" w:space="0"/>
            <w:right w:val="none" w:sz="0" w:space="0"/>
          </w:pgBorders>
          <w:cols w:space="0" w:num="1"/>
          <w:rtlGutter w:val="0"/>
          <w:docGrid w:linePitch="0" w:charSpace="0"/>
        </w:sectPr>
      </w:pPr>
      <w:r>
        <w:rPr>
          <w:rFonts w:hint="default" w:ascii="Times New Roman" w:hAnsi="Times New Roman" w:eastAsia="宋体" w:cs="Times New Roman"/>
          <w:color w:val="auto"/>
          <w:sz w:val="24"/>
          <w:szCs w:val="24"/>
          <w:highlight w:val="none"/>
        </w:rPr>
        <w:fldChar w:fldCharType="end"/>
      </w:r>
    </w:p>
    <w:p w14:paraId="36FB9A9D">
      <w:pPr>
        <w:keepNext w:val="0"/>
        <w:keepLines w:val="0"/>
        <w:pageBreakBefore w:val="0"/>
        <w:kinsoku/>
        <w:wordWrap w:val="0"/>
        <w:overflowPunct/>
        <w:topLinePunct/>
        <w:autoSpaceDE/>
        <w:autoSpaceDN/>
        <w:bidi w:val="0"/>
        <w:adjustRightInd w:val="0"/>
        <w:snapToGrid w:val="0"/>
        <w:spacing w:before="138" w:line="239" w:lineRule="auto"/>
        <w:ind w:left="12"/>
        <w:textAlignment w:val="baseline"/>
        <w:outlineLvl w:val="0"/>
        <w:rPr>
          <w:rFonts w:hint="default" w:ascii="Times New Roman" w:hAnsi="Times New Roman" w:eastAsia="宋体" w:cs="Times New Roman"/>
          <w:color w:val="auto"/>
          <w:sz w:val="32"/>
          <w:szCs w:val="32"/>
          <w:highlight w:val="none"/>
        </w:rPr>
      </w:pPr>
      <w:bookmarkStart w:id="1" w:name="_Toc3001"/>
      <w:bookmarkStart w:id="2" w:name="_Toc21102"/>
      <w:bookmarkStart w:id="3" w:name="_Toc25563"/>
      <w:r>
        <w:rPr>
          <w:rFonts w:hint="default" w:ascii="Times New Roman" w:hAnsi="Times New Roman" w:eastAsia="Times New Roman" w:cs="Times New Roman"/>
          <w:b/>
          <w:bCs/>
          <w:color w:val="auto"/>
          <w:sz w:val="32"/>
          <w:szCs w:val="32"/>
          <w:highlight w:val="none"/>
        </w:rPr>
        <w:t>1.</w:t>
      </w:r>
      <w:r>
        <w:rPr>
          <w:rFonts w:hint="default" w:ascii="Times New Roman" w:hAnsi="Times New Roman" w:eastAsia="宋体" w:cs="Times New Roman"/>
          <w:b/>
          <w:bCs/>
          <w:color w:val="auto"/>
          <w:sz w:val="32"/>
          <w:szCs w:val="32"/>
          <w:highlight w:val="none"/>
        </w:rPr>
        <w:t>概述</w:t>
      </w:r>
      <w:bookmarkEnd w:id="1"/>
      <w:bookmarkEnd w:id="2"/>
      <w:bookmarkEnd w:id="3"/>
    </w:p>
    <w:p w14:paraId="52A34FC1">
      <w:pPr>
        <w:keepNext w:val="0"/>
        <w:keepLines w:val="0"/>
        <w:pageBreakBefore w:val="0"/>
        <w:kinsoku/>
        <w:wordWrap w:val="0"/>
        <w:overflowPunct/>
        <w:topLinePunct/>
        <w:autoSpaceDE/>
        <w:autoSpaceDN/>
        <w:bidi w:val="0"/>
        <w:adjustRightInd w:val="0"/>
        <w:snapToGrid w:val="0"/>
        <w:spacing w:before="159" w:line="234" w:lineRule="auto"/>
        <w:ind w:left="13"/>
        <w:textAlignment w:val="baseline"/>
        <w:outlineLvl w:val="1"/>
        <w:rPr>
          <w:rFonts w:hint="default" w:ascii="Times New Roman" w:hAnsi="Times New Roman" w:eastAsia="宋体" w:cs="Times New Roman"/>
          <w:b/>
          <w:bCs/>
          <w:color w:val="auto"/>
          <w:spacing w:val="-5"/>
          <w:sz w:val="28"/>
          <w:szCs w:val="28"/>
          <w:highlight w:val="none"/>
          <w:lang w:val="en-US" w:eastAsia="zh-CN"/>
        </w:rPr>
      </w:pPr>
      <w:bookmarkStart w:id="4" w:name="_Toc19035"/>
      <w:bookmarkStart w:id="5" w:name="_Toc14623"/>
      <w:r>
        <w:rPr>
          <w:rFonts w:hint="default" w:ascii="Times New Roman" w:hAnsi="Times New Roman" w:eastAsia="宋体" w:cs="Times New Roman"/>
          <w:b/>
          <w:bCs/>
          <w:color w:val="auto"/>
          <w:spacing w:val="-5"/>
          <w:sz w:val="28"/>
          <w:szCs w:val="28"/>
          <w:highlight w:val="none"/>
          <w:lang w:val="en-US" w:eastAsia="zh-CN"/>
        </w:rPr>
        <w:t>1.1项目由来</w:t>
      </w:r>
      <w:bookmarkEnd w:id="4"/>
      <w:bookmarkEnd w:id="5"/>
    </w:p>
    <w:p w14:paraId="0B4FB50A">
      <w:pPr>
        <w:keepNext w:val="0"/>
        <w:keepLines w:val="0"/>
        <w:pageBreakBefore w:val="0"/>
        <w:widowControl/>
        <w:kinsoku/>
        <w:wordWrap w:val="0"/>
        <w:overflowPunct/>
        <w:topLinePunct/>
        <w:autoSpaceDE/>
        <w:autoSpaceDN/>
        <w:bidi w:val="0"/>
        <w:adjustRightInd w:val="0"/>
        <w:snapToGrid w:val="0"/>
        <w:spacing w:before="211" w:line="360" w:lineRule="auto"/>
        <w:ind w:firstLine="468"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的建设符合黑龙江省和双鸭山市的畜牧产业发展方向，发展畜禽标准化规模养殖，是加快生产方式转变，建设现代畜牧业的重要内容。加快推进畜禽标准化规模养殖，有利于增强畜牧业综合生产能力，保障畜产品供给安全；可以从源头对产品质量安全进行控制，提升畜产品质量安全水平，通过规模化养殖，能有效提升疫病防控能力，降低疫病风险，确保人畜安全。同时，标准化、规模化养殖可以保证畜禽粪污的集中有效处理和资源化利用，实现畜牧业与环境的协调发展。项目的建设对于充</w:t>
      </w:r>
      <w:r>
        <w:rPr>
          <w:rFonts w:hint="default" w:ascii="Times New Roman" w:hAnsi="Times New Roman" w:eastAsia="宋体" w:cs="Times New Roman"/>
          <w:color w:val="auto"/>
          <w:spacing w:val="-1"/>
          <w:sz w:val="24"/>
          <w:szCs w:val="24"/>
          <w:highlight w:val="none"/>
        </w:rPr>
        <w:t>分发挥双鸭山市地区资源优势、促进畜牧业产业结构调整、提高畜产品质量和收益、</w:t>
      </w:r>
      <w:r>
        <w:rPr>
          <w:rFonts w:hint="default" w:ascii="Times New Roman" w:hAnsi="Times New Roman" w:eastAsia="宋体" w:cs="Times New Roman"/>
          <w:color w:val="auto"/>
          <w:spacing w:val="-2"/>
          <w:sz w:val="24"/>
          <w:szCs w:val="24"/>
          <w:highlight w:val="none"/>
        </w:rPr>
        <w:t>推动畜禽养殖业向规模化方向发展具有十分重要的意义。</w:t>
      </w:r>
    </w:p>
    <w:p w14:paraId="6C6DE6AD">
      <w:pPr>
        <w:keepNext w:val="0"/>
        <w:keepLines w:val="0"/>
        <w:pageBreakBefore w:val="0"/>
        <w:widowControl/>
        <w:tabs>
          <w:tab w:val="left" w:pos="8779"/>
        </w:tabs>
        <w:kinsoku/>
        <w:wordWrap w:val="0"/>
        <w:overflowPunct/>
        <w:topLinePunct/>
        <w:autoSpaceDE/>
        <w:autoSpaceDN/>
        <w:bidi w:val="0"/>
        <w:adjustRightInd w:val="0"/>
        <w:snapToGrid w:val="0"/>
        <w:spacing w:line="360" w:lineRule="auto"/>
        <w:ind w:left="0" w:right="0" w:firstLine="476" w:firstLineChars="200"/>
        <w:jc w:val="both"/>
        <w:textAlignment w:val="baseline"/>
        <w:rPr>
          <w:rFonts w:hint="default" w:ascii="Times New Roman" w:hAnsi="Times New Roman" w:eastAsia="宋体" w:cs="Times New Roman"/>
          <w:color w:val="FF0000"/>
          <w:spacing w:val="-1"/>
          <w:sz w:val="24"/>
          <w:szCs w:val="24"/>
          <w:highlight w:val="none"/>
          <w:lang w:val="en-US" w:eastAsia="zh-CN"/>
        </w:rPr>
      </w:pPr>
      <w:r>
        <w:rPr>
          <w:rFonts w:hint="default" w:ascii="Times New Roman" w:hAnsi="Times New Roman" w:eastAsia="宋体" w:cs="Times New Roman"/>
          <w:color w:val="FF0000"/>
          <w:spacing w:val="-1"/>
          <w:sz w:val="24"/>
          <w:szCs w:val="24"/>
          <w:highlight w:val="none"/>
        </w:rPr>
        <w:t>双鸭山市</w:t>
      </w:r>
      <w:r>
        <w:rPr>
          <w:rFonts w:hint="default" w:ascii="Times New Roman" w:hAnsi="Times New Roman" w:eastAsia="宋体" w:cs="Times New Roman"/>
          <w:color w:val="FF0000"/>
          <w:spacing w:val="-1"/>
          <w:sz w:val="24"/>
          <w:szCs w:val="24"/>
          <w:highlight w:val="none"/>
          <w:lang w:val="en-US" w:eastAsia="zh-CN"/>
        </w:rPr>
        <w:t>永胜农机合作社拟建设肉牛养殖基地项目位于双鸭山市集贤县集贤镇种畜场（康家屯），建设牛舍、运动场、草料棚、粪污储存间等</w:t>
      </w:r>
      <w:r>
        <w:rPr>
          <w:rFonts w:hint="eastAsia" w:ascii="Times New Roman" w:hAnsi="Times New Roman" w:eastAsia="宋体" w:cs="Times New Roman"/>
          <w:color w:val="FF0000"/>
          <w:spacing w:val="-1"/>
          <w:sz w:val="24"/>
          <w:szCs w:val="24"/>
          <w:highlight w:val="none"/>
          <w:lang w:val="en-US" w:eastAsia="zh-CN"/>
        </w:rPr>
        <w:t>基础设施</w:t>
      </w:r>
      <w:r>
        <w:rPr>
          <w:rFonts w:hint="default" w:ascii="Times New Roman" w:hAnsi="Times New Roman" w:eastAsia="宋体" w:cs="Times New Roman"/>
          <w:color w:val="FF0000"/>
          <w:spacing w:val="-1"/>
          <w:sz w:val="24"/>
          <w:szCs w:val="24"/>
          <w:highlight w:val="none"/>
          <w:lang w:val="en-US" w:eastAsia="zh-CN"/>
        </w:rPr>
        <w:t>以及配套设施，养殖肉牛5000头，出栏1000头，投资1.1亿元，已于黑龙江省政务服务网进行项目投资立项（立项文件见附表）。</w:t>
      </w:r>
    </w:p>
    <w:p w14:paraId="297F1019">
      <w:pPr>
        <w:keepNext w:val="0"/>
        <w:keepLines w:val="0"/>
        <w:pageBreakBefore w:val="0"/>
        <w:widowControl/>
        <w:tabs>
          <w:tab w:val="left" w:pos="8779"/>
        </w:tabs>
        <w:kinsoku/>
        <w:wordWrap w:val="0"/>
        <w:overflowPunct/>
        <w:topLinePunct/>
        <w:autoSpaceDE/>
        <w:autoSpaceDN/>
        <w:bidi w:val="0"/>
        <w:adjustRightInd w:val="0"/>
        <w:snapToGrid w:val="0"/>
        <w:spacing w:line="360" w:lineRule="auto"/>
        <w:ind w:left="0" w:right="0" w:firstLine="420" w:firstLineChars="200"/>
        <w:jc w:val="both"/>
        <w:textAlignment w:val="baseline"/>
        <w:rPr>
          <w:rFonts w:hint="default" w:ascii="Times New Roman" w:hAnsi="Times New Roman" w:eastAsia="宋体" w:cs="Times New Roman"/>
          <w:color w:val="auto"/>
          <w:sz w:val="24"/>
          <w:szCs w:val="24"/>
          <w:highlight w:val="none"/>
          <w:shd w:val="clear" w:color="auto" w:fill="auto"/>
        </w:rPr>
      </w:pPr>
      <w:r>
        <w:rPr>
          <w:rFonts w:hint="default" w:ascii="Times New Roman" w:hAnsi="Times New Roman" w:eastAsia="宋体" w:cs="Times New Roman"/>
          <w:color w:val="auto"/>
          <w:spacing w:val="-15"/>
          <w:sz w:val="24"/>
          <w:szCs w:val="24"/>
          <w:highlight w:val="none"/>
          <w:shd w:val="clear" w:color="auto" w:fill="auto"/>
        </w:rPr>
        <w:t>本项目属于《建设项目环境影响评价分类管理名录》中</w:t>
      </w:r>
      <w:r>
        <w:rPr>
          <w:rFonts w:hint="default" w:ascii="Times New Roman" w:hAnsi="Times New Roman" w:eastAsia="宋体" w:cs="Times New Roman"/>
          <w:color w:val="auto"/>
          <w:spacing w:val="-15"/>
          <w:sz w:val="24"/>
          <w:szCs w:val="24"/>
          <w:highlight w:val="none"/>
          <w:shd w:val="clear" w:color="auto" w:fill="auto"/>
          <w:lang w:val="en-US" w:eastAsia="zh-CN"/>
        </w:rPr>
        <w:t>“</w:t>
      </w:r>
      <w:r>
        <w:rPr>
          <w:rFonts w:hint="default" w:ascii="Times New Roman" w:hAnsi="Times New Roman" w:eastAsia="宋体" w:cs="Times New Roman"/>
          <w:color w:val="auto"/>
          <w:spacing w:val="-15"/>
          <w:sz w:val="24"/>
          <w:szCs w:val="24"/>
          <w:highlight w:val="none"/>
          <w:shd w:val="clear" w:color="auto" w:fill="auto"/>
        </w:rPr>
        <w:t>二、畜牧业</w:t>
      </w:r>
      <w:r>
        <w:rPr>
          <w:rFonts w:hint="default" w:ascii="Times New Roman" w:hAnsi="Times New Roman" w:eastAsia="Times New Roman" w:cs="Times New Roman"/>
          <w:color w:val="auto"/>
          <w:spacing w:val="-15"/>
          <w:sz w:val="24"/>
          <w:szCs w:val="24"/>
          <w:highlight w:val="none"/>
          <w:shd w:val="clear" w:color="auto" w:fill="auto"/>
        </w:rPr>
        <w:t>1.</w:t>
      </w:r>
      <w:r>
        <w:rPr>
          <w:rFonts w:hint="default" w:ascii="Times New Roman" w:hAnsi="Times New Roman" w:eastAsia="宋体" w:cs="Times New Roman"/>
          <w:color w:val="auto"/>
          <w:spacing w:val="-15"/>
          <w:sz w:val="24"/>
          <w:szCs w:val="24"/>
          <w:highlight w:val="none"/>
          <w:shd w:val="clear" w:color="auto" w:fill="auto"/>
        </w:rPr>
        <w:t>牲畜饲养：</w:t>
      </w:r>
      <w:r>
        <w:rPr>
          <w:rFonts w:hint="default" w:ascii="Times New Roman" w:hAnsi="Times New Roman" w:eastAsia="宋体" w:cs="Times New Roman"/>
          <w:color w:val="auto"/>
          <w:spacing w:val="-3"/>
          <w:sz w:val="24"/>
          <w:szCs w:val="24"/>
          <w:highlight w:val="none"/>
          <w:shd w:val="clear" w:color="auto" w:fill="auto"/>
        </w:rPr>
        <w:t>年出栏生猪</w:t>
      </w:r>
      <w:r>
        <w:rPr>
          <w:rFonts w:hint="default" w:ascii="Times New Roman" w:hAnsi="Times New Roman" w:eastAsia="Times New Roman" w:cs="Times New Roman"/>
          <w:color w:val="auto"/>
          <w:spacing w:val="-3"/>
          <w:sz w:val="24"/>
          <w:szCs w:val="24"/>
          <w:highlight w:val="none"/>
          <w:shd w:val="clear" w:color="auto" w:fill="auto"/>
        </w:rPr>
        <w:t>5000</w:t>
      </w:r>
      <w:r>
        <w:rPr>
          <w:rFonts w:hint="default" w:ascii="Times New Roman" w:hAnsi="Times New Roman" w:eastAsia="宋体" w:cs="Times New Roman"/>
          <w:color w:val="auto"/>
          <w:spacing w:val="-3"/>
          <w:sz w:val="24"/>
          <w:szCs w:val="24"/>
          <w:highlight w:val="none"/>
          <w:shd w:val="clear" w:color="auto" w:fill="auto"/>
        </w:rPr>
        <w:t>头（其他畜禽种类折合猪的养殖规模）及以上</w:t>
      </w:r>
      <w:r>
        <w:rPr>
          <w:rFonts w:hint="default" w:ascii="Times New Roman" w:hAnsi="Times New Roman" w:eastAsia="Times New Roman" w:cs="Times New Roman"/>
          <w:color w:val="auto"/>
          <w:spacing w:val="-3"/>
          <w:sz w:val="24"/>
          <w:szCs w:val="24"/>
          <w:highlight w:val="none"/>
          <w:shd w:val="clear" w:color="auto" w:fill="auto"/>
        </w:rPr>
        <w:t>”</w:t>
      </w:r>
      <w:r>
        <w:rPr>
          <w:rFonts w:hint="default" w:ascii="Times New Roman" w:hAnsi="Times New Roman" w:eastAsia="宋体" w:cs="Times New Roman"/>
          <w:color w:val="auto"/>
          <w:spacing w:val="-3"/>
          <w:sz w:val="24"/>
          <w:szCs w:val="24"/>
          <w:highlight w:val="none"/>
          <w:shd w:val="clear" w:color="auto" w:fill="auto"/>
        </w:rPr>
        <w:t>，根据《畜禽养殖业</w:t>
      </w:r>
      <w:r>
        <w:rPr>
          <w:rFonts w:hint="default" w:ascii="Times New Roman" w:hAnsi="Times New Roman" w:eastAsia="宋体" w:cs="Times New Roman"/>
          <w:color w:val="auto"/>
          <w:spacing w:val="-4"/>
          <w:sz w:val="24"/>
          <w:szCs w:val="24"/>
          <w:highlight w:val="none"/>
          <w:shd w:val="clear" w:color="auto" w:fill="auto"/>
        </w:rPr>
        <w:t>污染物排放标准》（</w:t>
      </w:r>
      <w:r>
        <w:rPr>
          <w:rFonts w:hint="default" w:ascii="Times New Roman" w:hAnsi="Times New Roman" w:eastAsia="Times New Roman" w:cs="Times New Roman"/>
          <w:color w:val="auto"/>
          <w:spacing w:val="-4"/>
          <w:sz w:val="24"/>
          <w:szCs w:val="24"/>
          <w:highlight w:val="none"/>
          <w:shd w:val="clear" w:color="auto" w:fill="auto"/>
        </w:rPr>
        <w:t>GB18596-2001</w:t>
      </w:r>
      <w:r>
        <w:rPr>
          <w:rFonts w:hint="default" w:ascii="Times New Roman" w:hAnsi="Times New Roman" w:eastAsia="宋体" w:cs="Times New Roman"/>
          <w:color w:val="auto"/>
          <w:spacing w:val="-4"/>
          <w:sz w:val="24"/>
          <w:szCs w:val="24"/>
          <w:highlight w:val="none"/>
          <w:shd w:val="clear" w:color="auto" w:fill="auto"/>
        </w:rPr>
        <w:t>）</w:t>
      </w:r>
      <w:r>
        <w:rPr>
          <w:rFonts w:hint="default" w:ascii="Times New Roman" w:hAnsi="Times New Roman" w:eastAsia="Times New Roman" w:cs="Times New Roman"/>
          <w:color w:val="auto"/>
          <w:spacing w:val="-4"/>
          <w:sz w:val="24"/>
          <w:szCs w:val="24"/>
          <w:highlight w:val="none"/>
          <w:shd w:val="clear" w:color="auto" w:fill="auto"/>
        </w:rPr>
        <w:t>1</w:t>
      </w:r>
      <w:r>
        <w:rPr>
          <w:rFonts w:hint="default" w:ascii="Times New Roman" w:hAnsi="Times New Roman" w:eastAsia="宋体" w:cs="Times New Roman"/>
          <w:color w:val="auto"/>
          <w:spacing w:val="-4"/>
          <w:sz w:val="24"/>
          <w:szCs w:val="24"/>
          <w:highlight w:val="none"/>
          <w:shd w:val="clear" w:color="auto" w:fill="auto"/>
        </w:rPr>
        <w:t>头肉牛折算成</w:t>
      </w:r>
      <w:r>
        <w:rPr>
          <w:rFonts w:hint="default" w:ascii="Times New Roman" w:hAnsi="Times New Roman" w:eastAsia="Times New Roman" w:cs="Times New Roman"/>
          <w:color w:val="auto"/>
          <w:spacing w:val="-4"/>
          <w:sz w:val="24"/>
          <w:szCs w:val="24"/>
          <w:highlight w:val="none"/>
          <w:shd w:val="clear" w:color="auto" w:fill="auto"/>
        </w:rPr>
        <w:t>5</w:t>
      </w:r>
      <w:r>
        <w:rPr>
          <w:rFonts w:hint="default" w:ascii="Times New Roman" w:hAnsi="Times New Roman" w:eastAsia="宋体" w:cs="Times New Roman"/>
          <w:color w:val="auto"/>
          <w:spacing w:val="-4"/>
          <w:sz w:val="24"/>
          <w:szCs w:val="24"/>
          <w:highlight w:val="none"/>
          <w:shd w:val="clear" w:color="auto" w:fill="auto"/>
        </w:rPr>
        <w:t>头猪，</w:t>
      </w:r>
      <w:r>
        <w:rPr>
          <w:rFonts w:hint="default" w:ascii="Times New Roman" w:hAnsi="Times New Roman" w:eastAsia="宋体" w:cs="Times New Roman"/>
          <w:color w:val="auto"/>
          <w:sz w:val="24"/>
          <w:highlight w:val="none"/>
          <w:lang w:eastAsia="zh-CN"/>
        </w:rPr>
        <w:t>本项目年</w:t>
      </w:r>
      <w:r>
        <w:rPr>
          <w:rFonts w:hint="default" w:ascii="Times New Roman" w:hAnsi="Times New Roman" w:eastAsia="宋体" w:cs="Times New Roman"/>
          <w:color w:val="auto"/>
          <w:sz w:val="24"/>
          <w:highlight w:val="none"/>
          <w:lang w:val="en-US" w:eastAsia="zh-CN"/>
        </w:rPr>
        <w:t>出栏</w:t>
      </w:r>
      <w:r>
        <w:rPr>
          <w:rFonts w:hint="default" w:ascii="Times New Roman" w:hAnsi="Times New Roman" w:eastAsia="宋体" w:cs="Times New Roman"/>
          <w:color w:val="auto"/>
          <w:sz w:val="24"/>
          <w:highlight w:val="none"/>
          <w:lang w:eastAsia="zh-CN"/>
        </w:rPr>
        <w:t>肉牛</w:t>
      </w:r>
      <w:r>
        <w:rPr>
          <w:rFonts w:hint="default" w:ascii="Times New Roman" w:hAnsi="Times New Roman" w:eastAsia="宋体" w:cs="Times New Roman"/>
          <w:color w:val="auto"/>
          <w:sz w:val="24"/>
          <w:highlight w:val="none"/>
          <w:lang w:val="en-US" w:eastAsia="zh-CN"/>
        </w:rPr>
        <w:t>10</w:t>
      </w:r>
      <w:r>
        <w:rPr>
          <w:rFonts w:hint="default" w:ascii="Times New Roman" w:hAnsi="Times New Roman" w:eastAsia="宋体" w:cs="Times New Roman"/>
          <w:color w:val="auto"/>
          <w:sz w:val="24"/>
          <w:highlight w:val="none"/>
          <w:lang w:eastAsia="zh-CN"/>
        </w:rPr>
        <w:t>00头、</w:t>
      </w:r>
      <w:r>
        <w:rPr>
          <w:rFonts w:hint="default" w:ascii="Times New Roman" w:hAnsi="Times New Roman" w:eastAsia="宋体" w:cs="Times New Roman"/>
          <w:color w:val="auto"/>
          <w:sz w:val="24"/>
          <w:szCs w:val="24"/>
          <w:highlight w:val="none"/>
          <w:lang w:val="en-US" w:eastAsia="zh-CN"/>
        </w:rPr>
        <w:t>年存栏肉牛5000头</w:t>
      </w:r>
      <w:r>
        <w:rPr>
          <w:rFonts w:hint="default" w:ascii="Times New Roman" w:hAnsi="Times New Roman" w:eastAsia="宋体" w:cs="Times New Roman"/>
          <w:color w:val="auto"/>
          <w:sz w:val="24"/>
          <w:highlight w:val="none"/>
          <w:lang w:eastAsia="zh-CN"/>
        </w:rPr>
        <w:t>，根据《畜禽养殖业污染物排放标准》（GB18596-2001）1头肉牛折算成5头猪，经折算本项目年出栏生猪</w:t>
      </w:r>
      <w:r>
        <w:rPr>
          <w:rFonts w:hint="default" w:ascii="Times New Roman" w:hAnsi="Times New Roman" w:eastAsia="宋体" w:cs="Times New Roman"/>
          <w:color w:val="auto"/>
          <w:sz w:val="24"/>
          <w:highlight w:val="none"/>
          <w:lang w:val="en-US" w:eastAsia="zh-CN"/>
        </w:rPr>
        <w:t>5000</w:t>
      </w:r>
      <w:r>
        <w:rPr>
          <w:rFonts w:hint="default" w:ascii="Times New Roman" w:hAnsi="Times New Roman" w:eastAsia="宋体" w:cs="Times New Roman"/>
          <w:color w:val="auto"/>
          <w:sz w:val="24"/>
          <w:highlight w:val="none"/>
          <w:lang w:eastAsia="zh-CN"/>
        </w:rPr>
        <w:t>头、年</w:t>
      </w:r>
      <w:r>
        <w:rPr>
          <w:rFonts w:hint="default" w:ascii="Times New Roman" w:hAnsi="Times New Roman" w:eastAsia="宋体" w:cs="Times New Roman"/>
          <w:color w:val="auto"/>
          <w:sz w:val="24"/>
          <w:highlight w:val="none"/>
          <w:lang w:val="en-US" w:eastAsia="zh-CN"/>
        </w:rPr>
        <w:t>存栏</w:t>
      </w:r>
      <w:r>
        <w:rPr>
          <w:rFonts w:hint="default" w:ascii="Times New Roman" w:hAnsi="Times New Roman" w:eastAsia="宋体" w:cs="Times New Roman"/>
          <w:color w:val="auto"/>
          <w:sz w:val="24"/>
          <w:highlight w:val="none"/>
          <w:lang w:eastAsia="zh-CN"/>
        </w:rPr>
        <w:t>生猪</w:t>
      </w:r>
      <w:r>
        <w:rPr>
          <w:rFonts w:hint="default" w:ascii="Times New Roman" w:hAnsi="Times New Roman" w:eastAsia="宋体" w:cs="Times New Roman"/>
          <w:color w:val="auto"/>
          <w:sz w:val="24"/>
          <w:highlight w:val="none"/>
          <w:lang w:val="en-US" w:eastAsia="zh-CN"/>
        </w:rPr>
        <w:t>25000</w:t>
      </w:r>
      <w:r>
        <w:rPr>
          <w:rFonts w:hint="default" w:ascii="Times New Roman" w:hAnsi="Times New Roman" w:eastAsia="宋体" w:cs="Times New Roman"/>
          <w:color w:val="auto"/>
          <w:sz w:val="24"/>
          <w:highlight w:val="none"/>
          <w:lang w:eastAsia="zh-CN"/>
        </w:rPr>
        <w:t>头</w:t>
      </w:r>
      <w:r>
        <w:rPr>
          <w:rFonts w:hint="default" w:ascii="Times New Roman" w:hAnsi="Times New Roman" w:eastAsia="宋体" w:cs="Times New Roman"/>
          <w:color w:val="auto"/>
          <w:spacing w:val="-1"/>
          <w:sz w:val="24"/>
          <w:szCs w:val="24"/>
          <w:highlight w:val="none"/>
          <w:shd w:val="clear" w:color="auto" w:fill="auto"/>
        </w:rPr>
        <w:t>，故应编制环境影</w:t>
      </w:r>
      <w:r>
        <w:rPr>
          <w:rFonts w:hint="default" w:ascii="Times New Roman" w:hAnsi="Times New Roman" w:eastAsia="宋体" w:cs="Times New Roman"/>
          <w:color w:val="auto"/>
          <w:spacing w:val="-2"/>
          <w:sz w:val="24"/>
          <w:szCs w:val="24"/>
          <w:highlight w:val="none"/>
          <w:shd w:val="clear" w:color="auto" w:fill="auto"/>
        </w:rPr>
        <w:t>响报告书。</w:t>
      </w:r>
    </w:p>
    <w:p w14:paraId="66511A22">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根据《中华人民共和国环境影响评价法》、国务院令第</w:t>
      </w:r>
      <w:r>
        <w:rPr>
          <w:rFonts w:hint="default" w:ascii="Times New Roman" w:hAnsi="Times New Roman" w:eastAsia="Times New Roman" w:cs="Times New Roman"/>
          <w:color w:val="auto"/>
          <w:spacing w:val="-4"/>
          <w:sz w:val="24"/>
          <w:szCs w:val="24"/>
          <w:highlight w:val="none"/>
        </w:rPr>
        <w:t>682</w:t>
      </w:r>
      <w:r>
        <w:rPr>
          <w:rFonts w:hint="default" w:ascii="Times New Roman" w:hAnsi="Times New Roman" w:eastAsia="宋体" w:cs="Times New Roman"/>
          <w:color w:val="auto"/>
          <w:spacing w:val="-4"/>
          <w:sz w:val="24"/>
          <w:szCs w:val="24"/>
          <w:highlight w:val="none"/>
        </w:rPr>
        <w:t>号《建设项目环境保</w:t>
      </w:r>
      <w:r>
        <w:rPr>
          <w:rFonts w:hint="default" w:ascii="Times New Roman" w:hAnsi="Times New Roman" w:eastAsia="宋体" w:cs="Times New Roman"/>
          <w:color w:val="auto"/>
          <w:spacing w:val="-3"/>
          <w:sz w:val="24"/>
          <w:szCs w:val="24"/>
          <w:highlight w:val="none"/>
        </w:rPr>
        <w:t>护管理条例》，双鸭山市永胜农机合作</w:t>
      </w:r>
      <w:r>
        <w:rPr>
          <w:rFonts w:hint="default" w:ascii="Times New Roman" w:hAnsi="Times New Roman" w:eastAsia="宋体" w:cs="Times New Roman"/>
          <w:color w:val="FF0000"/>
          <w:spacing w:val="-1"/>
          <w:sz w:val="24"/>
          <w:szCs w:val="24"/>
          <w:highlight w:val="none"/>
          <w:lang w:val="en-US" w:eastAsia="zh-CN"/>
        </w:rPr>
        <w:t>社</w:t>
      </w:r>
      <w:r>
        <w:rPr>
          <w:rFonts w:hint="default" w:ascii="Times New Roman" w:hAnsi="Times New Roman" w:eastAsia="宋体" w:cs="Times New Roman"/>
          <w:color w:val="auto"/>
          <w:spacing w:val="-3"/>
          <w:sz w:val="24"/>
          <w:szCs w:val="24"/>
          <w:highlight w:val="none"/>
        </w:rPr>
        <w:t>委托</w:t>
      </w:r>
      <w:r>
        <w:rPr>
          <w:rFonts w:hint="default" w:ascii="Times New Roman" w:hAnsi="Times New Roman" w:eastAsia="宋体" w:cs="Times New Roman"/>
          <w:color w:val="FF0000"/>
          <w:spacing w:val="-3"/>
          <w:sz w:val="24"/>
          <w:szCs w:val="24"/>
          <w:highlight w:val="none"/>
        </w:rPr>
        <w:t>黑龙江省科润工程咨询有限公司</w:t>
      </w:r>
      <w:r>
        <w:rPr>
          <w:rFonts w:hint="default" w:ascii="Times New Roman" w:hAnsi="Times New Roman" w:eastAsia="宋体" w:cs="Times New Roman"/>
          <w:color w:val="auto"/>
          <w:spacing w:val="-3"/>
          <w:sz w:val="24"/>
          <w:szCs w:val="24"/>
          <w:highlight w:val="none"/>
        </w:rPr>
        <w:t>承担本项目的环境影响评价工</w:t>
      </w:r>
      <w:r>
        <w:rPr>
          <w:rFonts w:hint="default" w:ascii="Times New Roman" w:hAnsi="Times New Roman" w:eastAsia="宋体" w:cs="Times New Roman"/>
          <w:color w:val="auto"/>
          <w:spacing w:val="-6"/>
          <w:sz w:val="24"/>
          <w:szCs w:val="24"/>
          <w:highlight w:val="none"/>
        </w:rPr>
        <w:t>作。在接受委托后</w:t>
      </w:r>
      <w:r>
        <w:rPr>
          <w:rFonts w:hint="default" w:ascii="Times New Roman" w:hAnsi="Times New Roman" w:eastAsia="宋体" w:cs="Times New Roman"/>
          <w:color w:val="auto"/>
          <w:spacing w:val="-6"/>
          <w:sz w:val="24"/>
          <w:szCs w:val="24"/>
          <w:highlight w:val="none"/>
          <w:lang w:eastAsia="zh-CN"/>
        </w:rPr>
        <w:t>，</w:t>
      </w:r>
      <w:r>
        <w:rPr>
          <w:rFonts w:hint="default" w:ascii="Times New Roman" w:hAnsi="Times New Roman" w:eastAsia="宋体" w:cs="Times New Roman"/>
          <w:color w:val="FF0000"/>
          <w:spacing w:val="-3"/>
          <w:sz w:val="24"/>
          <w:szCs w:val="24"/>
          <w:highlight w:val="none"/>
        </w:rPr>
        <w:t>黑龙江省科润工程咨询有限公司</w:t>
      </w:r>
      <w:r>
        <w:rPr>
          <w:rFonts w:hint="default" w:ascii="Times New Roman" w:hAnsi="Times New Roman" w:eastAsia="宋体" w:cs="Times New Roman"/>
          <w:color w:val="auto"/>
          <w:spacing w:val="-6"/>
          <w:sz w:val="24"/>
          <w:szCs w:val="24"/>
          <w:highlight w:val="none"/>
        </w:rPr>
        <w:t>严格按照国家有关法规，各级环境保护部门的相关要求开</w:t>
      </w:r>
      <w:r>
        <w:rPr>
          <w:rFonts w:hint="default" w:ascii="Times New Roman" w:hAnsi="Times New Roman" w:eastAsia="宋体" w:cs="Times New Roman"/>
          <w:color w:val="auto"/>
          <w:spacing w:val="-3"/>
          <w:sz w:val="24"/>
          <w:szCs w:val="24"/>
          <w:highlight w:val="none"/>
        </w:rPr>
        <w:t>展工作：工程技术人员</w:t>
      </w:r>
      <w:r>
        <w:rPr>
          <w:rFonts w:hint="default" w:ascii="Times New Roman" w:hAnsi="Times New Roman" w:eastAsia="宋体" w:cs="Times New Roman"/>
          <w:color w:val="auto"/>
          <w:spacing w:val="-3"/>
          <w:sz w:val="24"/>
          <w:szCs w:val="24"/>
          <w:highlight w:val="none"/>
          <w:lang w:eastAsia="zh-CN"/>
        </w:rPr>
        <w:t>首先</w:t>
      </w:r>
      <w:r>
        <w:rPr>
          <w:rFonts w:hint="default" w:ascii="Times New Roman" w:hAnsi="Times New Roman" w:eastAsia="宋体" w:cs="Times New Roman"/>
          <w:color w:val="auto"/>
          <w:spacing w:val="-3"/>
          <w:sz w:val="24"/>
          <w:szCs w:val="24"/>
          <w:highlight w:val="none"/>
        </w:rPr>
        <w:t>认真研究该项目的有关文件，并进行实地踏勘和调研，然后收集和核实了有关材料，根据有关工程资料，在现场调查、预测计算分析等环节工</w:t>
      </w:r>
      <w:r>
        <w:rPr>
          <w:rFonts w:hint="default" w:ascii="Times New Roman" w:hAnsi="Times New Roman" w:eastAsia="宋体" w:cs="Times New Roman"/>
          <w:color w:val="auto"/>
          <w:spacing w:val="-1"/>
          <w:sz w:val="24"/>
          <w:szCs w:val="24"/>
          <w:highlight w:val="none"/>
        </w:rPr>
        <w:t>作的基础上，最终编制完成了本项目环境影响报告书，呈双鸭山市生态环境局审批。</w:t>
      </w:r>
    </w:p>
    <w:p w14:paraId="26C65FAC">
      <w:pPr>
        <w:keepNext w:val="0"/>
        <w:keepLines w:val="0"/>
        <w:pageBreakBefore w:val="0"/>
        <w:kinsoku/>
        <w:wordWrap w:val="0"/>
        <w:overflowPunct/>
        <w:topLinePunct/>
        <w:autoSpaceDE/>
        <w:autoSpaceDN/>
        <w:bidi w:val="0"/>
        <w:adjustRightInd w:val="0"/>
        <w:snapToGrid w:val="0"/>
        <w:spacing w:line="360" w:lineRule="auto"/>
        <w:textAlignment w:val="baseline"/>
        <w:rPr>
          <w:rFonts w:hint="default" w:ascii="Times New Roman" w:hAnsi="Times New Roman" w:eastAsia="宋体" w:cs="Times New Roman"/>
          <w:color w:val="auto"/>
          <w:sz w:val="24"/>
          <w:szCs w:val="24"/>
          <w:highlight w:val="none"/>
        </w:rPr>
        <w:sectPr>
          <w:footerReference r:id="rId7" w:type="default"/>
          <w:pgSz w:w="11905" w:h="16838"/>
          <w:pgMar w:top="1440" w:right="1797" w:bottom="1440" w:left="1797" w:header="0" w:footer="1060" w:gutter="0"/>
          <w:pgBorders>
            <w:top w:val="none" w:sz="0" w:space="0"/>
            <w:left w:val="none" w:sz="0" w:space="0"/>
            <w:bottom w:val="none" w:sz="0" w:space="0"/>
            <w:right w:val="none" w:sz="0" w:space="0"/>
          </w:pgBorders>
          <w:pgNumType w:fmt="decimal" w:start="1"/>
          <w:cols w:space="0" w:num="1"/>
          <w:rtlGutter w:val="0"/>
          <w:docGrid w:linePitch="0" w:charSpace="0"/>
        </w:sectPr>
      </w:pPr>
    </w:p>
    <w:p w14:paraId="6A87C594">
      <w:pPr>
        <w:keepNext w:val="0"/>
        <w:keepLines w:val="0"/>
        <w:pageBreakBefore w:val="0"/>
        <w:widowControl/>
        <w:kinsoku/>
        <w:wordWrap w:val="0"/>
        <w:overflowPunct/>
        <w:topLinePunct/>
        <w:autoSpaceDE/>
        <w:autoSpaceDN/>
        <w:bidi w:val="0"/>
        <w:adjustRightInd w:val="0"/>
        <w:snapToGrid w:val="0"/>
        <w:spacing w:before="159" w:line="360" w:lineRule="auto"/>
        <w:ind w:left="11"/>
        <w:textAlignment w:val="baseline"/>
        <w:outlineLvl w:val="1"/>
        <w:rPr>
          <w:rFonts w:hint="default" w:ascii="Times New Roman" w:hAnsi="Times New Roman" w:eastAsia="Times New Roman" w:cs="Times New Roman"/>
          <w:b/>
          <w:bCs/>
          <w:color w:val="auto"/>
          <w:spacing w:val="-5"/>
          <w:sz w:val="28"/>
          <w:szCs w:val="28"/>
          <w:highlight w:val="none"/>
          <w:lang w:val="en-US" w:eastAsia="zh-CN"/>
        </w:rPr>
      </w:pPr>
      <w:bookmarkStart w:id="6" w:name="_Toc9887"/>
      <w:r>
        <w:rPr>
          <w:rFonts w:hint="default" w:ascii="Times New Roman" w:hAnsi="Times New Roman" w:eastAsia="Times New Roman" w:cs="Times New Roman"/>
          <w:b/>
          <w:bCs/>
          <w:color w:val="auto"/>
          <w:spacing w:val="-5"/>
          <w:sz w:val="28"/>
          <w:szCs w:val="28"/>
          <w:highlight w:val="none"/>
        </w:rPr>
        <w:t>1.2项目</w:t>
      </w:r>
      <w:r>
        <w:rPr>
          <w:rFonts w:hint="default" w:ascii="Times New Roman" w:hAnsi="Times New Roman" w:eastAsia="Times New Roman" w:cs="Times New Roman"/>
          <w:b/>
          <w:bCs/>
          <w:color w:val="auto"/>
          <w:spacing w:val="-5"/>
          <w:sz w:val="28"/>
          <w:szCs w:val="28"/>
          <w:highlight w:val="none"/>
          <w:lang w:val="en-US" w:eastAsia="zh-CN"/>
        </w:rPr>
        <w:t>特点</w:t>
      </w:r>
      <w:bookmarkEnd w:id="6"/>
    </w:p>
    <w:p w14:paraId="6FF31009">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color w:val="auto"/>
          <w:sz w:val="24"/>
          <w:szCs w:val="24"/>
          <w:highlight w:val="none"/>
          <w:lang w:eastAsia="zh-CN"/>
        </w:rPr>
      </w:pPr>
      <w:bookmarkStart w:id="7" w:name="_Toc30344"/>
      <w:r>
        <w:rPr>
          <w:rFonts w:hint="default" w:ascii="Times New Roman" w:hAnsi="Times New Roman" w:eastAsia="宋体" w:cs="Times New Roman"/>
          <w:b/>
          <w:bCs/>
          <w:color w:val="auto"/>
          <w:spacing w:val="-2"/>
          <w:sz w:val="24"/>
          <w:szCs w:val="24"/>
          <w:highlight w:val="none"/>
          <w:lang w:val="en-US" w:eastAsia="zh-CN"/>
        </w:rPr>
        <w:t>1.2.1项目概况</w:t>
      </w:r>
      <w:bookmarkEnd w:id="7"/>
    </w:p>
    <w:p w14:paraId="40B3D7B8">
      <w:pPr>
        <w:keepNext w:val="0"/>
        <w:keepLines w:val="0"/>
        <w:pageBreakBefore w:val="0"/>
        <w:widowControl/>
        <w:kinsoku/>
        <w:wordWrap w:val="0"/>
        <w:overflowPunct/>
        <w:topLinePunct/>
        <w:autoSpaceDE/>
        <w:autoSpaceDN/>
        <w:bidi w:val="0"/>
        <w:adjustRightInd w:val="0"/>
        <w:snapToGrid w:val="0"/>
        <w:spacing w:line="360" w:lineRule="auto"/>
        <w:ind w:left="10" w:right="87" w:firstLine="480" w:firstLineChars="200"/>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auto"/>
          <w:sz w:val="24"/>
          <w:szCs w:val="24"/>
          <w:highlight w:val="none"/>
        </w:rPr>
        <w:t>本项目属于畜禽标准化规模养殖技术开发与应用项目</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属于《国民经济行业分类》（GB/T4754-2017）中A0311牛的饲养，</w:t>
      </w:r>
      <w:r>
        <w:rPr>
          <w:rFonts w:hint="default" w:ascii="Times New Roman" w:hAnsi="Times New Roman" w:eastAsia="宋体" w:cs="Times New Roman"/>
          <w:color w:val="auto"/>
          <w:sz w:val="24"/>
          <w:szCs w:val="24"/>
          <w:highlight w:val="none"/>
          <w:lang w:val="en-US" w:eastAsia="zh-CN"/>
        </w:rPr>
        <w:t>本项目选址位于双鸭山市集贤县集贤镇种畜场</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val="en-US" w:eastAsia="zh-CN"/>
        </w:rPr>
        <w:t>总</w:t>
      </w:r>
      <w:r>
        <w:rPr>
          <w:rFonts w:hint="default" w:ascii="Times New Roman" w:hAnsi="Times New Roman" w:eastAsia="宋体" w:cs="Times New Roman"/>
          <w:color w:val="auto"/>
          <w:sz w:val="24"/>
          <w:szCs w:val="24"/>
          <w:highlight w:val="none"/>
        </w:rPr>
        <w:t>用地面积</w:t>
      </w:r>
      <w:r>
        <w:rPr>
          <w:rFonts w:hint="default" w:ascii="Times New Roman" w:hAnsi="Times New Roman" w:eastAsia="宋体" w:cs="Times New Roman"/>
          <w:color w:val="auto"/>
          <w:sz w:val="24"/>
          <w:szCs w:val="24"/>
          <w:highlight w:val="none"/>
          <w:lang w:val="en-US" w:eastAsia="zh-CN"/>
        </w:rPr>
        <w:t>128037.95</w:t>
      </w:r>
      <w:r>
        <w:rPr>
          <w:rFonts w:hint="default" w:ascii="Times New Roman" w:hAnsi="Times New Roman" w:cs="Times New Roman"/>
          <w:color w:val="auto"/>
          <w:sz w:val="24"/>
          <w:szCs w:val="24"/>
          <w:highlight w:val="none"/>
        </w:rPr>
        <w:t>m</w:t>
      </w:r>
      <w:r>
        <w:rPr>
          <w:rFonts w:hint="default" w:ascii="Times New Roman" w:hAnsi="Times New Roman"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val="en-US" w:eastAsia="zh-CN"/>
        </w:rPr>
        <w:t>项目</w:t>
      </w:r>
      <w:r>
        <w:rPr>
          <w:rFonts w:hint="default" w:ascii="Times New Roman" w:hAnsi="Times New Roman" w:eastAsia="宋体" w:cs="Times New Roman"/>
          <w:color w:val="auto"/>
          <w:sz w:val="24"/>
          <w:szCs w:val="24"/>
          <w:highlight w:val="none"/>
        </w:rPr>
        <w:t>中心地理位置坐标：131.</w:t>
      </w:r>
      <w:r>
        <w:rPr>
          <w:rFonts w:hint="default" w:ascii="Times New Roman" w:hAnsi="Times New Roman" w:eastAsia="宋体" w:cs="Times New Roman"/>
          <w:color w:val="auto"/>
          <w:sz w:val="24"/>
          <w:szCs w:val="24"/>
          <w:highlight w:val="none"/>
          <w:lang w:val="en-US" w:eastAsia="zh-CN"/>
        </w:rPr>
        <w:t>157911924</w:t>
      </w:r>
      <w:r>
        <w:rPr>
          <w:rFonts w:hint="default" w:ascii="Times New Roman" w:hAnsi="Times New Roman" w:eastAsia="宋体" w:cs="Times New Roman"/>
          <w:color w:val="auto"/>
          <w:sz w:val="24"/>
          <w:szCs w:val="24"/>
          <w:highlight w:val="none"/>
        </w:rPr>
        <w:t>°,46.</w:t>
      </w:r>
      <w:r>
        <w:rPr>
          <w:rFonts w:hint="default" w:ascii="Times New Roman" w:hAnsi="Times New Roman" w:eastAsia="宋体" w:cs="Times New Roman"/>
          <w:color w:val="auto"/>
          <w:sz w:val="24"/>
          <w:szCs w:val="24"/>
          <w:highlight w:val="none"/>
          <w:lang w:val="en-US" w:eastAsia="zh-CN"/>
        </w:rPr>
        <w:t>795928082</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为</w:t>
      </w:r>
      <w:r>
        <w:rPr>
          <w:rFonts w:hint="default" w:ascii="Times New Roman" w:hAnsi="Times New Roman" w:eastAsia="宋体" w:cs="Times New Roman"/>
          <w:color w:val="FF0000"/>
          <w:sz w:val="24"/>
          <w:szCs w:val="24"/>
          <w:highlight w:val="none"/>
          <w:lang w:val="en-US" w:eastAsia="zh-CN"/>
        </w:rPr>
        <w:t>设施农用地</w:t>
      </w:r>
      <w:r>
        <w:rPr>
          <w:rFonts w:hint="default" w:ascii="Times New Roman" w:hAnsi="Times New Roman" w:eastAsia="宋体" w:cs="Times New Roman"/>
          <w:color w:val="auto"/>
          <w:sz w:val="24"/>
          <w:szCs w:val="24"/>
          <w:highlight w:val="none"/>
        </w:rPr>
        <w:t>，土地使用方式为</w:t>
      </w:r>
      <w:r>
        <w:rPr>
          <w:rFonts w:hint="default" w:ascii="Times New Roman" w:hAnsi="Times New Roman" w:eastAsia="宋体" w:cs="Times New Roman"/>
          <w:color w:val="auto"/>
          <w:sz w:val="24"/>
          <w:szCs w:val="24"/>
          <w:highlight w:val="none"/>
          <w:lang w:val="en-US" w:eastAsia="zh-CN"/>
        </w:rPr>
        <w:t>租赁</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val="en-US" w:eastAsia="zh-CN"/>
        </w:rPr>
        <w:t>建设养牛舍41栋，配套</w:t>
      </w:r>
      <w:r>
        <w:rPr>
          <w:rFonts w:hint="default" w:ascii="Times New Roman" w:hAnsi="Times New Roman" w:eastAsia="宋体" w:cs="Times New Roman"/>
          <w:color w:val="auto"/>
          <w:spacing w:val="-2"/>
          <w:sz w:val="24"/>
          <w:szCs w:val="24"/>
          <w:highlight w:val="none"/>
        </w:rPr>
        <w:t>办公区、</w:t>
      </w:r>
      <w:r>
        <w:rPr>
          <w:rFonts w:hint="default" w:ascii="Times New Roman" w:hAnsi="Times New Roman" w:eastAsia="宋体" w:cs="Times New Roman"/>
          <w:color w:val="auto"/>
          <w:spacing w:val="-2"/>
          <w:sz w:val="24"/>
          <w:szCs w:val="24"/>
          <w:highlight w:val="none"/>
          <w:lang w:val="en-US" w:eastAsia="zh-CN"/>
        </w:rPr>
        <w:t>兽医室、</w:t>
      </w:r>
      <w:r>
        <w:rPr>
          <w:rFonts w:hint="default" w:ascii="Times New Roman" w:hAnsi="Times New Roman" w:eastAsia="宋体" w:cs="Times New Roman"/>
          <w:color w:val="auto"/>
          <w:spacing w:val="-2"/>
          <w:sz w:val="24"/>
          <w:szCs w:val="24"/>
          <w:highlight w:val="none"/>
          <w:lang w:eastAsia="zh-CN"/>
        </w:rPr>
        <w:t>青贮窖</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pacing w:val="-1"/>
          <w:sz w:val="24"/>
          <w:szCs w:val="24"/>
          <w:highlight w:val="none"/>
          <w:lang w:val="en-US" w:eastAsia="zh-CN"/>
        </w:rPr>
        <w:t>粪污储存</w:t>
      </w:r>
      <w:r>
        <w:rPr>
          <w:rFonts w:hint="default" w:ascii="Times New Roman" w:hAnsi="Times New Roman" w:eastAsia="宋体" w:cs="Times New Roman"/>
          <w:color w:val="auto"/>
          <w:spacing w:val="-1"/>
          <w:sz w:val="24"/>
          <w:szCs w:val="24"/>
          <w:highlight w:val="none"/>
          <w:lang w:eastAsia="zh-CN"/>
        </w:rPr>
        <w:t>间</w:t>
      </w:r>
      <w:r>
        <w:rPr>
          <w:rFonts w:hint="default" w:ascii="Times New Roman" w:hAnsi="Times New Roman" w:eastAsia="宋体" w:cs="Times New Roman"/>
          <w:color w:val="auto"/>
          <w:spacing w:val="-1"/>
          <w:sz w:val="24"/>
          <w:szCs w:val="24"/>
          <w:highlight w:val="none"/>
          <w:lang w:val="en-US" w:eastAsia="zh-CN"/>
        </w:rPr>
        <w:t>、干草存放区</w:t>
      </w:r>
      <w:r>
        <w:rPr>
          <w:rFonts w:hint="default" w:ascii="Times New Roman" w:hAnsi="Times New Roman" w:eastAsia="宋体" w:cs="Times New Roman"/>
          <w:color w:val="auto"/>
          <w:spacing w:val="-1"/>
          <w:sz w:val="24"/>
          <w:szCs w:val="24"/>
          <w:highlight w:val="none"/>
        </w:rPr>
        <w:t>和相关附属设施（道路、围墙、配电房等）以及配</w:t>
      </w:r>
      <w:r>
        <w:rPr>
          <w:rFonts w:hint="default" w:ascii="Times New Roman" w:hAnsi="Times New Roman" w:eastAsia="宋体" w:cs="Times New Roman"/>
          <w:color w:val="auto"/>
          <w:spacing w:val="-2"/>
          <w:sz w:val="24"/>
          <w:szCs w:val="24"/>
          <w:highlight w:val="none"/>
        </w:rPr>
        <w:t>套养殖设备等</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FF0000"/>
          <w:sz w:val="24"/>
          <w:szCs w:val="24"/>
          <w:highlight w:val="none"/>
          <w:lang w:val="en-US" w:eastAsia="zh-CN"/>
        </w:rPr>
        <w:t>计划投产后年存栏肉牛 5000 头，</w:t>
      </w:r>
      <w:r>
        <w:rPr>
          <w:rFonts w:hint="default" w:ascii="Times New Roman" w:hAnsi="Times New Roman" w:eastAsia="宋体" w:cs="Times New Roman"/>
          <w:color w:val="FF0000"/>
          <w:spacing w:val="-2"/>
          <w:sz w:val="24"/>
          <w:szCs w:val="24"/>
          <w:highlight w:val="none"/>
        </w:rPr>
        <w:t>年出栏</w:t>
      </w:r>
      <w:r>
        <w:rPr>
          <w:rFonts w:hint="default" w:ascii="Times New Roman" w:hAnsi="Times New Roman" w:eastAsia="宋体" w:cs="Times New Roman"/>
          <w:color w:val="FF0000"/>
          <w:spacing w:val="0"/>
          <w:sz w:val="24"/>
          <w:szCs w:val="24"/>
          <w:highlight w:val="none"/>
          <w:lang w:val="en-US" w:eastAsia="zh-CN"/>
        </w:rPr>
        <w:t>1000</w:t>
      </w:r>
      <w:r>
        <w:rPr>
          <w:rFonts w:hint="default" w:ascii="Times New Roman" w:hAnsi="Times New Roman" w:eastAsia="宋体" w:cs="Times New Roman"/>
          <w:color w:val="FF0000"/>
          <w:spacing w:val="-2"/>
          <w:sz w:val="24"/>
          <w:szCs w:val="24"/>
          <w:highlight w:val="none"/>
        </w:rPr>
        <w:t>头。</w:t>
      </w:r>
    </w:p>
    <w:p w14:paraId="616506B5">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color w:val="FF0000"/>
          <w:sz w:val="24"/>
          <w:szCs w:val="24"/>
          <w:highlight w:val="none"/>
          <w:lang w:val="en-US" w:eastAsia="zh-CN"/>
        </w:rPr>
      </w:pPr>
      <w:bookmarkStart w:id="8" w:name="_Toc4387"/>
      <w:r>
        <w:rPr>
          <w:rFonts w:hint="default" w:ascii="Times New Roman" w:hAnsi="Times New Roman" w:eastAsia="宋体" w:cs="Times New Roman"/>
          <w:b/>
          <w:bCs/>
          <w:color w:val="FF0000"/>
          <w:spacing w:val="-2"/>
          <w:sz w:val="24"/>
          <w:szCs w:val="24"/>
          <w:highlight w:val="none"/>
          <w:lang w:val="en-US" w:eastAsia="zh-CN"/>
        </w:rPr>
        <w:t>1.2.2本项目产排污特点</w:t>
      </w:r>
      <w:bookmarkEnd w:id="8"/>
    </w:p>
    <w:p w14:paraId="6E837501">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107" w:rightChars="0" w:firstLine="476" w:firstLineChars="200"/>
        <w:textAlignment w:val="baseline"/>
        <w:rPr>
          <w:rFonts w:hint="default" w:ascii="Times New Roman" w:hAnsi="Times New Roman" w:eastAsia="宋体" w:cs="Times New Roman"/>
          <w:color w:val="FF0000"/>
          <w:sz w:val="24"/>
          <w:szCs w:val="24"/>
          <w:lang w:val="en-US" w:eastAsia="zh-CN"/>
        </w:rPr>
      </w:pPr>
      <w:r>
        <w:rPr>
          <w:rFonts w:hint="default" w:ascii="Times New Roman" w:hAnsi="Times New Roman" w:eastAsia="宋体" w:cs="Times New Roman"/>
          <w:color w:val="FF0000"/>
          <w:spacing w:val="-1"/>
          <w:sz w:val="24"/>
          <w:szCs w:val="24"/>
          <w:highlight w:val="none"/>
          <w:lang w:val="en-US" w:eastAsia="zh-CN"/>
        </w:rPr>
        <w:t>（1）购买成品饲料，不在厂区内进行干饲料加工，青贮饲料在厂区内切碎，</w:t>
      </w:r>
      <w:r>
        <w:rPr>
          <w:rFonts w:hint="default" w:ascii="Times New Roman" w:hAnsi="Times New Roman" w:eastAsia="宋体" w:cs="Times New Roman"/>
          <w:color w:val="FF0000"/>
          <w:sz w:val="24"/>
          <w:szCs w:val="24"/>
          <w:lang w:val="en-US" w:eastAsia="zh-CN"/>
        </w:rPr>
        <w:t>由于青贮是把鲜棵植物切碎放入青贮池中，所以，饲料加工环节不产污。</w:t>
      </w:r>
    </w:p>
    <w:p w14:paraId="4CAA38B7">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107" w:rightChars="0" w:firstLine="480" w:firstLineChars="200"/>
        <w:textAlignment w:val="baseline"/>
        <w:rPr>
          <w:rFonts w:hint="eastAsia" w:ascii="Times New Roman" w:hAnsi="Times New Roman" w:eastAsia="宋体" w:cs="Times New Roman"/>
          <w:color w:val="FF0000"/>
          <w:sz w:val="24"/>
          <w:szCs w:val="24"/>
          <w:lang w:val="en-US" w:eastAsia="zh-CN"/>
        </w:rPr>
      </w:pPr>
      <w:r>
        <w:rPr>
          <w:rFonts w:hint="default" w:ascii="Times New Roman" w:hAnsi="Times New Roman" w:eastAsia="宋体" w:cs="Times New Roman"/>
          <w:color w:val="FF0000"/>
          <w:sz w:val="24"/>
          <w:szCs w:val="24"/>
          <w:lang w:val="en-US" w:eastAsia="zh-CN"/>
        </w:rPr>
        <w:t>（2）本项目粪污储存间密闭形式，发酵床1年使用周期结束，清运至粪污储存间暂存，</w:t>
      </w:r>
      <w:r>
        <w:rPr>
          <w:rFonts w:hint="eastAsia" w:ascii="Times New Roman" w:hAnsi="Times New Roman" w:eastAsia="宋体" w:cs="Times New Roman"/>
          <w:color w:val="FF0000"/>
          <w:sz w:val="24"/>
          <w:szCs w:val="24"/>
          <w:lang w:val="en-US" w:eastAsia="zh-CN"/>
        </w:rPr>
        <w:t>外售至</w:t>
      </w:r>
      <w:r>
        <w:rPr>
          <w:rFonts w:hint="default" w:ascii="Times New Roman" w:hAnsi="Times New Roman" w:eastAsia="宋体" w:cs="Times New Roman"/>
          <w:snapToGrid w:val="0"/>
          <w:color w:val="FF0000"/>
          <w:kern w:val="0"/>
          <w:sz w:val="24"/>
          <w:szCs w:val="24"/>
          <w:lang w:val="en-US" w:eastAsia="zh-CN" w:bidi="ar-SA"/>
        </w:rPr>
        <w:t>集贤县远东牧业有限公司、双鸭山市永胜农机合</w:t>
      </w:r>
      <w:r>
        <w:rPr>
          <w:rFonts w:hint="default" w:ascii="Times New Roman" w:hAnsi="Times New Roman" w:eastAsia="宋体" w:cs="Times New Roman"/>
          <w:color w:val="FF0000"/>
          <w:sz w:val="24"/>
          <w:szCs w:val="24"/>
          <w:lang w:val="en-US" w:eastAsia="zh-CN"/>
        </w:rPr>
        <w:t>作社丰乐粪污集中处理中心，</w:t>
      </w:r>
      <w:r>
        <w:rPr>
          <w:rFonts w:hint="default" w:ascii="Times New Roman" w:hAnsi="Times New Roman" w:eastAsia="宋体" w:cs="Times New Roman"/>
          <w:color w:val="0000FF"/>
          <w:sz w:val="24"/>
          <w:szCs w:val="24"/>
          <w:lang w:val="en-US" w:eastAsia="zh-CN"/>
        </w:rPr>
        <w:t>粪污储存间密闭形式，</w:t>
      </w:r>
      <w:r>
        <w:rPr>
          <w:rFonts w:hint="eastAsia" w:ascii="Times New Roman" w:hAnsi="Times New Roman" w:eastAsia="宋体" w:cs="Times New Roman"/>
          <w:color w:val="0000FF"/>
          <w:sz w:val="24"/>
          <w:szCs w:val="24"/>
          <w:lang w:val="en-US" w:eastAsia="zh-CN"/>
        </w:rPr>
        <w:t>恶臭</w:t>
      </w:r>
      <w:r>
        <w:rPr>
          <w:rFonts w:hint="default" w:ascii="Times New Roman" w:hAnsi="Times New Roman" w:eastAsia="宋体" w:cs="Times New Roman"/>
          <w:color w:val="0000FF"/>
          <w:sz w:val="24"/>
          <w:szCs w:val="24"/>
          <w:lang w:val="en-US" w:eastAsia="zh-CN"/>
        </w:rPr>
        <w:t>气体</w:t>
      </w:r>
      <w:r>
        <w:rPr>
          <w:rFonts w:hint="eastAsia" w:ascii="Times New Roman" w:hAnsi="Times New Roman" w:eastAsia="宋体" w:cs="Times New Roman"/>
          <w:color w:val="0000FF"/>
          <w:sz w:val="24"/>
          <w:szCs w:val="24"/>
          <w:lang w:val="en-US" w:eastAsia="zh-CN"/>
        </w:rPr>
        <w:t>经集气罩收集经</w:t>
      </w:r>
      <w:r>
        <w:rPr>
          <w:rFonts w:hint="default" w:ascii="Times New Roman" w:hAnsi="Times New Roman" w:eastAsia="宋体" w:cs="Times New Roman"/>
          <w:color w:val="0000FF"/>
          <w:sz w:val="24"/>
          <w:szCs w:val="24"/>
          <w:lang w:val="en-US" w:eastAsia="zh-CN"/>
        </w:rPr>
        <w:t>活性炭</w:t>
      </w:r>
      <w:r>
        <w:rPr>
          <w:rFonts w:hint="eastAsia" w:ascii="Times New Roman" w:hAnsi="Times New Roman" w:eastAsia="宋体" w:cs="Times New Roman"/>
          <w:color w:val="0000FF"/>
          <w:sz w:val="24"/>
          <w:szCs w:val="24"/>
          <w:lang w:val="en-US" w:eastAsia="zh-CN"/>
        </w:rPr>
        <w:t>吸附后经</w:t>
      </w:r>
      <w:r>
        <w:rPr>
          <w:rFonts w:hint="default" w:ascii="Times New Roman" w:hAnsi="Times New Roman" w:eastAsia="宋体" w:cs="Times New Roman"/>
          <w:color w:val="0000FF"/>
          <w:sz w:val="24"/>
          <w:szCs w:val="24"/>
          <w:lang w:val="en-US" w:eastAsia="zh-CN"/>
        </w:rPr>
        <w:t>15m高排气</w:t>
      </w:r>
      <w:r>
        <w:rPr>
          <w:rFonts w:hint="eastAsia" w:ascii="Times New Roman" w:hAnsi="Times New Roman" w:eastAsia="宋体" w:cs="Times New Roman"/>
          <w:color w:val="0000FF"/>
          <w:sz w:val="24"/>
          <w:szCs w:val="24"/>
          <w:lang w:val="en-US" w:eastAsia="zh-CN"/>
        </w:rPr>
        <w:t>筒</w:t>
      </w:r>
      <w:r>
        <w:rPr>
          <w:rFonts w:hint="default" w:ascii="Times New Roman" w:hAnsi="Times New Roman" w:eastAsia="宋体" w:cs="Times New Roman"/>
          <w:color w:val="0000FF"/>
          <w:sz w:val="24"/>
          <w:szCs w:val="24"/>
          <w:lang w:val="en-US" w:eastAsia="zh-CN"/>
        </w:rPr>
        <w:t>有组织排放</w:t>
      </w:r>
      <w:r>
        <w:rPr>
          <w:rFonts w:hint="eastAsia" w:ascii="Times New Roman" w:hAnsi="Times New Roman" w:eastAsia="宋体" w:cs="Times New Roman"/>
          <w:color w:val="0000FF"/>
          <w:sz w:val="24"/>
          <w:szCs w:val="24"/>
          <w:lang w:val="en-US" w:eastAsia="zh-CN"/>
        </w:rPr>
        <w:t>。</w:t>
      </w:r>
    </w:p>
    <w:p w14:paraId="1F66FC9A">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107" w:rightChars="0" w:firstLine="480" w:firstLineChars="200"/>
        <w:textAlignment w:val="baseline"/>
        <w:rPr>
          <w:rFonts w:hint="default" w:ascii="Times New Roman" w:hAnsi="Times New Roman" w:eastAsia="宋体" w:cs="Times New Roman"/>
          <w:color w:val="FF0000"/>
          <w:sz w:val="24"/>
          <w:szCs w:val="24"/>
          <w:lang w:val="en-US" w:eastAsia="zh-CN"/>
        </w:rPr>
      </w:pPr>
      <w:r>
        <w:rPr>
          <w:rFonts w:hint="default" w:ascii="Times New Roman" w:hAnsi="Times New Roman" w:eastAsia="宋体" w:cs="Times New Roman"/>
          <w:color w:val="FF0000"/>
          <w:sz w:val="24"/>
          <w:szCs w:val="24"/>
          <w:lang w:val="en-US" w:eastAsia="zh-CN"/>
        </w:rPr>
        <w:t>（3）本项目牛舍区拟采用干撒式发酵床工艺，其采用的干撒式发酵床发酵菌剂可将牛尿、牛粪一部分降解为水蒸气和二氧化碳，另一部分转化为粗蛋白、菌体蛋白和维生素等营养物质。从源头上消除了粪尿对生态环境的污染，实现粪污零排放，保护生态环境</w:t>
      </w:r>
      <w:r>
        <w:rPr>
          <w:rFonts w:hint="default" w:ascii="Times New Roman" w:hAnsi="Times New Roman" w:eastAsia="宋体" w:cs="Times New Roman"/>
          <w:color w:val="FF0000"/>
          <w:sz w:val="24"/>
          <w:szCs w:val="24"/>
          <w:lang w:val="zh-CN" w:eastAsia="zh-CN"/>
        </w:rPr>
        <w:t>。</w:t>
      </w:r>
      <w:r>
        <w:rPr>
          <w:rFonts w:hint="default" w:ascii="Times New Roman" w:hAnsi="Times New Roman" w:eastAsia="宋体" w:cs="Times New Roman"/>
          <w:color w:val="FF0000"/>
          <w:sz w:val="24"/>
          <w:szCs w:val="24"/>
          <w:lang w:val="en-US" w:eastAsia="zh-CN"/>
        </w:rPr>
        <w:t>该技术的核心在于利用活性强大的有益功能微生物复合菌群长期和持续稳定地将动物粪尿废弃物转化为有用物质与能量，同时实现将猪、牛、羊等动物的粪尿完全降解的无污染、零排放目标，是当今国际上一种最新的环保型养殖模式。</w:t>
      </w:r>
    </w:p>
    <w:p w14:paraId="4BD552FA">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0" w:rightChars="0" w:firstLine="480" w:firstLineChars="200"/>
        <w:jc w:val="both"/>
        <w:textAlignment w:val="baseline"/>
        <w:rPr>
          <w:rFonts w:hint="default" w:ascii="Times New Roman" w:hAnsi="Times New Roman" w:eastAsia="宋体" w:cs="Times New Roman"/>
          <w:snapToGrid w:val="0"/>
          <w:color w:val="FF0000"/>
          <w:kern w:val="0"/>
          <w:sz w:val="24"/>
          <w:szCs w:val="24"/>
          <w:lang w:val="en-US" w:eastAsia="zh-CN" w:bidi="ar-SA"/>
        </w:rPr>
      </w:pPr>
      <w:r>
        <w:rPr>
          <w:rFonts w:hint="default" w:ascii="Times New Roman" w:hAnsi="Times New Roman" w:eastAsia="宋体" w:cs="Times New Roman"/>
          <w:snapToGrid w:val="0"/>
          <w:color w:val="FF0000"/>
          <w:kern w:val="0"/>
          <w:sz w:val="24"/>
          <w:szCs w:val="24"/>
          <w:lang w:val="en-US" w:eastAsia="zh-CN" w:bidi="ar-SA"/>
        </w:rPr>
        <w:t>（4）本项目在玉米秸秆青贮过程中将会有青</w:t>
      </w:r>
      <w:r>
        <w:rPr>
          <w:rFonts w:hint="default" w:ascii="Times New Roman" w:hAnsi="Times New Roman" w:eastAsia="宋体" w:cs="Times New Roman"/>
          <w:color w:val="FF0000"/>
          <w:spacing w:val="-6"/>
          <w:sz w:val="24"/>
          <w:szCs w:val="24"/>
          <w:highlight w:val="none"/>
          <w:lang w:val="en-US" w:eastAsia="zh-CN"/>
        </w:rPr>
        <w:t>贮渗滤液产生，</w:t>
      </w:r>
      <w:r>
        <w:rPr>
          <w:rFonts w:hint="default" w:ascii="Times New Roman" w:hAnsi="Times New Roman" w:eastAsia="宋体" w:cs="Times New Roman"/>
          <w:color w:val="FF0000"/>
          <w:spacing w:val="-6"/>
          <w:sz w:val="24"/>
          <w:szCs w:val="24"/>
          <w:highlight w:val="none"/>
        </w:rPr>
        <w:t>根据《全株玉米</w:t>
      </w:r>
      <w:r>
        <w:rPr>
          <w:rFonts w:hint="default" w:ascii="Times New Roman" w:hAnsi="Times New Roman" w:eastAsia="宋体" w:cs="Times New Roman"/>
          <w:color w:val="FF0000"/>
          <w:spacing w:val="-4"/>
          <w:sz w:val="24"/>
          <w:szCs w:val="24"/>
          <w:highlight w:val="none"/>
        </w:rPr>
        <w:t>青贮渗出液资源</w:t>
      </w:r>
      <w:r>
        <w:rPr>
          <w:rFonts w:hint="default" w:ascii="Times New Roman" w:hAnsi="Times New Roman" w:eastAsia="宋体" w:cs="Times New Roman"/>
          <w:color w:val="FF0000"/>
          <w:spacing w:val="-6"/>
          <w:sz w:val="24"/>
          <w:szCs w:val="24"/>
          <w:highlight w:val="none"/>
        </w:rPr>
        <w:t>的开发利用》（陕西农业科学，</w:t>
      </w:r>
      <w:r>
        <w:rPr>
          <w:rFonts w:hint="default" w:ascii="Times New Roman" w:hAnsi="Times New Roman" w:eastAsia="Times New Roman" w:cs="Times New Roman"/>
          <w:color w:val="FF0000"/>
          <w:spacing w:val="-6"/>
          <w:sz w:val="24"/>
          <w:szCs w:val="24"/>
          <w:highlight w:val="none"/>
        </w:rPr>
        <w:t>2010</w:t>
      </w:r>
      <w:r>
        <w:rPr>
          <w:rFonts w:hint="default" w:ascii="Times New Roman" w:hAnsi="Times New Roman" w:eastAsia="宋体" w:cs="Times New Roman"/>
          <w:color w:val="FF0000"/>
          <w:spacing w:val="-6"/>
          <w:sz w:val="24"/>
          <w:szCs w:val="24"/>
          <w:highlight w:val="none"/>
        </w:rPr>
        <w:t>（</w:t>
      </w:r>
      <w:r>
        <w:rPr>
          <w:rFonts w:hint="default" w:ascii="Times New Roman" w:hAnsi="Times New Roman" w:eastAsia="Times New Roman" w:cs="Times New Roman"/>
          <w:color w:val="FF0000"/>
          <w:spacing w:val="-6"/>
          <w:sz w:val="24"/>
          <w:szCs w:val="24"/>
          <w:highlight w:val="none"/>
        </w:rPr>
        <w:t>2</w:t>
      </w:r>
      <w:r>
        <w:rPr>
          <w:rFonts w:hint="default" w:ascii="Times New Roman" w:hAnsi="Times New Roman" w:eastAsia="宋体" w:cs="Times New Roman"/>
          <w:color w:val="FF0000"/>
          <w:spacing w:val="-37"/>
          <w:sz w:val="24"/>
          <w:szCs w:val="24"/>
          <w:highlight w:val="none"/>
        </w:rPr>
        <w:t>），</w:t>
      </w:r>
      <w:r>
        <w:rPr>
          <w:rFonts w:hint="default" w:ascii="Times New Roman" w:hAnsi="Times New Roman" w:eastAsia="宋体" w:cs="Times New Roman"/>
          <w:color w:val="FF0000"/>
          <w:spacing w:val="-6"/>
          <w:sz w:val="24"/>
          <w:szCs w:val="24"/>
          <w:highlight w:val="none"/>
        </w:rPr>
        <w:t>第</w:t>
      </w:r>
      <w:r>
        <w:rPr>
          <w:rFonts w:hint="default" w:ascii="Times New Roman" w:hAnsi="Times New Roman" w:eastAsia="Times New Roman" w:cs="Times New Roman"/>
          <w:color w:val="FF0000"/>
          <w:spacing w:val="-6"/>
          <w:sz w:val="24"/>
          <w:szCs w:val="24"/>
          <w:highlight w:val="none"/>
        </w:rPr>
        <w:t>98</w:t>
      </w:r>
      <w:r>
        <w:rPr>
          <w:rFonts w:hint="default" w:ascii="Times New Roman" w:hAnsi="Times New Roman" w:eastAsia="宋体" w:cs="Times New Roman"/>
          <w:color w:val="FF0000"/>
          <w:spacing w:val="-6"/>
          <w:sz w:val="24"/>
          <w:szCs w:val="24"/>
          <w:highlight w:val="none"/>
        </w:rPr>
        <w:t>页</w:t>
      </w:r>
      <w:r>
        <w:rPr>
          <w:rFonts w:hint="default" w:ascii="Times New Roman" w:hAnsi="Times New Roman" w:eastAsia="宋体" w:cs="Times New Roman"/>
          <w:color w:val="FF0000"/>
          <w:spacing w:val="-37"/>
          <w:sz w:val="24"/>
          <w:szCs w:val="24"/>
          <w:highlight w:val="none"/>
        </w:rPr>
        <w:t>）</w:t>
      </w:r>
      <w:r>
        <w:rPr>
          <w:rFonts w:hint="default" w:ascii="Times New Roman" w:hAnsi="Times New Roman" w:eastAsia="宋体" w:cs="Times New Roman"/>
          <w:color w:val="FF0000"/>
          <w:spacing w:val="-4"/>
          <w:sz w:val="24"/>
          <w:szCs w:val="24"/>
          <w:highlight w:val="none"/>
          <w:lang w:eastAsia="zh-CN"/>
        </w:rPr>
        <w:t>青贮窖</w:t>
      </w:r>
      <w:r>
        <w:rPr>
          <w:rFonts w:hint="default" w:ascii="Times New Roman" w:hAnsi="Times New Roman" w:eastAsia="宋体" w:cs="Times New Roman"/>
          <w:color w:val="FF0000"/>
          <w:spacing w:val="-4"/>
          <w:sz w:val="24"/>
          <w:szCs w:val="24"/>
          <w:highlight w:val="none"/>
        </w:rPr>
        <w:t>渗滤液一部分与水按</w:t>
      </w:r>
      <w:r>
        <w:rPr>
          <w:rFonts w:hint="default" w:ascii="Times New Roman" w:hAnsi="Times New Roman" w:eastAsia="Times New Roman" w:cs="Times New Roman"/>
          <w:color w:val="FF0000"/>
          <w:spacing w:val="-4"/>
          <w:sz w:val="24"/>
          <w:szCs w:val="24"/>
          <w:highlight w:val="none"/>
        </w:rPr>
        <w:t>1:2</w:t>
      </w:r>
      <w:r>
        <w:rPr>
          <w:rFonts w:hint="default" w:ascii="Times New Roman" w:hAnsi="Times New Roman" w:eastAsia="宋体" w:cs="Times New Roman"/>
          <w:color w:val="FF0000"/>
          <w:spacing w:val="-4"/>
          <w:sz w:val="24"/>
          <w:szCs w:val="24"/>
          <w:highlight w:val="none"/>
        </w:rPr>
        <w:t>比例配</w:t>
      </w:r>
      <w:r>
        <w:rPr>
          <w:rFonts w:hint="default" w:ascii="Times New Roman" w:hAnsi="Times New Roman" w:eastAsia="宋体" w:cs="Times New Roman"/>
          <w:color w:val="FF0000"/>
          <w:spacing w:val="-2"/>
          <w:sz w:val="24"/>
          <w:szCs w:val="24"/>
          <w:highlight w:val="none"/>
        </w:rPr>
        <w:t>合代替水饮喂肉牛</w:t>
      </w:r>
      <w:r>
        <w:rPr>
          <w:rFonts w:hint="default" w:ascii="Times New Roman" w:hAnsi="Times New Roman" w:eastAsia="宋体" w:cs="Times New Roman"/>
          <w:color w:val="FF0000"/>
          <w:spacing w:val="-1"/>
          <w:sz w:val="24"/>
          <w:szCs w:val="24"/>
          <w:highlight w:val="none"/>
        </w:rPr>
        <w:t>；其余部分与</w:t>
      </w:r>
      <w:r>
        <w:rPr>
          <w:rFonts w:hint="default" w:ascii="Times New Roman" w:hAnsi="Times New Roman" w:eastAsia="宋体" w:cs="Times New Roman"/>
          <w:color w:val="FF0000"/>
          <w:spacing w:val="-2"/>
          <w:sz w:val="24"/>
          <w:szCs w:val="24"/>
          <w:highlight w:val="none"/>
        </w:rPr>
        <w:t>精料按比例配合饲喂肉</w:t>
      </w:r>
      <w:r>
        <w:rPr>
          <w:rFonts w:hint="default" w:ascii="Times New Roman" w:hAnsi="Times New Roman" w:eastAsia="宋体" w:cs="Times New Roman"/>
          <w:color w:val="FF0000"/>
          <w:spacing w:val="-6"/>
          <w:sz w:val="24"/>
          <w:szCs w:val="24"/>
          <w:highlight w:val="none"/>
        </w:rPr>
        <w:t>牛，其味道酸甜，可促进食欲，但须随配随用，以免发霉。冬季不进行玉米秸秆青贮发酵生产，无渗滤液产生。本项目在</w:t>
      </w:r>
      <w:r>
        <w:rPr>
          <w:rFonts w:hint="default" w:ascii="Times New Roman" w:hAnsi="Times New Roman" w:eastAsia="宋体" w:cs="Times New Roman"/>
          <w:color w:val="FF0000"/>
          <w:spacing w:val="-6"/>
          <w:sz w:val="24"/>
          <w:szCs w:val="24"/>
          <w:highlight w:val="none"/>
          <w:lang w:eastAsia="zh-CN"/>
        </w:rPr>
        <w:t>青贮窖</w:t>
      </w:r>
      <w:r>
        <w:rPr>
          <w:rFonts w:hint="default" w:ascii="Times New Roman" w:hAnsi="Times New Roman" w:eastAsia="宋体" w:cs="Times New Roman"/>
          <w:color w:val="FF0000"/>
          <w:spacing w:val="-6"/>
          <w:sz w:val="24"/>
          <w:szCs w:val="24"/>
          <w:highlight w:val="none"/>
        </w:rPr>
        <w:t>底设置排水管道，渗滤液排入青贮液接收池中</w:t>
      </w:r>
    </w:p>
    <w:p w14:paraId="0AC4CF2E">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107" w:rightChars="0" w:firstLine="480" w:firstLineChars="200"/>
        <w:textAlignment w:val="baseline"/>
        <w:rPr>
          <w:rFonts w:hint="default" w:ascii="Times New Roman" w:hAnsi="Times New Roman" w:eastAsia="宋体" w:cs="Times New Roman"/>
          <w:color w:val="FF0000"/>
          <w:sz w:val="24"/>
          <w:szCs w:val="24"/>
          <w:lang w:val="en-US" w:eastAsia="zh-CN"/>
        </w:rPr>
      </w:pPr>
      <w:r>
        <w:rPr>
          <w:rFonts w:hint="default" w:ascii="Times New Roman" w:hAnsi="Times New Roman" w:eastAsia="宋体" w:cs="Times New Roman"/>
          <w:snapToGrid w:val="0"/>
          <w:color w:val="FF0000"/>
          <w:kern w:val="0"/>
          <w:sz w:val="24"/>
          <w:szCs w:val="24"/>
          <w:lang w:val="en-US" w:eastAsia="zh-CN" w:bidi="ar-SA"/>
        </w:rPr>
        <w:t>（5）本项目牛舍每年更换一次发酵床垫料，</w:t>
      </w:r>
      <w:r>
        <w:rPr>
          <w:rFonts w:hint="eastAsia" w:ascii="Times New Roman" w:hAnsi="Times New Roman" w:eastAsia="宋体" w:cs="Times New Roman"/>
          <w:snapToGrid w:val="0"/>
          <w:color w:val="FF0000"/>
          <w:kern w:val="0"/>
          <w:sz w:val="24"/>
          <w:szCs w:val="24"/>
          <w:lang w:val="en-US" w:eastAsia="zh-CN" w:bidi="ar-SA"/>
        </w:rPr>
        <w:t>存储在</w:t>
      </w:r>
      <w:r>
        <w:rPr>
          <w:rFonts w:hint="default" w:ascii="Times New Roman" w:hAnsi="Times New Roman" w:eastAsia="宋体" w:cs="Times New Roman"/>
          <w:snapToGrid w:val="0"/>
          <w:color w:val="FF0000"/>
          <w:kern w:val="0"/>
          <w:sz w:val="24"/>
          <w:szCs w:val="24"/>
          <w:lang w:val="en-US" w:eastAsia="zh-CN" w:bidi="ar-SA"/>
        </w:rPr>
        <w:t>粪污储存间，委托外售至集贤县远东牧业有限公司、双鸭山市永胜农机合</w:t>
      </w:r>
      <w:r>
        <w:rPr>
          <w:rFonts w:hint="default" w:ascii="Times New Roman" w:hAnsi="Times New Roman" w:eastAsia="宋体" w:cs="Times New Roman"/>
          <w:color w:val="FF0000"/>
          <w:sz w:val="24"/>
          <w:szCs w:val="24"/>
          <w:lang w:val="en-US" w:eastAsia="zh-CN"/>
        </w:rPr>
        <w:t>作社丰乐粪污集中处理中心，实现资源化利用；病死牛、分娩废物进行交由双鸭山百奥迈斯生物科技有限公司；防疫过程产生的废注射器和废药瓶暂存于医疗废物暂存间内，定期交由双鸭山翁氏环保有限公司处置。</w:t>
      </w:r>
    </w:p>
    <w:p w14:paraId="3EABB1A2">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9" w:name="_Toc14592"/>
      <w:r>
        <w:rPr>
          <w:rFonts w:hint="default" w:ascii="Times New Roman" w:hAnsi="Times New Roman" w:eastAsia="Times New Roman" w:cs="Times New Roman"/>
          <w:b/>
          <w:bCs/>
          <w:color w:val="auto"/>
          <w:spacing w:val="-2"/>
          <w:sz w:val="24"/>
          <w:szCs w:val="24"/>
          <w:highlight w:val="none"/>
        </w:rPr>
        <w:t>1.2.</w:t>
      </w:r>
      <w:r>
        <w:rPr>
          <w:rFonts w:hint="default" w:ascii="Times New Roman" w:hAnsi="Times New Roman" w:eastAsia="宋体" w:cs="Times New Roman"/>
          <w:b/>
          <w:bCs/>
          <w:color w:val="auto"/>
          <w:spacing w:val="-2"/>
          <w:sz w:val="24"/>
          <w:szCs w:val="24"/>
          <w:highlight w:val="none"/>
          <w:lang w:val="en-US" w:eastAsia="zh-CN"/>
        </w:rPr>
        <w:t>3主要</w:t>
      </w:r>
      <w:bookmarkStart w:id="10" w:name="_Toc7250"/>
      <w:bookmarkStart w:id="11" w:name="_Toc27445"/>
      <w:r>
        <w:rPr>
          <w:rFonts w:hint="default" w:ascii="Times New Roman" w:hAnsi="Times New Roman" w:eastAsia="宋体" w:cs="Times New Roman"/>
          <w:b/>
          <w:bCs/>
          <w:color w:val="auto"/>
          <w:spacing w:val="-2"/>
          <w:sz w:val="24"/>
          <w:szCs w:val="24"/>
          <w:highlight w:val="none"/>
          <w:lang w:val="en-US" w:eastAsia="zh-CN"/>
        </w:rPr>
        <w:t>环境问题及环境影响</w:t>
      </w:r>
      <w:bookmarkEnd w:id="9"/>
    </w:p>
    <w:p w14:paraId="4235BE42">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132" w:rightChars="0" w:firstLine="472" w:firstLineChars="200"/>
        <w:textAlignment w:val="baseline"/>
        <w:rPr>
          <w:rFonts w:hint="default" w:ascii="Times New Roman" w:hAnsi="Times New Roman" w:eastAsia="Times New Roman" w:cs="Times New Roman"/>
          <w:color w:val="FF0000"/>
          <w:spacing w:val="-2"/>
          <w:sz w:val="24"/>
          <w:szCs w:val="24"/>
          <w:highlight w:val="none"/>
          <w:lang w:val="en-US" w:eastAsia="zh-CN"/>
        </w:rPr>
      </w:pPr>
      <w:r>
        <w:rPr>
          <w:rFonts w:hint="eastAsia" w:ascii="Times New Roman" w:hAnsi="Times New Roman" w:eastAsia="Times New Roman" w:cs="Times New Roman"/>
          <w:snapToGrid w:val="0"/>
          <w:color w:val="FF0000"/>
          <w:spacing w:val="-2"/>
          <w:kern w:val="0"/>
          <w:sz w:val="24"/>
          <w:szCs w:val="24"/>
          <w:highlight w:val="none"/>
          <w:lang w:val="en-US" w:eastAsia="zh-CN" w:bidi="ar-SA"/>
        </w:rPr>
        <w:t>1.</w:t>
      </w:r>
      <w:r>
        <w:rPr>
          <w:rFonts w:hint="default" w:ascii="Times New Roman" w:hAnsi="Times New Roman" w:eastAsia="Times New Roman" w:cs="Times New Roman"/>
          <w:color w:val="FF0000"/>
          <w:spacing w:val="-2"/>
          <w:sz w:val="24"/>
          <w:szCs w:val="24"/>
          <w:highlight w:val="none"/>
          <w:lang w:val="en-US" w:eastAsia="zh-CN"/>
        </w:rPr>
        <w:t>废气</w:t>
      </w:r>
    </w:p>
    <w:p w14:paraId="17ADF3A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FF0000"/>
          <w:sz w:val="24"/>
          <w:szCs w:val="24"/>
          <w:highlight w:val="none"/>
          <w:lang w:eastAsia="zh-CN"/>
        </w:rPr>
      </w:pPr>
      <w:r>
        <w:rPr>
          <w:rFonts w:hint="default" w:ascii="Times New Roman" w:hAnsi="Times New Roman" w:eastAsia="宋体" w:cs="Times New Roman"/>
          <w:color w:val="FF0000"/>
          <w:sz w:val="24"/>
          <w:szCs w:val="24"/>
          <w:highlight w:val="none"/>
          <w:lang w:val="en-US" w:eastAsia="zh-CN"/>
        </w:rPr>
        <w:t>本项目的废气主要为</w:t>
      </w:r>
      <w:r>
        <w:rPr>
          <w:rFonts w:hint="default" w:ascii="Times New Roman" w:hAnsi="Times New Roman" w:eastAsia="宋体" w:cs="Times New Roman"/>
          <w:color w:val="FF0000"/>
          <w:sz w:val="24"/>
          <w:szCs w:val="24"/>
          <w:highlight w:val="none"/>
        </w:rPr>
        <w:t>牛舍、</w:t>
      </w:r>
      <w:r>
        <w:rPr>
          <w:rFonts w:hint="default" w:ascii="Times New Roman" w:hAnsi="Times New Roman" w:eastAsia="宋体" w:cs="Times New Roman"/>
          <w:color w:val="FF0000"/>
          <w:sz w:val="24"/>
          <w:szCs w:val="24"/>
          <w:highlight w:val="none"/>
          <w:lang w:val="en-US" w:eastAsia="zh-CN"/>
        </w:rPr>
        <w:t>粪污储存间</w:t>
      </w:r>
      <w:r>
        <w:rPr>
          <w:rFonts w:hint="default" w:ascii="Times New Roman" w:hAnsi="Times New Roman" w:eastAsia="宋体" w:cs="Times New Roman"/>
          <w:color w:val="FF0000"/>
          <w:sz w:val="24"/>
          <w:szCs w:val="24"/>
          <w:highlight w:val="none"/>
        </w:rPr>
        <w:t>产生的恶臭气体</w:t>
      </w: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rPr>
        <w:t>对区域大气环境的影响</w:t>
      </w:r>
      <w:r>
        <w:rPr>
          <w:rFonts w:hint="default" w:ascii="Times New Roman" w:hAnsi="Times New Roman" w:eastAsia="宋体" w:cs="Times New Roman"/>
          <w:color w:val="FF0000"/>
          <w:sz w:val="24"/>
          <w:szCs w:val="24"/>
          <w:lang w:eastAsia="zh-CN"/>
        </w:rPr>
        <w:t>；</w:t>
      </w:r>
    </w:p>
    <w:p w14:paraId="3A55F9E4">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2.</w:t>
      </w:r>
      <w:r>
        <w:rPr>
          <w:rFonts w:hint="default" w:ascii="Times New Roman" w:hAnsi="Times New Roman" w:eastAsia="宋体" w:cs="Times New Roman"/>
          <w:color w:val="FF0000"/>
          <w:sz w:val="24"/>
          <w:szCs w:val="24"/>
          <w:highlight w:val="none"/>
          <w:lang w:val="en-US" w:eastAsia="zh-CN"/>
        </w:rPr>
        <w:t>废水</w:t>
      </w:r>
    </w:p>
    <w:p w14:paraId="3C278CA9">
      <w:pPr>
        <w:pStyle w:val="40"/>
        <w:keepNext w:val="0"/>
        <w:keepLines w:val="0"/>
        <w:pageBreakBefore w:val="0"/>
        <w:widowControl/>
        <w:overflowPunct/>
        <w:bidi w:val="0"/>
        <w:spacing w:line="360" w:lineRule="auto"/>
        <w:ind w:left="0" w:right="0" w:firstLine="468" w:firstLineChars="200"/>
        <w:textAlignment w:val="baseline"/>
        <w:rPr>
          <w:rFonts w:hint="default" w:ascii="Times New Roman" w:hAnsi="Times New Roman" w:eastAsia="宋体" w:cs="Times New Roman"/>
          <w:snapToGrid w:val="0"/>
          <w:color w:val="FF0000"/>
          <w:spacing w:val="-3"/>
          <w:kern w:val="0"/>
          <w:sz w:val="24"/>
          <w:szCs w:val="24"/>
          <w:highlight w:val="none"/>
          <w:lang w:val="en-US" w:eastAsia="zh-CN" w:bidi="ar-SA"/>
        </w:rPr>
      </w:pPr>
      <w:r>
        <w:rPr>
          <w:rFonts w:hint="default" w:ascii="Times New Roman" w:hAnsi="Times New Roman" w:eastAsia="宋体" w:cs="Times New Roman"/>
          <w:snapToGrid w:val="0"/>
          <w:color w:val="FF0000"/>
          <w:spacing w:val="-3"/>
          <w:kern w:val="0"/>
          <w:sz w:val="24"/>
          <w:szCs w:val="24"/>
          <w:highlight w:val="none"/>
          <w:lang w:val="en-US" w:eastAsia="zh-CN" w:bidi="ar-SA"/>
        </w:rPr>
        <w:t>本项目牛尿、生活污水对区域地表水及地下水环境的影响</w:t>
      </w:r>
    </w:p>
    <w:p w14:paraId="7D000EE7">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68" w:firstLineChars="200"/>
        <w:textAlignment w:val="auto"/>
        <w:rPr>
          <w:rFonts w:hint="default" w:ascii="Times New Roman" w:hAnsi="Times New Roman" w:eastAsia="宋体" w:cs="Times New Roman"/>
          <w:snapToGrid w:val="0"/>
          <w:color w:val="FF0000"/>
          <w:spacing w:val="-3"/>
          <w:kern w:val="0"/>
          <w:sz w:val="24"/>
          <w:szCs w:val="24"/>
          <w:highlight w:val="none"/>
          <w:lang w:val="en-US" w:eastAsia="zh-CN" w:bidi="ar-SA"/>
        </w:rPr>
      </w:pPr>
      <w:r>
        <w:rPr>
          <w:rFonts w:hint="default" w:ascii="Times New Roman" w:hAnsi="Times New Roman" w:eastAsia="宋体" w:cs="Times New Roman"/>
          <w:snapToGrid w:val="0"/>
          <w:color w:val="FF0000"/>
          <w:spacing w:val="-3"/>
          <w:kern w:val="0"/>
          <w:sz w:val="24"/>
          <w:szCs w:val="24"/>
          <w:highlight w:val="none"/>
          <w:lang w:val="en-US" w:eastAsia="zh-CN" w:bidi="ar-SA"/>
        </w:rPr>
        <w:t>噪声</w:t>
      </w:r>
    </w:p>
    <w:p w14:paraId="26AB444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68" w:firstLineChars="200"/>
        <w:textAlignment w:val="auto"/>
        <w:rPr>
          <w:rFonts w:hint="default" w:ascii="Times New Roman" w:hAnsi="Times New Roman" w:eastAsia="宋体" w:cs="Times New Roman"/>
          <w:snapToGrid w:val="0"/>
          <w:color w:val="FF0000"/>
          <w:spacing w:val="-3"/>
          <w:kern w:val="0"/>
          <w:sz w:val="24"/>
          <w:szCs w:val="24"/>
          <w:highlight w:val="none"/>
          <w:lang w:val="en-US" w:eastAsia="zh-CN" w:bidi="ar-SA"/>
        </w:rPr>
      </w:pPr>
      <w:r>
        <w:rPr>
          <w:rFonts w:hint="default" w:ascii="Times New Roman" w:hAnsi="Times New Roman" w:eastAsia="宋体" w:cs="Times New Roman"/>
          <w:snapToGrid w:val="0"/>
          <w:color w:val="FF0000"/>
          <w:spacing w:val="-3"/>
          <w:kern w:val="0"/>
          <w:sz w:val="24"/>
          <w:szCs w:val="24"/>
          <w:highlight w:val="none"/>
          <w:lang w:val="en-US" w:eastAsia="zh-CN" w:bidi="ar-SA"/>
        </w:rPr>
        <w:t>本项目风机、水泵等设备产生的机械噪声影响；</w:t>
      </w:r>
    </w:p>
    <w:p w14:paraId="482C7687">
      <w:pPr>
        <w:pStyle w:val="11"/>
        <w:keepNext w:val="0"/>
        <w:keepLines w:val="0"/>
        <w:pageBreakBefore w:val="0"/>
        <w:widowControl/>
        <w:kinsoku w:val="0"/>
        <w:wordWrap/>
        <w:overflowPunct/>
        <w:topLinePunct w:val="0"/>
        <w:autoSpaceDE w:val="0"/>
        <w:autoSpaceDN w:val="0"/>
        <w:bidi w:val="0"/>
        <w:adjustRightInd w:val="0"/>
        <w:snapToGrid w:val="0"/>
        <w:spacing w:line="360" w:lineRule="auto"/>
        <w:ind w:firstLine="468" w:firstLineChars="200"/>
        <w:textAlignment w:val="baseline"/>
        <w:rPr>
          <w:rFonts w:hint="default" w:ascii="Times New Roman" w:hAnsi="Times New Roman" w:eastAsia="宋体" w:cs="Times New Roman"/>
          <w:snapToGrid w:val="0"/>
          <w:color w:val="FF0000"/>
          <w:spacing w:val="-3"/>
          <w:kern w:val="0"/>
          <w:sz w:val="24"/>
          <w:szCs w:val="24"/>
          <w:highlight w:val="none"/>
          <w:lang w:val="en-US" w:eastAsia="zh-CN" w:bidi="ar-SA"/>
        </w:rPr>
      </w:pPr>
      <w:r>
        <w:rPr>
          <w:rFonts w:hint="eastAsia" w:ascii="Times New Roman" w:hAnsi="Times New Roman" w:eastAsia="宋体" w:cs="Times New Roman"/>
          <w:snapToGrid w:val="0"/>
          <w:color w:val="FF0000"/>
          <w:spacing w:val="-3"/>
          <w:kern w:val="0"/>
          <w:sz w:val="24"/>
          <w:szCs w:val="24"/>
          <w:highlight w:val="none"/>
          <w:lang w:val="en-US" w:eastAsia="zh-CN" w:bidi="ar-SA"/>
        </w:rPr>
        <w:t>4.</w:t>
      </w:r>
      <w:r>
        <w:rPr>
          <w:rFonts w:hint="default" w:ascii="Times New Roman" w:hAnsi="Times New Roman" w:eastAsia="宋体" w:cs="Times New Roman"/>
          <w:snapToGrid w:val="0"/>
          <w:color w:val="FF0000"/>
          <w:spacing w:val="-3"/>
          <w:kern w:val="0"/>
          <w:sz w:val="24"/>
          <w:szCs w:val="24"/>
          <w:highlight w:val="none"/>
          <w:lang w:val="en-US" w:eastAsia="zh-CN" w:bidi="ar-SA"/>
        </w:rPr>
        <w:t>固废</w:t>
      </w:r>
    </w:p>
    <w:p w14:paraId="123B8814">
      <w:pPr>
        <w:pStyle w:val="11"/>
        <w:keepNext w:val="0"/>
        <w:keepLines w:val="0"/>
        <w:pageBreakBefore w:val="0"/>
        <w:widowControl/>
        <w:kinsoku w:val="0"/>
        <w:wordWrap/>
        <w:overflowPunct/>
        <w:topLinePunct w:val="0"/>
        <w:autoSpaceDE w:val="0"/>
        <w:autoSpaceDN w:val="0"/>
        <w:bidi w:val="0"/>
        <w:adjustRightInd w:val="0"/>
        <w:snapToGrid w:val="0"/>
        <w:spacing w:line="360" w:lineRule="auto"/>
        <w:ind w:firstLine="468" w:firstLineChars="200"/>
        <w:textAlignment w:val="baseline"/>
        <w:rPr>
          <w:rFonts w:hint="default" w:ascii="Times New Roman" w:hAnsi="Times New Roman" w:eastAsia="宋体" w:cs="Times New Roman"/>
          <w:snapToGrid w:val="0"/>
          <w:color w:val="FF0000"/>
          <w:spacing w:val="-3"/>
          <w:kern w:val="0"/>
          <w:sz w:val="24"/>
          <w:szCs w:val="24"/>
          <w:highlight w:val="none"/>
          <w:lang w:val="en-US" w:eastAsia="zh-CN" w:bidi="ar-SA"/>
        </w:rPr>
      </w:pPr>
      <w:r>
        <w:rPr>
          <w:rFonts w:hint="default" w:ascii="Times New Roman" w:hAnsi="Times New Roman" w:eastAsia="宋体" w:cs="Times New Roman"/>
          <w:snapToGrid w:val="0"/>
          <w:color w:val="FF0000"/>
          <w:spacing w:val="-3"/>
          <w:kern w:val="0"/>
          <w:sz w:val="24"/>
          <w:szCs w:val="24"/>
          <w:highlight w:val="none"/>
          <w:lang w:val="en-US" w:eastAsia="zh-CN" w:bidi="ar-SA"/>
        </w:rPr>
        <w:t>本项目防疫治病过程产生的废注射器和废药瓶、牛舍更换的发酵床垫料、病死牛、分娩废物、生活垃圾等固体废物产生的污染影响。</w:t>
      </w:r>
    </w:p>
    <w:p w14:paraId="54CAC944">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Times New Roman" w:cs="Times New Roman"/>
          <w:b/>
          <w:bCs/>
          <w:color w:val="auto"/>
          <w:spacing w:val="-2"/>
          <w:sz w:val="24"/>
          <w:szCs w:val="24"/>
          <w:highlight w:val="none"/>
        </w:rPr>
      </w:pPr>
      <w:bookmarkStart w:id="12" w:name="_Toc169251719"/>
      <w:bookmarkStart w:id="13" w:name="_Toc22095"/>
      <w:r>
        <w:rPr>
          <w:rFonts w:hint="default" w:ascii="Times New Roman" w:hAnsi="Times New Roman" w:eastAsia="Times New Roman" w:cs="Times New Roman"/>
          <w:b/>
          <w:bCs/>
          <w:color w:val="auto"/>
          <w:spacing w:val="-2"/>
          <w:sz w:val="24"/>
          <w:szCs w:val="24"/>
          <w:highlight w:val="none"/>
        </w:rPr>
        <w:t>1.2.</w:t>
      </w:r>
      <w:r>
        <w:rPr>
          <w:rFonts w:hint="default" w:ascii="Times New Roman" w:hAnsi="Times New Roman" w:eastAsia="宋体" w:cs="Times New Roman"/>
          <w:b/>
          <w:bCs/>
          <w:color w:val="auto"/>
          <w:spacing w:val="-2"/>
          <w:sz w:val="24"/>
          <w:szCs w:val="24"/>
          <w:highlight w:val="none"/>
          <w:lang w:val="en-US" w:eastAsia="zh-CN"/>
        </w:rPr>
        <w:t>4</w:t>
      </w:r>
      <w:r>
        <w:rPr>
          <w:rFonts w:hint="default" w:ascii="Times New Roman" w:hAnsi="Times New Roman" w:eastAsia="Times New Roman" w:cs="Times New Roman"/>
          <w:b/>
          <w:bCs/>
          <w:color w:val="auto"/>
          <w:spacing w:val="-2"/>
          <w:sz w:val="24"/>
          <w:szCs w:val="24"/>
          <w:highlight w:val="none"/>
        </w:rPr>
        <w:t>场区周边情况及选址特点</w:t>
      </w:r>
      <w:bookmarkEnd w:id="12"/>
      <w:bookmarkEnd w:id="13"/>
    </w:p>
    <w:p w14:paraId="3B90CF3A">
      <w:pPr>
        <w:pStyle w:val="40"/>
        <w:keepNext w:val="0"/>
        <w:keepLines w:val="0"/>
        <w:pageBreakBefore w:val="0"/>
        <w:widowControl/>
        <w:overflowPunct/>
        <w:bidi w:val="0"/>
        <w:spacing w:line="360" w:lineRule="auto"/>
        <w:ind w:firstLine="464" w:firstLineChars="200"/>
        <w:textAlignment w:val="baseline"/>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snapToGrid w:val="0"/>
          <w:color w:val="FF0000"/>
          <w:spacing w:val="-4"/>
          <w:kern w:val="0"/>
          <w:sz w:val="24"/>
          <w:szCs w:val="24"/>
          <w:highlight w:val="none"/>
          <w:lang w:val="en-US" w:eastAsia="en-US" w:bidi="ar-SA"/>
        </w:rPr>
        <w:t>本项目场区距离村屯较远，项目北侧厂界距</w:t>
      </w:r>
      <w:r>
        <w:rPr>
          <w:rFonts w:hint="default" w:ascii="Times New Roman" w:hAnsi="Times New Roman" w:eastAsia="宋体" w:cs="Times New Roman"/>
          <w:snapToGrid w:val="0"/>
          <w:color w:val="FF0000"/>
          <w:spacing w:val="-4"/>
          <w:kern w:val="0"/>
          <w:sz w:val="24"/>
          <w:szCs w:val="24"/>
          <w:highlight w:val="none"/>
          <w:lang w:val="en-US" w:eastAsia="zh-CN" w:bidi="ar-SA"/>
        </w:rPr>
        <w:t>康家屯</w:t>
      </w:r>
      <w:r>
        <w:rPr>
          <w:rFonts w:hint="default" w:ascii="Times New Roman" w:hAnsi="Times New Roman" w:eastAsia="宋体" w:cs="Times New Roman"/>
          <w:snapToGrid w:val="0"/>
          <w:color w:val="FF0000"/>
          <w:spacing w:val="-4"/>
          <w:kern w:val="0"/>
          <w:sz w:val="24"/>
          <w:szCs w:val="24"/>
          <w:highlight w:val="none"/>
          <w:lang w:val="en-US" w:eastAsia="en-US" w:bidi="ar-SA"/>
        </w:rPr>
        <w:t>最近距离为</w:t>
      </w:r>
      <w:r>
        <w:rPr>
          <w:rFonts w:hint="default" w:ascii="Times New Roman" w:hAnsi="Times New Roman" w:eastAsia="宋体" w:cs="Times New Roman"/>
          <w:snapToGrid w:val="0"/>
          <w:color w:val="FF0000"/>
          <w:spacing w:val="-4"/>
          <w:kern w:val="0"/>
          <w:sz w:val="24"/>
          <w:szCs w:val="24"/>
          <w:highlight w:val="none"/>
          <w:lang w:val="en-US" w:eastAsia="zh-CN" w:bidi="ar-SA"/>
        </w:rPr>
        <w:t>720</w:t>
      </w:r>
      <w:r>
        <w:rPr>
          <w:rFonts w:hint="default" w:ascii="Times New Roman" w:hAnsi="Times New Roman" w:eastAsia="宋体" w:cs="Times New Roman"/>
          <w:snapToGrid w:val="0"/>
          <w:color w:val="FF0000"/>
          <w:spacing w:val="-4"/>
          <w:kern w:val="0"/>
          <w:sz w:val="24"/>
          <w:szCs w:val="24"/>
          <w:highlight w:val="none"/>
          <w:lang w:val="en-US" w:eastAsia="en-US" w:bidi="ar-SA"/>
        </w:rPr>
        <w:t>m，场区位置不在当地政府所划定的“禁养区”范围；项目四周均为农田，</w:t>
      </w:r>
      <w:r>
        <w:rPr>
          <w:rFonts w:hint="default" w:ascii="Times New Roman" w:hAnsi="Times New Roman" w:eastAsia="宋体" w:cs="Times New Roman"/>
          <w:color w:val="FF0000"/>
          <w:sz w:val="24"/>
          <w:szCs w:val="24"/>
          <w:highlight w:val="none"/>
          <w:lang w:val="en-US" w:eastAsia="zh-CN"/>
        </w:rPr>
        <w:t>项目场区外500m范围内无敏感目标，本项目距离最近居民区为北侧720m处的康佳屯；本项目最近的功能水体为3300m处的安邦河。</w:t>
      </w:r>
    </w:p>
    <w:p w14:paraId="624B921D">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Times New Roman" w:cs="Times New Roman"/>
          <w:b/>
          <w:bCs/>
          <w:color w:val="auto"/>
          <w:spacing w:val="-2"/>
          <w:sz w:val="24"/>
          <w:szCs w:val="24"/>
          <w:highlight w:val="none"/>
        </w:rPr>
      </w:pPr>
      <w:bookmarkStart w:id="14" w:name="_Toc3040"/>
      <w:r>
        <w:rPr>
          <w:rFonts w:hint="default" w:ascii="Times New Roman" w:hAnsi="Times New Roman" w:eastAsia="Times New Roman" w:cs="Times New Roman"/>
          <w:b/>
          <w:bCs/>
          <w:color w:val="auto"/>
          <w:spacing w:val="-2"/>
          <w:sz w:val="24"/>
          <w:szCs w:val="24"/>
          <w:highlight w:val="none"/>
        </w:rPr>
        <w:t>1.2.</w:t>
      </w:r>
      <w:r>
        <w:rPr>
          <w:rFonts w:hint="default" w:ascii="Times New Roman" w:hAnsi="Times New Roman" w:eastAsia="Times New Roman" w:cs="Times New Roman"/>
          <w:b/>
          <w:bCs/>
          <w:color w:val="auto"/>
          <w:spacing w:val="-2"/>
          <w:sz w:val="24"/>
          <w:szCs w:val="24"/>
          <w:highlight w:val="none"/>
          <w:lang w:val="en-US" w:eastAsia="zh-CN"/>
        </w:rPr>
        <w:t>5主要结论</w:t>
      </w:r>
      <w:bookmarkEnd w:id="14"/>
    </w:p>
    <w:p w14:paraId="3AE465F5">
      <w:pPr>
        <w:pStyle w:val="40"/>
        <w:keepNext w:val="0"/>
        <w:keepLines w:val="0"/>
        <w:pageBreakBefore w:val="0"/>
        <w:widowControl/>
        <w:kinsoku w:val="0"/>
        <w:wordWrap/>
        <w:overflowPunct/>
        <w:topLinePunct w:val="0"/>
        <w:autoSpaceDE w:val="0"/>
        <w:autoSpaceDN w:val="0"/>
        <w:bidi w:val="0"/>
        <w:adjustRightInd/>
        <w:snapToGrid/>
        <w:spacing w:line="360" w:lineRule="auto"/>
        <w:ind w:left="0"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t>本项目建设项目符合国家产业政策要求，项目本着从清洁生产入手，对</w:t>
      </w:r>
      <w:r>
        <w:rPr>
          <w:rFonts w:hint="default" w:ascii="Times New Roman" w:hAnsi="Times New Roman" w:eastAsia="宋体" w:cs="Times New Roman"/>
          <w:snapToGrid w:val="0"/>
          <w:color w:val="auto"/>
          <w:spacing w:val="-4"/>
          <w:kern w:val="0"/>
          <w:sz w:val="24"/>
          <w:szCs w:val="24"/>
          <w:highlight w:val="none"/>
          <w:lang w:val="en-US" w:eastAsia="zh-CN" w:bidi="ar-SA"/>
        </w:rPr>
        <w:t>肉</w:t>
      </w:r>
      <w:r>
        <w:rPr>
          <w:rFonts w:hint="default" w:ascii="Times New Roman" w:hAnsi="Times New Roman" w:eastAsia="宋体" w:cs="Times New Roman"/>
          <w:snapToGrid w:val="0"/>
          <w:color w:val="auto"/>
          <w:spacing w:val="-4"/>
          <w:kern w:val="0"/>
          <w:sz w:val="24"/>
          <w:szCs w:val="24"/>
          <w:highlight w:val="none"/>
          <w:lang w:val="en-US" w:eastAsia="en-US" w:bidi="ar-SA"/>
        </w:rPr>
        <w:t>牛标准规模养殖产生的粪污采取了源头污染控制的工程措施切实可行，可实现污水零排放、粪污得到资源化综合利用的环境保护技术要求，在认真落实报告书所述各项污染防治措施后，可实现污染物稳定达标排放，通过加强环境管理和环境监测，杜绝事故发生，本项目建设可被周围环境所接受。</w:t>
      </w:r>
    </w:p>
    <w:p w14:paraId="67283FE5">
      <w:pPr>
        <w:pStyle w:val="40"/>
        <w:keepNext w:val="0"/>
        <w:keepLines w:val="0"/>
        <w:pageBreakBefore w:val="0"/>
        <w:widowControl/>
        <w:kinsoku w:val="0"/>
        <w:wordWrap/>
        <w:overflowPunct/>
        <w:topLinePunct w:val="0"/>
        <w:autoSpaceDE w:val="0"/>
        <w:autoSpaceDN w:val="0"/>
        <w:bidi w:val="0"/>
        <w:adjustRightInd/>
        <w:snapToGrid/>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t>因此，从环境保护角度分析，本项目具有可行性。</w:t>
      </w:r>
    </w:p>
    <w:p w14:paraId="3540F9A5">
      <w:pPr>
        <w:keepNext w:val="0"/>
        <w:keepLines w:val="0"/>
        <w:pageBreakBefore w:val="0"/>
        <w:widowControl/>
        <w:kinsoku/>
        <w:wordWrap w:val="0"/>
        <w:overflowPunct/>
        <w:topLinePunct/>
        <w:autoSpaceDE/>
        <w:autoSpaceDN/>
        <w:bidi w:val="0"/>
        <w:adjustRightInd w:val="0"/>
        <w:snapToGrid w:val="0"/>
        <w:spacing w:before="159" w:line="360" w:lineRule="auto"/>
        <w:ind w:left="13"/>
        <w:textAlignment w:val="baseline"/>
        <w:outlineLvl w:val="1"/>
        <w:rPr>
          <w:rFonts w:hint="default" w:ascii="Times New Roman" w:hAnsi="Times New Roman" w:eastAsia="Times New Roman" w:cs="Times New Roman"/>
          <w:b/>
          <w:bCs/>
          <w:color w:val="auto"/>
          <w:spacing w:val="-5"/>
          <w:sz w:val="28"/>
          <w:szCs w:val="28"/>
          <w:highlight w:val="none"/>
        </w:rPr>
      </w:pPr>
      <w:bookmarkStart w:id="15" w:name="_Toc7709"/>
      <w:r>
        <w:rPr>
          <w:rFonts w:hint="default" w:ascii="Times New Roman" w:hAnsi="Times New Roman" w:eastAsia="Times New Roman" w:cs="Times New Roman"/>
          <w:b/>
          <w:bCs/>
          <w:color w:val="auto"/>
          <w:spacing w:val="-5"/>
          <w:sz w:val="28"/>
          <w:szCs w:val="28"/>
          <w:highlight w:val="none"/>
        </w:rPr>
        <w:t>1.</w:t>
      </w:r>
      <w:r>
        <w:rPr>
          <w:rFonts w:hint="default" w:ascii="Times New Roman" w:hAnsi="Times New Roman" w:eastAsia="宋体" w:cs="Times New Roman"/>
          <w:b/>
          <w:bCs/>
          <w:color w:val="auto"/>
          <w:spacing w:val="-5"/>
          <w:sz w:val="28"/>
          <w:szCs w:val="28"/>
          <w:highlight w:val="none"/>
          <w:lang w:val="en-US" w:eastAsia="zh-CN"/>
        </w:rPr>
        <w:t>3</w:t>
      </w:r>
      <w:r>
        <w:rPr>
          <w:rFonts w:hint="default" w:ascii="Times New Roman" w:hAnsi="Times New Roman" w:eastAsia="Times New Roman" w:cs="Times New Roman"/>
          <w:b/>
          <w:bCs/>
          <w:color w:val="auto"/>
          <w:spacing w:val="-5"/>
          <w:sz w:val="28"/>
          <w:szCs w:val="28"/>
          <w:highlight w:val="none"/>
        </w:rPr>
        <w:t>环境影响评价的工作过程</w:t>
      </w:r>
      <w:bookmarkEnd w:id="10"/>
      <w:bookmarkEnd w:id="11"/>
      <w:bookmarkEnd w:id="15"/>
    </w:p>
    <w:p w14:paraId="3C9D1AA9">
      <w:pPr>
        <w:keepNext w:val="0"/>
        <w:keepLines w:val="0"/>
        <w:pageBreakBefore w:val="0"/>
        <w:widowControl/>
        <w:kinsoku/>
        <w:wordWrap w:val="0"/>
        <w:overflowPunct/>
        <w:topLinePunct/>
        <w:autoSpaceDE/>
        <w:autoSpaceDN/>
        <w:bidi w:val="0"/>
        <w:adjustRightInd w:val="0"/>
        <w:snapToGrid w:val="0"/>
        <w:spacing w:line="360" w:lineRule="auto"/>
        <w:ind w:right="74"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根据《中华人民共和国环境保护法</w:t>
      </w:r>
      <w:r>
        <w:rPr>
          <w:rFonts w:hint="eastAsia"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中华人民共和国环境影响评价法》（中华人民共和国主席令（第四十八号</w:t>
      </w:r>
      <w:r>
        <w:rPr>
          <w:rFonts w:hint="default" w:ascii="Times New Roman" w:hAnsi="Times New Roman" w:eastAsia="宋体" w:cs="Times New Roman"/>
          <w:color w:val="auto"/>
          <w:spacing w:val="-12"/>
          <w:sz w:val="24"/>
          <w:szCs w:val="24"/>
          <w:highlight w:val="none"/>
        </w:rPr>
        <w:t>））</w:t>
      </w:r>
      <w:r>
        <w:rPr>
          <w:rFonts w:hint="default" w:ascii="Times New Roman" w:hAnsi="Times New Roman" w:eastAsia="宋体" w:cs="Times New Roman"/>
          <w:color w:val="auto"/>
          <w:spacing w:val="-12"/>
          <w:sz w:val="24"/>
          <w:szCs w:val="24"/>
          <w:highlight w:val="none"/>
          <w:lang w:eastAsia="zh-CN"/>
        </w:rPr>
        <w:t>、</w:t>
      </w:r>
      <w:r>
        <w:rPr>
          <w:rFonts w:hint="default" w:ascii="Times New Roman" w:hAnsi="Times New Roman" w:eastAsia="宋体" w:cs="Times New Roman"/>
          <w:color w:val="auto"/>
          <w:spacing w:val="-4"/>
          <w:sz w:val="24"/>
          <w:szCs w:val="24"/>
          <w:highlight w:val="none"/>
        </w:rPr>
        <w:t>《建设项目环境保护管理条例》（中华人民</w:t>
      </w:r>
      <w:r>
        <w:rPr>
          <w:rFonts w:hint="default" w:ascii="Times New Roman" w:hAnsi="Times New Roman" w:eastAsia="宋体" w:cs="Times New Roman"/>
          <w:color w:val="auto"/>
          <w:sz w:val="24"/>
          <w:szCs w:val="24"/>
          <w:highlight w:val="none"/>
        </w:rPr>
        <w:t>共和国国务院令第</w:t>
      </w:r>
      <w:r>
        <w:rPr>
          <w:rFonts w:hint="default" w:ascii="Times New Roman" w:hAnsi="Times New Roman" w:eastAsia="Times New Roman" w:cs="Times New Roman"/>
          <w:color w:val="auto"/>
          <w:sz w:val="24"/>
          <w:szCs w:val="24"/>
          <w:highlight w:val="none"/>
        </w:rPr>
        <w:t>682</w:t>
      </w:r>
      <w:r>
        <w:rPr>
          <w:rFonts w:hint="default" w:ascii="Times New Roman" w:hAnsi="Times New Roman" w:eastAsia="宋体" w:cs="Times New Roman"/>
          <w:color w:val="auto"/>
          <w:sz w:val="24"/>
          <w:szCs w:val="24"/>
          <w:highlight w:val="none"/>
        </w:rPr>
        <w:t>号）等有关规定，该项目需进行环境影响评价，以便对项目</w:t>
      </w:r>
      <w:r>
        <w:rPr>
          <w:rFonts w:hint="default" w:ascii="Times New Roman" w:hAnsi="Times New Roman" w:eastAsia="宋体" w:cs="Times New Roman"/>
          <w:color w:val="auto"/>
          <w:spacing w:val="-3"/>
          <w:sz w:val="24"/>
          <w:szCs w:val="24"/>
          <w:highlight w:val="none"/>
        </w:rPr>
        <w:t>投产后产生的环境影响作出系统分析和评价，论证项目实施的可行性，并提出有效的</w:t>
      </w:r>
      <w:r>
        <w:rPr>
          <w:rFonts w:hint="default" w:ascii="Times New Roman" w:hAnsi="Times New Roman" w:eastAsia="宋体" w:cs="Times New Roman"/>
          <w:color w:val="auto"/>
          <w:spacing w:val="-6"/>
          <w:sz w:val="24"/>
          <w:szCs w:val="24"/>
          <w:highlight w:val="none"/>
        </w:rPr>
        <w:t>环境保护措施。根据《建设项目环境影响评价技术导则总纲》（</w:t>
      </w:r>
      <w:r>
        <w:rPr>
          <w:rFonts w:hint="default" w:ascii="Times New Roman" w:hAnsi="Times New Roman" w:eastAsia="Times New Roman" w:cs="Times New Roman"/>
          <w:color w:val="auto"/>
          <w:spacing w:val="-6"/>
          <w:sz w:val="24"/>
          <w:szCs w:val="24"/>
          <w:highlight w:val="none"/>
        </w:rPr>
        <w:t>HJ2.</w:t>
      </w:r>
      <w:r>
        <w:rPr>
          <w:rFonts w:hint="default" w:ascii="Times New Roman" w:hAnsi="Times New Roman" w:eastAsia="Times New Roman" w:cs="Times New Roman"/>
          <w:color w:val="auto"/>
          <w:spacing w:val="-7"/>
          <w:sz w:val="24"/>
          <w:szCs w:val="24"/>
          <w:highlight w:val="none"/>
        </w:rPr>
        <w:t>1-2016</w:t>
      </w:r>
      <w:r>
        <w:rPr>
          <w:rFonts w:hint="default" w:ascii="Times New Roman" w:hAnsi="Times New Roman" w:eastAsia="宋体" w:cs="Times New Roman"/>
          <w:color w:val="auto"/>
          <w:spacing w:val="-7"/>
          <w:sz w:val="24"/>
          <w:szCs w:val="24"/>
          <w:highlight w:val="none"/>
        </w:rPr>
        <w:t>）的要求，</w:t>
      </w:r>
      <w:r>
        <w:rPr>
          <w:rFonts w:hint="default" w:ascii="Times New Roman" w:hAnsi="Times New Roman" w:eastAsia="宋体" w:cs="Times New Roman"/>
          <w:color w:val="auto"/>
          <w:spacing w:val="-2"/>
          <w:sz w:val="24"/>
          <w:szCs w:val="24"/>
          <w:highlight w:val="none"/>
        </w:rPr>
        <w:t>本次环境影响评价工作程序见图</w:t>
      </w:r>
      <w:r>
        <w:rPr>
          <w:rFonts w:hint="default" w:ascii="Times New Roman" w:hAnsi="Times New Roman" w:eastAsia="Times New Roman" w:cs="Times New Roman"/>
          <w:color w:val="auto"/>
          <w:spacing w:val="-2"/>
          <w:sz w:val="24"/>
          <w:szCs w:val="24"/>
          <w:highlight w:val="none"/>
        </w:rPr>
        <w:t>1.2-1</w:t>
      </w:r>
      <w:r>
        <w:rPr>
          <w:rFonts w:hint="default" w:ascii="Times New Roman" w:hAnsi="Times New Roman" w:eastAsia="宋体" w:cs="Times New Roman"/>
          <w:color w:val="auto"/>
          <w:spacing w:val="-2"/>
          <w:sz w:val="24"/>
          <w:szCs w:val="24"/>
          <w:highlight w:val="none"/>
        </w:rPr>
        <w:t>。</w:t>
      </w:r>
    </w:p>
    <w:p w14:paraId="293065A3">
      <w:pPr>
        <w:keepNext w:val="0"/>
        <w:keepLines w:val="0"/>
        <w:pageBreakBefore w:val="0"/>
        <w:widowControl/>
        <w:kinsoku/>
        <w:wordWrap w:val="0"/>
        <w:overflowPunct/>
        <w:topLinePunct/>
        <w:autoSpaceDE/>
        <w:autoSpaceDN/>
        <w:bidi w:val="0"/>
        <w:adjustRightInd w:val="0"/>
        <w:snapToGrid w:val="0"/>
        <w:spacing w:line="360" w:lineRule="auto"/>
        <w:ind w:right="85" w:firstLine="458"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pacing w:val="-6"/>
          <w:sz w:val="24"/>
          <w:szCs w:val="24"/>
          <w:highlight w:val="none"/>
        </w:rPr>
        <w:t>前期准备阶段：</w:t>
      </w:r>
      <w:r>
        <w:rPr>
          <w:rFonts w:hint="default" w:ascii="Times New Roman" w:hAnsi="Times New Roman" w:eastAsia="宋体" w:cs="Times New Roman"/>
          <w:color w:val="auto"/>
          <w:spacing w:val="-6"/>
          <w:sz w:val="24"/>
          <w:szCs w:val="24"/>
          <w:highlight w:val="none"/>
        </w:rPr>
        <w:t>依据《建设项目环境影响评价分类管理名录</w:t>
      </w:r>
      <w:r>
        <w:rPr>
          <w:rFonts w:hint="eastAsia" w:ascii="Times New Roman" w:hAnsi="Times New Roman" w:eastAsia="宋体" w:cs="Times New Roman"/>
          <w:color w:val="auto"/>
          <w:spacing w:val="-6"/>
          <w:sz w:val="24"/>
          <w:szCs w:val="24"/>
          <w:highlight w:val="none"/>
          <w:lang w:eastAsia="zh-CN"/>
        </w:rPr>
        <w:t>》第</w:t>
      </w:r>
      <w:r>
        <w:rPr>
          <w:rFonts w:hint="default" w:ascii="Times New Roman" w:hAnsi="Times New Roman" w:eastAsia="Times New Roman" w:cs="Times New Roman"/>
          <w:color w:val="auto"/>
          <w:spacing w:val="-6"/>
          <w:sz w:val="24"/>
          <w:szCs w:val="24"/>
          <w:highlight w:val="none"/>
        </w:rPr>
        <w:t>16</w:t>
      </w:r>
      <w:r>
        <w:rPr>
          <w:rFonts w:hint="default" w:ascii="Times New Roman" w:hAnsi="Times New Roman" w:eastAsia="宋体" w:cs="Times New Roman"/>
          <w:color w:val="auto"/>
          <w:spacing w:val="-6"/>
          <w:sz w:val="24"/>
          <w:szCs w:val="24"/>
          <w:highlight w:val="none"/>
        </w:rPr>
        <w:t>号令</w:t>
      </w:r>
      <w:r>
        <w:rPr>
          <w:rFonts w:hint="default" w:ascii="Times New Roman" w:hAnsi="Times New Roman" w:eastAsia="宋体" w:cs="Times New Roman"/>
          <w:color w:val="auto"/>
          <w:spacing w:val="-6"/>
          <w:sz w:val="24"/>
          <w:szCs w:val="24"/>
          <w:highlight w:val="none"/>
          <w:lang w:eastAsia="zh-CN"/>
        </w:rPr>
        <w:t>（</w:t>
      </w:r>
      <w:r>
        <w:rPr>
          <w:rFonts w:hint="default" w:ascii="Times New Roman" w:hAnsi="Times New Roman" w:eastAsia="Times New Roman" w:cs="Times New Roman"/>
          <w:color w:val="auto"/>
          <w:spacing w:val="-6"/>
          <w:sz w:val="24"/>
          <w:szCs w:val="24"/>
          <w:highlight w:val="none"/>
        </w:rPr>
        <w:t>2020.11.30</w:t>
      </w: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宋体" w:cs="Times New Roman"/>
          <w:color w:val="auto"/>
          <w:spacing w:val="-3"/>
          <w:sz w:val="24"/>
          <w:szCs w:val="24"/>
          <w:highlight w:val="none"/>
        </w:rPr>
        <w:t>本项目应编制环境影响报告书，评价单位接受委托后随即组织人员在研究相关技术及其他有关文件基础上进行初步工程分析，开展了初步环境现状调查，进行了环境影响识别和评价因子筛选。明确了评价重点为大气环境和地表水环境影响评价和污染防治</w:t>
      </w:r>
      <w:r>
        <w:rPr>
          <w:rFonts w:hint="default" w:ascii="Times New Roman" w:hAnsi="Times New Roman" w:eastAsia="宋体" w:cs="Times New Roman"/>
          <w:color w:val="auto"/>
          <w:spacing w:val="-6"/>
          <w:sz w:val="24"/>
          <w:szCs w:val="24"/>
          <w:highlight w:val="none"/>
        </w:rPr>
        <w:t>措施，确定了保护目标，进一步确定评价工作等级、范围及评价标准，制定出相应工</w:t>
      </w:r>
      <w:r>
        <w:rPr>
          <w:rFonts w:hint="default" w:ascii="Times New Roman" w:hAnsi="Times New Roman" w:eastAsia="宋体" w:cs="Times New Roman"/>
          <w:color w:val="auto"/>
          <w:spacing w:val="-9"/>
          <w:sz w:val="24"/>
          <w:szCs w:val="24"/>
          <w:highlight w:val="none"/>
        </w:rPr>
        <w:t>作方案。</w:t>
      </w:r>
    </w:p>
    <w:p w14:paraId="515CB29E">
      <w:pPr>
        <w:keepNext w:val="0"/>
        <w:keepLines w:val="0"/>
        <w:pageBreakBefore w:val="0"/>
        <w:widowControl/>
        <w:kinsoku/>
        <w:wordWrap w:val="0"/>
        <w:overflowPunct/>
        <w:topLinePunct/>
        <w:autoSpaceDE/>
        <w:autoSpaceDN/>
        <w:bidi w:val="0"/>
        <w:adjustRightInd w:val="0"/>
        <w:snapToGrid w:val="0"/>
        <w:spacing w:line="360" w:lineRule="auto"/>
        <w:ind w:firstLine="450"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pacing w:val="-8"/>
          <w:sz w:val="24"/>
          <w:szCs w:val="24"/>
          <w:highlight w:val="none"/>
        </w:rPr>
        <w:t>调查分析和工作方案制定阶段：</w:t>
      </w:r>
      <w:r>
        <w:rPr>
          <w:rFonts w:hint="default" w:ascii="Times New Roman" w:hAnsi="Times New Roman" w:eastAsia="宋体" w:cs="Times New Roman"/>
          <w:color w:val="auto"/>
          <w:spacing w:val="-8"/>
          <w:sz w:val="24"/>
          <w:szCs w:val="24"/>
          <w:highlight w:val="none"/>
        </w:rPr>
        <w:t>根据第一阶段工作成果</w:t>
      </w:r>
      <w:r>
        <w:rPr>
          <w:rFonts w:hint="eastAsia" w:ascii="Times New Roman" w:hAnsi="Times New Roman" w:eastAsia="宋体" w:cs="Times New Roman"/>
          <w:color w:val="auto"/>
          <w:spacing w:val="-8"/>
          <w:sz w:val="24"/>
          <w:szCs w:val="24"/>
          <w:highlight w:val="none"/>
          <w:lang w:eastAsia="zh-CN"/>
        </w:rPr>
        <w:t>，</w:t>
      </w:r>
      <w:r>
        <w:rPr>
          <w:rFonts w:hint="default" w:ascii="Times New Roman" w:hAnsi="Times New Roman" w:eastAsia="宋体" w:cs="Times New Roman"/>
          <w:color w:val="auto"/>
          <w:spacing w:val="-8"/>
          <w:sz w:val="24"/>
          <w:szCs w:val="24"/>
          <w:highlight w:val="none"/>
        </w:rPr>
        <w:t>对环</w:t>
      </w:r>
      <w:r>
        <w:rPr>
          <w:rFonts w:hint="default" w:ascii="Times New Roman" w:hAnsi="Times New Roman" w:eastAsia="宋体" w:cs="Times New Roman"/>
          <w:color w:val="auto"/>
          <w:spacing w:val="-9"/>
          <w:sz w:val="24"/>
          <w:szCs w:val="24"/>
          <w:highlight w:val="none"/>
        </w:rPr>
        <w:t>境现状进行调查、</w:t>
      </w:r>
      <w:r>
        <w:rPr>
          <w:rFonts w:hint="default" w:ascii="Times New Roman" w:hAnsi="Times New Roman" w:eastAsia="宋体" w:cs="Times New Roman"/>
          <w:color w:val="auto"/>
          <w:spacing w:val="-3"/>
          <w:sz w:val="24"/>
          <w:szCs w:val="24"/>
          <w:highlight w:val="none"/>
        </w:rPr>
        <w:t>监测与评价，详细进行了工程分析，对各环境要素进行了环境影响预测与评价，对各专题进行了环境影响分析与评价。</w:t>
      </w:r>
    </w:p>
    <w:p w14:paraId="1F72A6B5">
      <w:pPr>
        <w:keepNext w:val="0"/>
        <w:keepLines w:val="0"/>
        <w:pageBreakBefore w:val="0"/>
        <w:widowControl/>
        <w:kinsoku/>
        <w:wordWrap w:val="0"/>
        <w:overflowPunct/>
        <w:topLinePunct/>
        <w:autoSpaceDE/>
        <w:autoSpaceDN/>
        <w:bidi w:val="0"/>
        <w:adjustRightInd w:val="0"/>
        <w:snapToGrid w:val="0"/>
        <w:spacing w:line="360" w:lineRule="auto"/>
        <w:ind w:right="85" w:firstLine="45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pacing w:val="-7"/>
          <w:sz w:val="24"/>
          <w:szCs w:val="24"/>
          <w:highlight w:val="none"/>
        </w:rPr>
        <w:t>分析论证和预测评价阶段：</w:t>
      </w:r>
      <w:r>
        <w:rPr>
          <w:rFonts w:hint="default" w:ascii="Times New Roman" w:hAnsi="Times New Roman" w:eastAsia="宋体" w:cs="Times New Roman"/>
          <w:color w:val="auto"/>
          <w:spacing w:val="-7"/>
          <w:sz w:val="24"/>
          <w:szCs w:val="24"/>
          <w:highlight w:val="none"/>
        </w:rPr>
        <w:t>根据上一阶段的预测、分析与评价，给出建设项目可</w:t>
      </w:r>
      <w:r>
        <w:rPr>
          <w:rFonts w:hint="default" w:ascii="Times New Roman" w:hAnsi="Times New Roman" w:eastAsia="宋体" w:cs="Times New Roman"/>
          <w:color w:val="auto"/>
          <w:spacing w:val="-3"/>
          <w:sz w:val="24"/>
          <w:szCs w:val="24"/>
          <w:highlight w:val="none"/>
        </w:rPr>
        <w:t>行性的评价结论，提出环境保护措施，进行其经济技术可行性论证，列出污染物排放清单并给出建设项目环境影响评价结论。</w:t>
      </w:r>
    </w:p>
    <w:p w14:paraId="30E1C35D">
      <w:pPr>
        <w:keepNext w:val="0"/>
        <w:keepLines w:val="0"/>
        <w:pageBreakBefore w:val="0"/>
        <w:widowControl/>
        <w:kinsoku/>
        <w:wordWrap w:val="0"/>
        <w:overflowPunct/>
        <w:topLinePunct/>
        <w:autoSpaceDE/>
        <w:autoSpaceDN/>
        <w:bidi w:val="0"/>
        <w:adjustRightInd w:val="0"/>
        <w:snapToGrid w:val="0"/>
        <w:spacing w:line="360" w:lineRule="auto"/>
        <w:ind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通过上面三个阶段的工作，完成环境影响报告书的编制工作。</w:t>
      </w:r>
    </w:p>
    <w:p w14:paraId="242287E2">
      <w:pPr>
        <w:keepNext w:val="0"/>
        <w:keepLines w:val="0"/>
        <w:pageBreakBefore w:val="0"/>
        <w:widowControl/>
        <w:kinsoku/>
        <w:wordWrap w:val="0"/>
        <w:overflowPunct/>
        <w:topLinePunct/>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auto"/>
          <w:sz w:val="24"/>
          <w:szCs w:val="24"/>
          <w:highlight w:val="none"/>
        </w:rPr>
        <w:sectPr>
          <w:footerReference r:id="rId8"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1BDA3FA2">
      <w:pPr>
        <w:keepNext w:val="0"/>
        <w:keepLines w:val="0"/>
        <w:pageBreakBefore w:val="0"/>
        <w:kinsoku/>
        <w:wordWrap w:val="0"/>
        <w:overflowPunct/>
        <w:topLinePunct/>
        <w:autoSpaceDE/>
        <w:autoSpaceDN/>
        <w:bidi w:val="0"/>
        <w:adjustRightInd w:val="0"/>
        <w:snapToGrid w:val="0"/>
        <w:spacing w:before="58" w:line="10764" w:lineRule="exact"/>
        <w:ind w:firstLine="352"/>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215"/>
          <w:highlight w:val="none"/>
        </w:rPr>
        <w:drawing>
          <wp:inline distT="0" distB="0" distL="0" distR="0">
            <wp:extent cx="5118100" cy="683514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58"/>
                    <a:stretch>
                      <a:fillRect/>
                    </a:stretch>
                  </pic:blipFill>
                  <pic:spPr>
                    <a:xfrm>
                      <a:off x="0" y="0"/>
                      <a:ext cx="5118100" cy="6835522"/>
                    </a:xfrm>
                    <a:prstGeom prst="rect">
                      <a:avLst/>
                    </a:prstGeom>
                  </pic:spPr>
                </pic:pic>
              </a:graphicData>
            </a:graphic>
          </wp:inline>
        </w:drawing>
      </w:r>
    </w:p>
    <w:p w14:paraId="2E2DF50D">
      <w:pPr>
        <w:keepNext w:val="0"/>
        <w:keepLines w:val="0"/>
        <w:pageBreakBefore w:val="0"/>
        <w:kinsoku/>
        <w:wordWrap w:val="0"/>
        <w:overflowPunct/>
        <w:topLinePunct/>
        <w:autoSpaceDE/>
        <w:autoSpaceDN/>
        <w:bidi w:val="0"/>
        <w:adjustRightInd w:val="0"/>
        <w:snapToGrid w:val="0"/>
        <w:spacing w:before="199" w:line="232" w:lineRule="auto"/>
        <w:ind w:left="3145"/>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4"/>
          <w:sz w:val="24"/>
          <w:szCs w:val="24"/>
          <w:highlight w:val="none"/>
        </w:rPr>
        <w:t>图</w:t>
      </w:r>
      <w:r>
        <w:rPr>
          <w:rFonts w:hint="default" w:ascii="Times New Roman" w:hAnsi="Times New Roman" w:eastAsia="Times New Roman" w:cs="Times New Roman"/>
          <w:b/>
          <w:bCs/>
          <w:color w:val="auto"/>
          <w:spacing w:val="-4"/>
          <w:sz w:val="24"/>
          <w:szCs w:val="24"/>
          <w:highlight w:val="none"/>
        </w:rPr>
        <w:t>1.</w:t>
      </w:r>
      <w:r>
        <w:rPr>
          <w:rFonts w:hint="default" w:ascii="Times New Roman" w:hAnsi="Times New Roman" w:eastAsia="宋体" w:cs="Times New Roman"/>
          <w:b/>
          <w:bCs/>
          <w:color w:val="auto"/>
          <w:spacing w:val="-4"/>
          <w:sz w:val="24"/>
          <w:szCs w:val="24"/>
          <w:highlight w:val="none"/>
          <w:lang w:val="en-US" w:eastAsia="zh-CN"/>
        </w:rPr>
        <w:t>3</w:t>
      </w:r>
      <w:r>
        <w:rPr>
          <w:rFonts w:hint="default" w:ascii="Times New Roman" w:hAnsi="Times New Roman" w:eastAsia="Times New Roman" w:cs="Times New Roman"/>
          <w:b/>
          <w:bCs/>
          <w:color w:val="auto"/>
          <w:spacing w:val="-4"/>
          <w:sz w:val="24"/>
          <w:szCs w:val="24"/>
          <w:highlight w:val="none"/>
        </w:rPr>
        <w:t>-1</w:t>
      </w:r>
      <w:r>
        <w:rPr>
          <w:rFonts w:hint="default" w:ascii="Times New Roman" w:hAnsi="Times New Roman" w:eastAsia="宋体" w:cs="Times New Roman"/>
          <w:b/>
          <w:bCs/>
          <w:color w:val="auto"/>
          <w:spacing w:val="-4"/>
          <w:sz w:val="24"/>
          <w:szCs w:val="24"/>
          <w:highlight w:val="none"/>
        </w:rPr>
        <w:t>环境影响评价流程图</w:t>
      </w:r>
    </w:p>
    <w:p w14:paraId="78DF0C73">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eastAsia="Times New Roman" w:cs="Times New Roman"/>
          <w:b/>
          <w:bCs/>
          <w:color w:val="auto"/>
          <w:spacing w:val="-3"/>
          <w:sz w:val="30"/>
          <w:szCs w:val="30"/>
          <w:highlight w:val="none"/>
        </w:rPr>
      </w:pPr>
      <w:r>
        <w:rPr>
          <w:rFonts w:hint="default" w:ascii="Times New Roman" w:hAnsi="Times New Roman" w:eastAsia="Times New Roman" w:cs="Times New Roman"/>
          <w:b/>
          <w:bCs/>
          <w:color w:val="auto"/>
          <w:spacing w:val="-3"/>
          <w:sz w:val="30"/>
          <w:szCs w:val="30"/>
          <w:highlight w:val="none"/>
        </w:rPr>
        <w:br w:type="page"/>
      </w:r>
    </w:p>
    <w:p w14:paraId="79A609FE">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宋体" w:cs="Times New Roman"/>
          <w:color w:val="auto"/>
          <w:sz w:val="28"/>
          <w:szCs w:val="28"/>
          <w:highlight w:val="none"/>
        </w:rPr>
      </w:pPr>
      <w:bookmarkStart w:id="16" w:name="_Toc14673"/>
      <w:bookmarkStart w:id="17" w:name="_Toc1068"/>
      <w:bookmarkStart w:id="18" w:name="_Toc31814"/>
      <w:r>
        <w:rPr>
          <w:rFonts w:hint="default" w:ascii="Times New Roman" w:hAnsi="Times New Roman" w:eastAsia="Times New Roman" w:cs="Times New Roman"/>
          <w:b/>
          <w:bCs/>
          <w:color w:val="auto"/>
          <w:spacing w:val="-3"/>
          <w:sz w:val="28"/>
          <w:szCs w:val="28"/>
          <w:highlight w:val="none"/>
        </w:rPr>
        <w:t>1.</w:t>
      </w:r>
      <w:r>
        <w:rPr>
          <w:rFonts w:hint="default" w:ascii="Times New Roman" w:hAnsi="Times New Roman" w:eastAsia="宋体" w:cs="Times New Roman"/>
          <w:b/>
          <w:bCs/>
          <w:color w:val="auto"/>
          <w:spacing w:val="-3"/>
          <w:sz w:val="28"/>
          <w:szCs w:val="28"/>
          <w:highlight w:val="none"/>
          <w:lang w:val="en-US" w:eastAsia="zh-CN"/>
        </w:rPr>
        <w:t>4</w:t>
      </w:r>
      <w:r>
        <w:rPr>
          <w:rFonts w:hint="default" w:ascii="Times New Roman" w:hAnsi="Times New Roman" w:eastAsia="宋体" w:cs="Times New Roman"/>
          <w:b/>
          <w:bCs/>
          <w:color w:val="auto"/>
          <w:spacing w:val="-3"/>
          <w:sz w:val="28"/>
          <w:szCs w:val="28"/>
          <w:highlight w:val="none"/>
        </w:rPr>
        <w:t>分析判定相关情况</w:t>
      </w:r>
      <w:bookmarkEnd w:id="16"/>
      <w:bookmarkEnd w:id="17"/>
      <w:bookmarkEnd w:id="18"/>
    </w:p>
    <w:p w14:paraId="7E62AE2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color w:val="auto"/>
          <w:sz w:val="24"/>
          <w:szCs w:val="24"/>
          <w:highlight w:val="none"/>
        </w:rPr>
      </w:pPr>
      <w:bookmarkStart w:id="19" w:name="_Toc23065"/>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宋体" w:cs="Times New Roman"/>
          <w:b/>
          <w:bCs/>
          <w:color w:val="auto"/>
          <w:spacing w:val="-3"/>
          <w:sz w:val="24"/>
          <w:szCs w:val="24"/>
          <w:highlight w:val="none"/>
          <w:lang w:val="en-US" w:eastAsia="zh-CN"/>
        </w:rPr>
        <w:t>4.</w:t>
      </w:r>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宋体" w:cs="Times New Roman"/>
          <w:b/>
          <w:bCs/>
          <w:color w:val="auto"/>
          <w:spacing w:val="-3"/>
          <w:sz w:val="24"/>
          <w:szCs w:val="24"/>
          <w:highlight w:val="none"/>
        </w:rPr>
        <w:t>产业政策符合性分析</w:t>
      </w:r>
      <w:bookmarkEnd w:id="19"/>
    </w:p>
    <w:p w14:paraId="67AF4A45">
      <w:pPr>
        <w:pStyle w:val="40"/>
        <w:keepNext w:val="0"/>
        <w:keepLines w:val="0"/>
        <w:pageBreakBefore w:val="0"/>
        <w:widowControl/>
        <w:kinsoku w:val="0"/>
        <w:wordWrap/>
        <w:overflowPunct/>
        <w:topLinePunct w:val="0"/>
        <w:autoSpaceDE w:val="0"/>
        <w:autoSpaceDN w:val="0"/>
        <w:bidi w:val="0"/>
        <w:spacing w:line="360" w:lineRule="auto"/>
        <w:ind w:left="0" w:firstLine="456" w:firstLineChars="200"/>
        <w:textAlignment w:val="baseline"/>
        <w:rPr>
          <w:rFonts w:hint="default" w:ascii="Times New Roman" w:hAnsi="Times New Roman" w:eastAsia="宋体" w:cs="Times New Roman"/>
          <w:snapToGrid w:val="0"/>
          <w:color w:val="auto"/>
          <w:spacing w:val="-6"/>
          <w:kern w:val="0"/>
          <w:sz w:val="24"/>
          <w:szCs w:val="24"/>
          <w:highlight w:val="none"/>
          <w:lang w:val="en-US" w:eastAsia="en-US" w:bidi="ar-SA"/>
        </w:rPr>
      </w:pPr>
      <w:r>
        <w:rPr>
          <w:rFonts w:hint="default" w:ascii="Times New Roman" w:hAnsi="Times New Roman" w:eastAsia="宋体" w:cs="Times New Roman"/>
          <w:snapToGrid w:val="0"/>
          <w:color w:val="auto"/>
          <w:spacing w:val="-6"/>
          <w:kern w:val="0"/>
          <w:sz w:val="24"/>
          <w:szCs w:val="24"/>
          <w:highlight w:val="none"/>
          <w:lang w:val="en-US" w:eastAsia="en-US" w:bidi="ar-SA"/>
        </w:rPr>
        <w:t>本项目养殖规模年存栏</w:t>
      </w:r>
      <w:r>
        <w:rPr>
          <w:rFonts w:hint="default" w:ascii="Times New Roman" w:hAnsi="Times New Roman" w:eastAsia="宋体" w:cs="Times New Roman"/>
          <w:snapToGrid w:val="0"/>
          <w:color w:val="auto"/>
          <w:spacing w:val="-6"/>
          <w:kern w:val="0"/>
          <w:sz w:val="24"/>
          <w:szCs w:val="24"/>
          <w:highlight w:val="none"/>
          <w:lang w:val="en-US" w:eastAsia="zh-CN" w:bidi="ar-SA"/>
        </w:rPr>
        <w:t>肉</w:t>
      </w:r>
      <w:r>
        <w:rPr>
          <w:rFonts w:hint="default" w:ascii="Times New Roman" w:hAnsi="Times New Roman" w:eastAsia="宋体" w:cs="Times New Roman"/>
          <w:snapToGrid w:val="0"/>
          <w:color w:val="auto"/>
          <w:spacing w:val="-6"/>
          <w:kern w:val="0"/>
          <w:sz w:val="24"/>
          <w:szCs w:val="24"/>
          <w:highlight w:val="none"/>
          <w:lang w:val="en-US" w:eastAsia="en-US" w:bidi="ar-SA"/>
        </w:rPr>
        <w:t>牛为</w:t>
      </w:r>
      <w:r>
        <w:rPr>
          <w:rFonts w:hint="default" w:ascii="Times New Roman" w:hAnsi="Times New Roman" w:eastAsia="宋体" w:cs="Times New Roman"/>
          <w:snapToGrid w:val="0"/>
          <w:color w:val="auto"/>
          <w:spacing w:val="-6"/>
          <w:kern w:val="0"/>
          <w:sz w:val="24"/>
          <w:szCs w:val="24"/>
          <w:highlight w:val="none"/>
          <w:lang w:val="en-US" w:eastAsia="zh-CN" w:bidi="ar-SA"/>
        </w:rPr>
        <w:t>5000</w:t>
      </w:r>
      <w:r>
        <w:rPr>
          <w:rFonts w:hint="default" w:ascii="Times New Roman" w:hAnsi="Times New Roman" w:eastAsia="宋体" w:cs="Times New Roman"/>
          <w:snapToGrid w:val="0"/>
          <w:color w:val="auto"/>
          <w:spacing w:val="-6"/>
          <w:kern w:val="0"/>
          <w:sz w:val="24"/>
          <w:szCs w:val="24"/>
          <w:highlight w:val="none"/>
          <w:lang w:val="en-US" w:eastAsia="en-US" w:bidi="ar-SA"/>
        </w:rPr>
        <w:t>头，年</w:t>
      </w:r>
      <w:r>
        <w:rPr>
          <w:rFonts w:hint="default" w:ascii="Times New Roman" w:hAnsi="Times New Roman" w:eastAsia="宋体" w:cs="Times New Roman"/>
          <w:snapToGrid w:val="0"/>
          <w:color w:val="auto"/>
          <w:spacing w:val="-6"/>
          <w:kern w:val="0"/>
          <w:sz w:val="24"/>
          <w:szCs w:val="24"/>
          <w:highlight w:val="none"/>
          <w:lang w:val="en-US" w:eastAsia="zh-CN" w:bidi="ar-SA"/>
        </w:rPr>
        <w:t>出栏肉牛1000头</w:t>
      </w:r>
      <w:r>
        <w:rPr>
          <w:rFonts w:hint="default" w:ascii="Times New Roman" w:hAnsi="Times New Roman" w:eastAsia="宋体" w:cs="Times New Roman"/>
          <w:snapToGrid w:val="0"/>
          <w:color w:val="auto"/>
          <w:spacing w:val="-6"/>
          <w:kern w:val="0"/>
          <w:sz w:val="24"/>
          <w:szCs w:val="24"/>
          <w:highlight w:val="none"/>
          <w:lang w:val="en-US" w:eastAsia="en-US" w:bidi="ar-SA"/>
        </w:rPr>
        <w:t>，属标准化规模养殖项目，</w:t>
      </w:r>
      <w:bookmarkStart w:id="20" w:name="_Hlk169513050"/>
      <w:r>
        <w:rPr>
          <w:rFonts w:hint="default" w:ascii="Times New Roman" w:hAnsi="Times New Roman" w:eastAsia="宋体" w:cs="Times New Roman"/>
          <w:snapToGrid w:val="0"/>
          <w:color w:val="auto"/>
          <w:spacing w:val="-6"/>
          <w:kern w:val="0"/>
          <w:sz w:val="24"/>
          <w:szCs w:val="24"/>
          <w:highlight w:val="none"/>
          <w:lang w:val="en-US" w:eastAsia="en-US" w:bidi="ar-SA"/>
        </w:rPr>
        <w:t>根据《产业结构调整指导目录》（2024年本）有关条款，在目录中本项目属于“第一类 鼓励类”中“一、</w:t>
      </w:r>
      <w:r>
        <w:rPr>
          <w:rFonts w:hint="default" w:ascii="Times New Roman" w:hAnsi="Times New Roman" w:eastAsia="宋体" w:cs="Times New Roman"/>
          <w:snapToGrid w:val="0"/>
          <w:color w:val="auto"/>
          <w:spacing w:val="-6"/>
          <w:kern w:val="0"/>
          <w:sz w:val="24"/>
          <w:szCs w:val="24"/>
          <w:highlight w:val="none"/>
          <w:lang w:val="en-US" w:eastAsia="zh-CN" w:bidi="ar-SA"/>
        </w:rPr>
        <w:t>农林牧渔业</w:t>
      </w:r>
      <w:r>
        <w:rPr>
          <w:rFonts w:hint="default" w:ascii="Times New Roman" w:hAnsi="Times New Roman" w:eastAsia="宋体" w:cs="Times New Roman"/>
          <w:snapToGrid w:val="0"/>
          <w:color w:val="auto"/>
          <w:spacing w:val="-6"/>
          <w:kern w:val="0"/>
          <w:sz w:val="24"/>
          <w:szCs w:val="24"/>
          <w:highlight w:val="none"/>
          <w:lang w:val="en-US" w:eastAsia="en-US" w:bidi="ar-SA"/>
        </w:rPr>
        <w:t>”、“14、现代畜牧业及水产生态健康养殖</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畜禽标准化规模养殖技术开发与应用</w:t>
      </w:r>
      <w:r>
        <w:rPr>
          <w:rFonts w:hint="default" w:ascii="Times New Roman" w:hAnsi="Times New Roman" w:eastAsia="宋体" w:cs="Times New Roman"/>
          <w:snapToGrid w:val="0"/>
          <w:color w:val="auto"/>
          <w:spacing w:val="-6"/>
          <w:kern w:val="0"/>
          <w:sz w:val="24"/>
          <w:szCs w:val="24"/>
          <w:highlight w:val="none"/>
          <w:lang w:val="en-US" w:eastAsia="en-US" w:bidi="ar-SA"/>
        </w:rPr>
        <w:t>”，是国家鼓励类项目，符合国家产业政策要求。</w:t>
      </w:r>
      <w:bookmarkEnd w:id="20"/>
    </w:p>
    <w:p w14:paraId="6AC2009C">
      <w:pPr>
        <w:keepNext w:val="0"/>
        <w:keepLines w:val="0"/>
        <w:pageBreakBefore w:val="0"/>
        <w:widowControl/>
        <w:kinsoku w:val="0"/>
        <w:wordWrap/>
        <w:overflowPunct/>
        <w:topLinePunct w:val="0"/>
        <w:autoSpaceDE w:val="0"/>
        <w:autoSpaceDN w:val="0"/>
        <w:bidi w:val="0"/>
        <w:spacing w:line="360" w:lineRule="auto"/>
        <w:ind w:left="0"/>
        <w:textAlignment w:val="baseline"/>
        <w:outlineLvl w:val="2"/>
        <w:rPr>
          <w:rFonts w:hint="default" w:ascii="Times New Roman" w:hAnsi="Times New Roman" w:eastAsia="宋体" w:cs="Times New Roman"/>
          <w:b/>
          <w:bCs/>
          <w:color w:val="auto"/>
          <w:spacing w:val="-3"/>
          <w:sz w:val="24"/>
          <w:szCs w:val="24"/>
          <w:highlight w:val="none"/>
          <w:lang w:val="en-US" w:eastAsia="zh-CN"/>
        </w:rPr>
      </w:pPr>
      <w:bookmarkStart w:id="21" w:name="_Toc29417"/>
      <w:r>
        <w:rPr>
          <w:rFonts w:hint="default" w:ascii="Times New Roman" w:hAnsi="Times New Roman" w:eastAsia="宋体" w:cs="Times New Roman"/>
          <w:b/>
          <w:bCs/>
          <w:color w:val="auto"/>
          <w:spacing w:val="-3"/>
          <w:sz w:val="24"/>
          <w:szCs w:val="24"/>
          <w:highlight w:val="none"/>
          <w:lang w:val="en-US" w:eastAsia="zh-CN"/>
        </w:rPr>
        <w:t>1.4.2相关政策及规划符合性分析</w:t>
      </w:r>
      <w:bookmarkEnd w:id="21"/>
    </w:p>
    <w:p w14:paraId="66F31FAE">
      <w:pPr>
        <w:keepNext w:val="0"/>
        <w:keepLines w:val="0"/>
        <w:pageBreakBefore w:val="0"/>
        <w:widowControl/>
        <w:kinsoku w:val="0"/>
        <w:wordWrap/>
        <w:overflowPunct/>
        <w:topLinePunct w:val="0"/>
        <w:autoSpaceDE w:val="0"/>
        <w:autoSpaceDN w:val="0"/>
        <w:bidi w:val="0"/>
        <w:spacing w:line="360" w:lineRule="auto"/>
        <w:ind w:left="0"/>
        <w:textAlignment w:val="baseline"/>
        <w:rPr>
          <w:rFonts w:hint="default" w:ascii="Times New Roman" w:hAnsi="Times New Roman" w:eastAsia="宋体" w:cs="Times New Roman"/>
          <w:b/>
          <w:bCs/>
          <w:color w:val="auto"/>
          <w:spacing w:val="-3"/>
          <w:sz w:val="28"/>
          <w:szCs w:val="28"/>
          <w:highlight w:val="none"/>
          <w:lang w:val="en-US" w:eastAsia="zh-CN"/>
        </w:rPr>
      </w:pPr>
    </w:p>
    <w:p w14:paraId="0636E3C2">
      <w:pPr>
        <w:rPr>
          <w:rFonts w:hint="default" w:ascii="Times New Roman" w:hAnsi="Times New Roman" w:eastAsia="宋体" w:cs="Times New Roman"/>
          <w:b/>
          <w:bCs/>
          <w:color w:val="auto"/>
          <w:spacing w:val="-3"/>
          <w:sz w:val="28"/>
          <w:szCs w:val="28"/>
          <w:highlight w:val="none"/>
          <w:lang w:val="en-US" w:eastAsia="zh-CN"/>
        </w:rPr>
        <w:sectPr>
          <w:footerReference r:id="rId9"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4BB55B04">
      <w:pPr>
        <w:pStyle w:val="44"/>
        <w:rPr>
          <w:rFonts w:hint="default" w:ascii="Times New Roman" w:hAnsi="Times New Roman" w:eastAsia="宋体" w:cs="Times New Roman"/>
          <w:b/>
          <w:bCs/>
          <w:color w:val="auto"/>
          <w:highlight w:val="none"/>
        </w:rPr>
      </w:pPr>
      <w:r>
        <w:rPr>
          <w:rFonts w:hint="default" w:ascii="Times New Roman" w:hAnsi="Times New Roman" w:eastAsia="宋体" w:cs="Times New Roman"/>
          <w:b/>
          <w:bCs/>
          <w:color w:val="auto"/>
          <w:highlight w:val="none"/>
        </w:rPr>
        <w:t>表1</w:t>
      </w:r>
      <w:r>
        <w:rPr>
          <w:rFonts w:hint="default" w:ascii="Times New Roman" w:hAnsi="Times New Roman" w:eastAsia="宋体" w:cs="Times New Roman"/>
          <w:b/>
          <w:bCs/>
          <w:color w:val="auto"/>
          <w:highlight w:val="none"/>
          <w:lang w:val="en-US" w:eastAsia="zh-CN"/>
        </w:rPr>
        <w:t>.4</w:t>
      </w:r>
      <w:r>
        <w:rPr>
          <w:rFonts w:hint="default" w:ascii="Times New Roman" w:hAnsi="Times New Roman" w:eastAsia="宋体" w:cs="Times New Roman"/>
          <w:b/>
          <w:bCs/>
          <w:color w:val="auto"/>
          <w:highlight w:val="none"/>
        </w:rPr>
        <w:t>-1与相关规划</w:t>
      </w:r>
      <w:r>
        <w:rPr>
          <w:rFonts w:hint="default" w:ascii="Times New Roman" w:hAnsi="Times New Roman" w:eastAsia="宋体" w:cs="Times New Roman"/>
          <w:b/>
          <w:bCs/>
          <w:color w:val="auto"/>
          <w:highlight w:val="none"/>
          <w:lang w:eastAsia="zh-CN"/>
        </w:rPr>
        <w:t>和政策的</w:t>
      </w:r>
      <w:r>
        <w:rPr>
          <w:rFonts w:hint="default" w:ascii="Times New Roman" w:hAnsi="Times New Roman" w:eastAsia="宋体" w:cs="Times New Roman"/>
          <w:b/>
          <w:bCs/>
          <w:color w:val="auto"/>
          <w:highlight w:val="none"/>
        </w:rPr>
        <w:t>符合性分析</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527"/>
        <w:gridCol w:w="5967"/>
        <w:gridCol w:w="4716"/>
        <w:gridCol w:w="964"/>
      </w:tblGrid>
      <w:tr w14:paraId="22429D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blHeader/>
          <w:jc w:val="center"/>
        </w:trPr>
        <w:tc>
          <w:tcPr>
            <w:tcW w:w="891" w:type="pct"/>
            <w:shd w:val="clear" w:color="auto" w:fill="auto"/>
            <w:vAlign w:val="center"/>
          </w:tcPr>
          <w:p w14:paraId="27F9D094">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相关规划</w:t>
            </w:r>
            <w:r>
              <w:rPr>
                <w:rFonts w:hint="default" w:ascii="Times New Roman" w:hAnsi="Times New Roman" w:eastAsia="宋体" w:cs="Times New Roman"/>
                <w:color w:val="auto"/>
                <w:sz w:val="21"/>
                <w:szCs w:val="21"/>
                <w:highlight w:val="none"/>
                <w:lang w:eastAsia="zh-CN"/>
              </w:rPr>
              <w:t>、政策、法律法规</w:t>
            </w:r>
          </w:p>
        </w:tc>
        <w:tc>
          <w:tcPr>
            <w:tcW w:w="2104" w:type="pct"/>
            <w:shd w:val="clear" w:color="auto" w:fill="auto"/>
            <w:vAlign w:val="center"/>
          </w:tcPr>
          <w:p w14:paraId="35C398E1">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要求</w:t>
            </w:r>
          </w:p>
        </w:tc>
        <w:tc>
          <w:tcPr>
            <w:tcW w:w="1663" w:type="pct"/>
            <w:shd w:val="clear" w:color="auto" w:fill="auto"/>
            <w:vAlign w:val="center"/>
          </w:tcPr>
          <w:p w14:paraId="2BCCC4C9">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符合性分析</w:t>
            </w:r>
          </w:p>
        </w:tc>
        <w:tc>
          <w:tcPr>
            <w:tcW w:w="340" w:type="pct"/>
            <w:shd w:val="clear" w:color="auto" w:fill="auto"/>
            <w:vAlign w:val="center"/>
          </w:tcPr>
          <w:p w14:paraId="69A60CB6">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是否符合</w:t>
            </w:r>
          </w:p>
        </w:tc>
      </w:tr>
      <w:tr w14:paraId="350A4E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7090BE83">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国务院办公厅</w:t>
            </w:r>
            <w:bookmarkStart w:id="22" w:name="_Hlk169513083"/>
            <w:r>
              <w:rPr>
                <w:rFonts w:hint="default" w:ascii="Times New Roman" w:hAnsi="Times New Roman" w:eastAsia="宋体" w:cs="Times New Roman"/>
                <w:color w:val="auto"/>
                <w:sz w:val="21"/>
                <w:szCs w:val="21"/>
                <w:highlight w:val="none"/>
              </w:rPr>
              <w:t>《关于加快推进畜禽养殖废弃物资源化利用的意见》（国办发〔2017〕48号）</w:t>
            </w:r>
            <w:bookmarkEnd w:id="22"/>
          </w:p>
        </w:tc>
        <w:tc>
          <w:tcPr>
            <w:tcW w:w="2104" w:type="pct"/>
            <w:shd w:val="clear" w:color="auto" w:fill="auto"/>
            <w:vAlign w:val="center"/>
          </w:tcPr>
          <w:p w14:paraId="7BE994E8">
            <w:pPr>
              <w:pStyle w:val="38"/>
              <w:keepNext w:val="0"/>
              <w:keepLines w:val="0"/>
              <w:pageBreakBefore w:val="0"/>
              <w:widowControl/>
              <w:kinsoku/>
              <w:wordWrap w:val="0"/>
              <w:overflowPunct/>
              <w:topLinePunct/>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四）严格落实畜禽规模养殖环评制度。规范环评内容和要求。对畜禽规模养殖相关规划依法依规开展环境影响评价，调整优化畜牧业生产布局，协调畜禽规模养殖和环境保护的关系。新建或改扩建畜禽规模养殖场，应突出养分综合利用，配套与养殖规模和处理工艺相适应的粪污消纳用地，配备必要的粪污收集、贮存、处理、利用设施，依法进行环境影响评价。加强畜禽规模养殖场建设项目环评分类管理和相关技术标准研究，合理确定编制环境影响报告书和登记表的畜禽规模养殖场规模标准。对未依法进行环境影响评价的畜禽规模养殖场，环保部门予以处罚。</w:t>
            </w:r>
          </w:p>
          <w:p w14:paraId="4B028915">
            <w:pPr>
              <w:pStyle w:val="38"/>
              <w:keepNext w:val="0"/>
              <w:keepLines w:val="0"/>
              <w:pageBreakBefore w:val="0"/>
              <w:widowControl/>
              <w:kinsoku/>
              <w:wordWrap w:val="0"/>
              <w:overflowPunct/>
              <w:topLinePunct/>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五）完善畜禽养殖污染监管制度。建立畜禽规模养殖场直联直报信息系统，构建统一管理、分级使用、共享直联的管理平台。健全畜禽粪污还田利用和检测标准体系，完善畜禽规模养殖场污染物减排核算制度，制定畜禽养殖粪污土地承载能力测算方法，畜禽养殖规模超过土地承载能力的县要合理调减养殖总量。完善肥料登记管理制度，强化商品有机肥原料和质量的监管与认证。实施畜禽规模养殖场分类管理，对设有固定排污口的畜禽规模养殖场，依法核发排污许可证，依法严格监管；改革完善畜禽粪污排放统计核算方法，对畜禽粪污全部还田利用的畜禽规模养殖场，将无害化还田利用量作为统计污染物削减量的重要依据。</w:t>
            </w:r>
          </w:p>
          <w:p w14:paraId="3B51CDC2">
            <w:pPr>
              <w:pStyle w:val="38"/>
              <w:keepNext w:val="0"/>
              <w:keepLines w:val="0"/>
              <w:pageBreakBefore w:val="0"/>
              <w:widowControl/>
              <w:kinsoku/>
              <w:wordWrap w:val="0"/>
              <w:overflowPunct/>
              <w:topLinePunct/>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十二）加快畜牧业转型升级。优化调整生猪养殖布局，向粮食主产区和环境容量大的地区转移。大力发展标准化规模养殖，建设自动喂料、自动饮水、环境控制等现代化装备，推广节水、节料等清洁养殖工艺和干清粪、微生物发酵等实用技术，实现源头减量。加强规模养殖场精细化管理，推行标准化、规范化饲养，推广散装饲料和精准配方，提高饲料转化效率。加快畜禽品种遗传改良进程，提升母畜繁殖性能，提高综合生产能力。落实畜禽疫病综合防控措施，降低发病率和死亡率。以畜牧大县为重点，支持规模养殖场圈舍标准化改造和设备更新，配套建设粪污资源化利用设施。以生态养殖场为重点，继续开展畜禽养殖标准化示范创建。</w:t>
            </w:r>
          </w:p>
        </w:tc>
        <w:tc>
          <w:tcPr>
            <w:tcW w:w="1663" w:type="pct"/>
            <w:shd w:val="clear" w:color="auto" w:fill="auto"/>
            <w:vAlign w:val="center"/>
          </w:tcPr>
          <w:p w14:paraId="19F56FF0">
            <w:pPr>
              <w:pStyle w:val="38"/>
              <w:jc w:val="both"/>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本项目会按照当地畜牧业发展规划、畜禽养殖污染防治规划进行建设，满足动物防疫条件，并依法进行环境影响报告书编制。</w:t>
            </w:r>
          </w:p>
          <w:p w14:paraId="4C4F713B">
            <w:pPr>
              <w:pStyle w:val="38"/>
              <w:jc w:val="both"/>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项目拟采用干撒式发酵床工艺，牛舍产生的牛尿、</w:t>
            </w:r>
            <w:r>
              <w:rPr>
                <w:rFonts w:hint="default" w:ascii="Times New Roman" w:hAnsi="Times New Roman" w:eastAsia="宋体" w:cs="Times New Roman"/>
                <w:color w:val="FF0000"/>
                <w:sz w:val="21"/>
                <w:szCs w:val="21"/>
                <w:highlight w:val="none"/>
                <w:lang w:val="en-US" w:eastAsia="zh-CN"/>
              </w:rPr>
              <w:t>牛粪</w:t>
            </w:r>
            <w:r>
              <w:rPr>
                <w:rFonts w:hint="default" w:ascii="Times New Roman" w:hAnsi="Times New Roman" w:eastAsia="宋体" w:cs="Times New Roman"/>
                <w:color w:val="FF0000"/>
                <w:sz w:val="21"/>
                <w:szCs w:val="21"/>
                <w:highlight w:val="none"/>
                <w:lang w:eastAsia="zh-CN"/>
              </w:rPr>
              <w:t>不外排，</w:t>
            </w:r>
            <w:r>
              <w:rPr>
                <w:rFonts w:hint="default" w:ascii="Times New Roman" w:hAnsi="Times New Roman" w:eastAsia="宋体" w:cs="Times New Roman"/>
                <w:color w:val="FF0000"/>
                <w:sz w:val="21"/>
                <w:szCs w:val="21"/>
                <w:highlight w:val="none"/>
              </w:rPr>
              <w:t>实现源头减量</w:t>
            </w:r>
            <w:r>
              <w:rPr>
                <w:rFonts w:hint="default" w:ascii="Times New Roman" w:hAnsi="Times New Roman" w:eastAsia="宋体" w:cs="Times New Roman"/>
                <w:color w:val="FF0000"/>
                <w:sz w:val="21"/>
                <w:szCs w:val="21"/>
                <w:highlight w:val="none"/>
                <w:lang w:eastAsia="zh-CN"/>
              </w:rPr>
              <w:t>；牛舍更换的发酵床垫料，定期外售至有机肥厂；生活污水排入化粪池，定期清掏，</w:t>
            </w:r>
            <w:r>
              <w:rPr>
                <w:rFonts w:hint="default" w:ascii="Times New Roman" w:hAnsi="Times New Roman" w:eastAsia="宋体" w:cs="Times New Roman"/>
                <w:color w:val="FF0000"/>
                <w:sz w:val="21"/>
                <w:szCs w:val="21"/>
                <w:highlight w:val="none"/>
                <w:lang w:val="en-US" w:eastAsia="zh-CN"/>
              </w:rPr>
              <w:t>不外排</w:t>
            </w:r>
            <w:r>
              <w:rPr>
                <w:rFonts w:hint="default" w:ascii="Times New Roman" w:hAnsi="Times New Roman" w:eastAsia="宋体" w:cs="Times New Roman"/>
                <w:color w:val="FF0000"/>
                <w:sz w:val="21"/>
                <w:szCs w:val="21"/>
                <w:highlight w:val="none"/>
                <w:lang w:eastAsia="zh-CN"/>
              </w:rPr>
              <w:t>，</w:t>
            </w:r>
            <w:r>
              <w:rPr>
                <w:rFonts w:hint="default" w:ascii="Times New Roman" w:hAnsi="Times New Roman" w:eastAsia="宋体" w:cs="Times New Roman"/>
                <w:color w:val="FF0000"/>
                <w:sz w:val="21"/>
                <w:szCs w:val="21"/>
                <w:highlight w:val="none"/>
              </w:rPr>
              <w:t>实现畜禽粪污</w:t>
            </w:r>
            <w:r>
              <w:rPr>
                <w:rFonts w:hint="default" w:ascii="Times New Roman" w:hAnsi="Times New Roman" w:eastAsia="宋体" w:cs="Times New Roman"/>
                <w:color w:val="FF0000"/>
                <w:sz w:val="21"/>
                <w:szCs w:val="21"/>
                <w:highlight w:val="none"/>
                <w:lang w:eastAsia="zh-CN"/>
              </w:rPr>
              <w:t>无害化</w:t>
            </w:r>
            <w:r>
              <w:rPr>
                <w:rFonts w:hint="default" w:ascii="Times New Roman" w:hAnsi="Times New Roman" w:eastAsia="宋体" w:cs="Times New Roman"/>
                <w:color w:val="FF0000"/>
                <w:sz w:val="21"/>
                <w:szCs w:val="21"/>
                <w:highlight w:val="none"/>
              </w:rPr>
              <w:t>综合利用。</w:t>
            </w:r>
          </w:p>
          <w:p w14:paraId="0E50C54F">
            <w:pPr>
              <w:pStyle w:val="38"/>
              <w:jc w:val="both"/>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采用科学饲养工艺，即采用精饲料和粗饲料相结合的方式进行饲养，精料外购，粗料一般是草料</w:t>
            </w:r>
            <w:r>
              <w:rPr>
                <w:rFonts w:hint="default" w:ascii="Times New Roman" w:hAnsi="Times New Roman" w:eastAsia="宋体" w:cs="Times New Roman"/>
                <w:color w:val="FF0000"/>
                <w:sz w:val="21"/>
                <w:szCs w:val="21"/>
                <w:highlight w:val="none"/>
                <w:lang w:eastAsia="zh-CN"/>
              </w:rPr>
              <w:t>、</w:t>
            </w:r>
            <w:r>
              <w:rPr>
                <w:rFonts w:hint="default" w:ascii="Times New Roman" w:hAnsi="Times New Roman" w:eastAsia="宋体" w:cs="Times New Roman"/>
                <w:color w:val="FF0000"/>
                <w:sz w:val="21"/>
                <w:szCs w:val="21"/>
                <w:highlight w:val="none"/>
              </w:rPr>
              <w:t>青贮等。</w:t>
            </w:r>
          </w:p>
          <w:p w14:paraId="1EB7B18A">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FF0000"/>
                <w:sz w:val="21"/>
                <w:szCs w:val="21"/>
                <w:highlight w:val="none"/>
                <w:lang w:eastAsia="zh-CN"/>
              </w:rPr>
              <w:t>综上，本项目建设符合</w:t>
            </w:r>
            <w:r>
              <w:rPr>
                <w:rFonts w:hint="default" w:ascii="Times New Roman" w:hAnsi="Times New Roman" w:eastAsia="宋体" w:cs="Times New Roman"/>
                <w:color w:val="FF0000"/>
                <w:sz w:val="21"/>
                <w:szCs w:val="21"/>
                <w:highlight w:val="none"/>
              </w:rPr>
              <w:t>《关于加快推进畜禽养殖废弃物资源化利用的意见》（国办发〔2017〕48号）</w:t>
            </w:r>
            <w:r>
              <w:rPr>
                <w:rFonts w:hint="default" w:ascii="Times New Roman" w:hAnsi="Times New Roman" w:eastAsia="宋体" w:cs="Times New Roman"/>
                <w:color w:val="FF0000"/>
                <w:sz w:val="21"/>
                <w:szCs w:val="21"/>
                <w:highlight w:val="none"/>
                <w:lang w:eastAsia="zh-CN"/>
              </w:rPr>
              <w:t>。</w:t>
            </w:r>
          </w:p>
        </w:tc>
        <w:tc>
          <w:tcPr>
            <w:tcW w:w="340" w:type="pct"/>
            <w:shd w:val="clear" w:color="auto" w:fill="auto"/>
            <w:vAlign w:val="center"/>
          </w:tcPr>
          <w:p w14:paraId="0822AB17">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13518E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76F607F">
            <w:pPr>
              <w:pStyle w:val="38"/>
              <w:rPr>
                <w:rFonts w:hint="default" w:ascii="Times New Roman" w:hAnsi="Times New Roman" w:eastAsia="宋体" w:cs="Times New Roman"/>
                <w:color w:val="auto"/>
                <w:sz w:val="21"/>
                <w:szCs w:val="21"/>
                <w:highlight w:val="none"/>
              </w:rPr>
            </w:pPr>
            <w:bookmarkStart w:id="23" w:name="_Hlk169513090"/>
            <w:r>
              <w:rPr>
                <w:rFonts w:hint="default" w:ascii="Times New Roman" w:hAnsi="Times New Roman" w:eastAsia="宋体" w:cs="Times New Roman"/>
                <w:color w:val="auto"/>
                <w:sz w:val="21"/>
                <w:szCs w:val="21"/>
                <w:highlight w:val="none"/>
              </w:rPr>
              <w:t>《国务院办公厅关于促进畜牧业高质量发展的意见》（国办发〔2020〕31号）</w:t>
            </w:r>
            <w:bookmarkEnd w:id="23"/>
          </w:p>
        </w:tc>
        <w:tc>
          <w:tcPr>
            <w:tcW w:w="2104" w:type="pct"/>
            <w:shd w:val="clear" w:color="auto" w:fill="auto"/>
            <w:vAlign w:val="center"/>
          </w:tcPr>
          <w:p w14:paraId="36D5CB1E">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国务院办公厅关于促进畜牧业高质量发展的意见》（国办发〔2020〕31号）指出：畜牧业整体竞争力稳步提高，动物疫病防控能力明显增强，绿色发展水平显著提高，畜禽产品供应安全保障能力大幅提升。猪肉自给率保持在95%左右，牛羊肉自给率保持在85%左右，奶源自给率保持在70%以上，禽肉和禽蛋实现基本自给。到2025年畜禽养殖规模化率和畜禽粪污综合利用率分别达到70%以上和80%以上，到2030年分别达到75%以上和85%以上。</w:t>
            </w:r>
          </w:p>
        </w:tc>
        <w:tc>
          <w:tcPr>
            <w:tcW w:w="1663" w:type="pct"/>
            <w:shd w:val="clear" w:color="auto" w:fill="auto"/>
            <w:vAlign w:val="center"/>
          </w:tcPr>
          <w:p w14:paraId="09545387">
            <w:pPr>
              <w:pStyle w:val="38"/>
              <w:jc w:val="both"/>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项目拟采用干撒式发酵床工艺，</w:t>
            </w:r>
            <w:r>
              <w:rPr>
                <w:rFonts w:hint="default" w:ascii="Times New Roman" w:hAnsi="Times New Roman" w:eastAsia="宋体" w:cs="Times New Roman"/>
                <w:color w:val="FF0000"/>
                <w:sz w:val="21"/>
                <w:szCs w:val="21"/>
                <w:highlight w:val="none"/>
              </w:rPr>
              <w:t>实现畜禽粪污</w:t>
            </w:r>
            <w:r>
              <w:rPr>
                <w:rFonts w:hint="default" w:ascii="Times New Roman" w:hAnsi="Times New Roman" w:eastAsia="宋体" w:cs="Times New Roman"/>
                <w:color w:val="FF0000"/>
                <w:sz w:val="21"/>
                <w:szCs w:val="21"/>
                <w:highlight w:val="none"/>
                <w:lang w:eastAsia="zh-CN"/>
              </w:rPr>
              <w:t>无害化</w:t>
            </w:r>
            <w:r>
              <w:rPr>
                <w:rFonts w:hint="default" w:ascii="Times New Roman" w:hAnsi="Times New Roman" w:eastAsia="宋体" w:cs="Times New Roman"/>
                <w:color w:val="FF0000"/>
                <w:sz w:val="21"/>
                <w:szCs w:val="21"/>
                <w:highlight w:val="none"/>
              </w:rPr>
              <w:t>综合利用。</w:t>
            </w:r>
          </w:p>
          <w:p w14:paraId="42DE15B7">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FF0000"/>
                <w:sz w:val="21"/>
                <w:szCs w:val="21"/>
                <w:highlight w:val="none"/>
              </w:rPr>
              <w:t>实现畜禽粪污</w:t>
            </w:r>
            <w:r>
              <w:rPr>
                <w:rFonts w:hint="default" w:ascii="Times New Roman" w:hAnsi="Times New Roman" w:eastAsia="宋体" w:cs="Times New Roman"/>
                <w:color w:val="FF0000"/>
                <w:sz w:val="21"/>
                <w:szCs w:val="21"/>
                <w:highlight w:val="none"/>
                <w:lang w:eastAsia="zh-CN"/>
              </w:rPr>
              <w:t>无害化</w:t>
            </w:r>
            <w:r>
              <w:rPr>
                <w:rFonts w:hint="default" w:ascii="Times New Roman" w:hAnsi="Times New Roman" w:eastAsia="宋体" w:cs="Times New Roman"/>
                <w:color w:val="FF0000"/>
                <w:sz w:val="21"/>
                <w:szCs w:val="21"/>
                <w:highlight w:val="none"/>
              </w:rPr>
              <w:t>综合利用</w:t>
            </w:r>
            <w:r>
              <w:rPr>
                <w:rFonts w:hint="default" w:ascii="Times New Roman" w:hAnsi="Times New Roman" w:eastAsia="宋体" w:cs="Times New Roman"/>
                <w:color w:val="FF0000"/>
                <w:sz w:val="21"/>
                <w:szCs w:val="21"/>
                <w:highlight w:val="none"/>
                <w:lang w:eastAsia="zh-CN"/>
              </w:rPr>
              <w:t>。确保2025年</w:t>
            </w:r>
            <w:r>
              <w:rPr>
                <w:rFonts w:hint="default" w:ascii="Times New Roman" w:hAnsi="Times New Roman" w:eastAsia="宋体" w:cs="Times New Roman"/>
                <w:color w:val="FF0000"/>
                <w:sz w:val="21"/>
                <w:szCs w:val="21"/>
                <w:highlight w:val="none"/>
              </w:rPr>
              <w:t>实现畜禽养殖规模化率</w:t>
            </w:r>
            <w:r>
              <w:rPr>
                <w:rFonts w:hint="default" w:ascii="Times New Roman" w:hAnsi="Times New Roman" w:eastAsia="宋体" w:cs="Times New Roman"/>
                <w:color w:val="FF0000"/>
                <w:sz w:val="21"/>
                <w:szCs w:val="21"/>
                <w:highlight w:val="none"/>
                <w:lang w:eastAsia="zh-CN"/>
              </w:rPr>
              <w:t>和</w:t>
            </w:r>
            <w:r>
              <w:rPr>
                <w:rFonts w:hint="default" w:ascii="Times New Roman" w:hAnsi="Times New Roman" w:eastAsia="宋体" w:cs="Times New Roman"/>
                <w:color w:val="FF0000"/>
                <w:sz w:val="21"/>
                <w:szCs w:val="21"/>
                <w:highlight w:val="none"/>
              </w:rPr>
              <w:t>畜禽粪污综合利用</w:t>
            </w:r>
            <w:r>
              <w:rPr>
                <w:rFonts w:hint="default" w:ascii="Times New Roman" w:hAnsi="Times New Roman" w:eastAsia="宋体" w:cs="Times New Roman"/>
                <w:color w:val="FF0000"/>
                <w:sz w:val="21"/>
                <w:szCs w:val="21"/>
                <w:highlight w:val="none"/>
                <w:lang w:eastAsia="zh-CN"/>
              </w:rPr>
              <w:t>率提升</w:t>
            </w:r>
            <w:r>
              <w:rPr>
                <w:rFonts w:hint="default" w:ascii="Times New Roman" w:hAnsi="Times New Roman" w:eastAsia="宋体" w:cs="Times New Roman"/>
                <w:color w:val="FF0000"/>
                <w:sz w:val="21"/>
                <w:szCs w:val="21"/>
                <w:highlight w:val="none"/>
              </w:rPr>
              <w:t>。</w:t>
            </w:r>
          </w:p>
        </w:tc>
        <w:tc>
          <w:tcPr>
            <w:tcW w:w="340" w:type="pct"/>
            <w:shd w:val="clear" w:color="auto" w:fill="auto"/>
            <w:vAlign w:val="center"/>
          </w:tcPr>
          <w:p w14:paraId="5CF3E2D3">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185715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3AC9E4D1">
            <w:pPr>
              <w:pStyle w:val="38"/>
              <w:rPr>
                <w:rFonts w:hint="default" w:ascii="Times New Roman" w:hAnsi="Times New Roman" w:eastAsia="宋体" w:cs="Times New Roman"/>
                <w:color w:val="auto"/>
                <w:sz w:val="21"/>
                <w:szCs w:val="21"/>
                <w:highlight w:val="none"/>
              </w:rPr>
            </w:pPr>
            <w:bookmarkStart w:id="24" w:name="_Hlk169513095"/>
            <w:r>
              <w:rPr>
                <w:rFonts w:hint="default" w:ascii="Times New Roman" w:hAnsi="Times New Roman" w:eastAsia="宋体" w:cs="Times New Roman"/>
                <w:color w:val="auto"/>
                <w:sz w:val="21"/>
                <w:szCs w:val="21"/>
                <w:highlight w:val="none"/>
              </w:rPr>
              <w:t>《农业农村污染治理攻坚战行动方案（2021-2025年）》</w:t>
            </w:r>
            <w:bookmarkEnd w:id="24"/>
          </w:p>
        </w:tc>
        <w:tc>
          <w:tcPr>
            <w:tcW w:w="2104" w:type="pct"/>
            <w:shd w:val="clear" w:color="auto" w:fill="auto"/>
            <w:vAlign w:val="center"/>
          </w:tcPr>
          <w:p w14:paraId="6E5C0409">
            <w:pPr>
              <w:pStyle w:val="38"/>
              <w:keepNext w:val="0"/>
              <w:keepLines w:val="0"/>
              <w:pageBreakBefore w:val="0"/>
              <w:widowControl/>
              <w:kinsoku/>
              <w:wordWrap/>
              <w:overflowPunct/>
              <w:topLinePunct/>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推行畜禽粪污资源化利用。完善畜禽粪污资源化利用管理制度，依法合理施用畜禽粪肥。推动畜禽规模养殖场粪污处理设施装备提档升级，规范畜禽养殖户粪污处理设施装备配套，开展设施装备配套情况核查。整县推进畜禽粪污资源化利用，改造提升粪污处理设施，建设粪肥还田利用示范基地，推进种养结合，畅通粪肥还田渠道。建立畜禽规模养殖场碳排放核算、报告、核查等标准，探索制定重点畜产品全生命周期碳足迹标准，引导畜禽养殖环节温室气体减排。完善畜禽粪肥限量标准，指导各地安全合理施用粪肥。到2025年，畜禽规模养殖场建立粪污资源化利用计划和台账，粪污处理设施装备配套率稳定在97%以上，畜禽养殖户粪污处理设施装备配套水平明显提升。</w:t>
            </w:r>
          </w:p>
        </w:tc>
        <w:tc>
          <w:tcPr>
            <w:tcW w:w="1663" w:type="pct"/>
            <w:shd w:val="clear" w:color="auto" w:fill="auto"/>
            <w:vAlign w:val="center"/>
          </w:tcPr>
          <w:p w14:paraId="1B1769D5">
            <w:pPr>
              <w:pStyle w:val="38"/>
              <w:jc w:val="both"/>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auto"/>
                <w:sz w:val="21"/>
                <w:szCs w:val="21"/>
                <w:highlight w:val="none"/>
                <w:lang w:eastAsia="zh-CN"/>
              </w:rPr>
              <w:t>项目拟采用干撒式发酵床工艺，</w:t>
            </w:r>
            <w:r>
              <w:rPr>
                <w:rFonts w:hint="eastAsia" w:ascii="Times New Roman" w:hAnsi="Times New Roman" w:eastAsia="宋体" w:cs="Times New Roman"/>
                <w:color w:val="auto"/>
                <w:sz w:val="21"/>
                <w:szCs w:val="21"/>
                <w:highlight w:val="none"/>
                <w:lang w:val="en-US" w:eastAsia="zh-CN"/>
              </w:rPr>
              <w:t>粪污</w:t>
            </w:r>
            <w:r>
              <w:rPr>
                <w:rFonts w:hint="default" w:ascii="Times New Roman" w:hAnsi="Times New Roman" w:eastAsia="宋体" w:cs="Times New Roman"/>
                <w:color w:val="auto"/>
                <w:sz w:val="21"/>
                <w:szCs w:val="21"/>
                <w:highlight w:val="none"/>
                <w:lang w:eastAsia="zh-CN"/>
              </w:rPr>
              <w:t>不外排；牛舍更换的发酵床垫料，定期外售至有机肥厂；生活污水排入化粪池，定期清掏，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实现畜禽粪</w:t>
            </w:r>
            <w:r>
              <w:rPr>
                <w:rFonts w:hint="default" w:ascii="Times New Roman" w:hAnsi="Times New Roman" w:eastAsia="宋体" w:cs="Times New Roman"/>
                <w:color w:val="FF0000"/>
                <w:sz w:val="21"/>
                <w:szCs w:val="21"/>
                <w:highlight w:val="none"/>
              </w:rPr>
              <w:t>污</w:t>
            </w:r>
            <w:r>
              <w:rPr>
                <w:rFonts w:hint="default" w:ascii="Times New Roman" w:hAnsi="Times New Roman" w:eastAsia="宋体" w:cs="Times New Roman"/>
                <w:color w:val="FF0000"/>
                <w:sz w:val="21"/>
                <w:szCs w:val="21"/>
                <w:highlight w:val="none"/>
                <w:lang w:eastAsia="zh-CN"/>
              </w:rPr>
              <w:t>无害化</w:t>
            </w:r>
            <w:r>
              <w:rPr>
                <w:rFonts w:hint="default" w:ascii="Times New Roman" w:hAnsi="Times New Roman" w:eastAsia="宋体" w:cs="Times New Roman"/>
                <w:color w:val="FF0000"/>
                <w:sz w:val="21"/>
                <w:szCs w:val="21"/>
                <w:highlight w:val="none"/>
              </w:rPr>
              <w:t>综合利用</w:t>
            </w:r>
            <w:r>
              <w:rPr>
                <w:rFonts w:hint="default" w:ascii="Times New Roman" w:hAnsi="Times New Roman" w:eastAsia="宋体" w:cs="Times New Roman"/>
                <w:color w:val="FF0000"/>
                <w:sz w:val="21"/>
                <w:szCs w:val="21"/>
                <w:highlight w:val="none"/>
                <w:lang w:eastAsia="zh-CN"/>
              </w:rPr>
              <w:t>；</w:t>
            </w:r>
          </w:p>
          <w:p w14:paraId="3D68718F">
            <w:pPr>
              <w:pStyle w:val="38"/>
              <w:jc w:val="both"/>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rPr>
              <w:t>养殖场建立粪污资源化利用计划和台账</w:t>
            </w:r>
            <w:r>
              <w:rPr>
                <w:rFonts w:hint="default" w:ascii="Times New Roman" w:hAnsi="Times New Roman" w:eastAsia="宋体" w:cs="Times New Roman"/>
                <w:color w:val="FF0000"/>
                <w:sz w:val="21"/>
                <w:szCs w:val="21"/>
                <w:highlight w:val="none"/>
                <w:lang w:eastAsia="zh-CN"/>
              </w:rPr>
              <w:t>；</w:t>
            </w:r>
          </w:p>
          <w:p w14:paraId="5B13AC81">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确保</w:t>
            </w:r>
            <w:r>
              <w:rPr>
                <w:rFonts w:hint="default" w:ascii="Times New Roman" w:hAnsi="Times New Roman" w:eastAsia="宋体" w:cs="Times New Roman"/>
                <w:color w:val="auto"/>
                <w:sz w:val="21"/>
                <w:szCs w:val="21"/>
                <w:highlight w:val="none"/>
              </w:rPr>
              <w:t>实现畜禽粪污综合利用</w:t>
            </w:r>
            <w:r>
              <w:rPr>
                <w:rFonts w:hint="default" w:ascii="Times New Roman" w:hAnsi="Times New Roman" w:eastAsia="宋体" w:cs="Times New Roman"/>
                <w:color w:val="auto"/>
                <w:sz w:val="21"/>
                <w:szCs w:val="21"/>
                <w:highlight w:val="none"/>
                <w:lang w:eastAsia="zh-CN"/>
              </w:rPr>
              <w:t>，确保项目粪污处理配套设施建设</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符合</w:t>
            </w:r>
            <w:r>
              <w:rPr>
                <w:rFonts w:hint="default" w:ascii="Times New Roman" w:hAnsi="Times New Roman" w:eastAsia="宋体" w:cs="Times New Roman"/>
                <w:color w:val="auto"/>
                <w:sz w:val="21"/>
                <w:szCs w:val="21"/>
                <w:highlight w:val="none"/>
              </w:rPr>
              <w:t>《农业农村污染治理攻坚战行动方案（2021-2025年）》</w:t>
            </w:r>
            <w:r>
              <w:rPr>
                <w:rFonts w:hint="default" w:ascii="Times New Roman" w:hAnsi="Times New Roman" w:eastAsia="宋体" w:cs="Times New Roman"/>
                <w:color w:val="auto"/>
                <w:sz w:val="21"/>
                <w:szCs w:val="21"/>
                <w:highlight w:val="none"/>
                <w:lang w:eastAsia="zh-CN"/>
              </w:rPr>
              <w:t>。</w:t>
            </w:r>
          </w:p>
        </w:tc>
        <w:tc>
          <w:tcPr>
            <w:tcW w:w="340" w:type="pct"/>
            <w:shd w:val="clear" w:color="auto" w:fill="auto"/>
            <w:vAlign w:val="center"/>
          </w:tcPr>
          <w:p w14:paraId="1CCDA59C">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168DF9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restart"/>
            <w:shd w:val="clear" w:color="auto" w:fill="auto"/>
            <w:vAlign w:val="center"/>
          </w:tcPr>
          <w:p w14:paraId="7D4D875C">
            <w:pPr>
              <w:pStyle w:val="38"/>
              <w:rPr>
                <w:rFonts w:hint="default" w:ascii="Times New Roman" w:hAnsi="Times New Roman" w:eastAsia="宋体" w:cs="Times New Roman"/>
                <w:color w:val="auto"/>
                <w:sz w:val="21"/>
                <w:szCs w:val="21"/>
                <w:highlight w:val="none"/>
              </w:rPr>
            </w:pPr>
            <w:bookmarkStart w:id="25" w:name="_Hlk169513101"/>
            <w:r>
              <w:rPr>
                <w:rFonts w:hint="default" w:ascii="Times New Roman" w:hAnsi="Times New Roman" w:eastAsia="宋体" w:cs="Times New Roman"/>
                <w:color w:val="auto"/>
                <w:sz w:val="21"/>
                <w:szCs w:val="21"/>
                <w:highlight w:val="none"/>
              </w:rPr>
              <w:t>《黑龙江省人民政府办公厅关于加强农业面源污染防治的实施意见》</w:t>
            </w:r>
            <w:r>
              <w:rPr>
                <w:rFonts w:hint="default" w:ascii="Times New Roman" w:hAnsi="Times New Roman" w:eastAsia="宋体" w:cs="Times New Roman"/>
                <w:color w:val="auto"/>
                <w:sz w:val="21"/>
                <w:szCs w:val="21"/>
                <w:highlight w:val="none"/>
                <w:lang w:eastAsia="zh-CN"/>
              </w:rPr>
              <w:t>（黑政办规〔2018〕26号）</w:t>
            </w:r>
            <w:bookmarkEnd w:id="25"/>
          </w:p>
        </w:tc>
        <w:tc>
          <w:tcPr>
            <w:tcW w:w="2104" w:type="pct"/>
            <w:shd w:val="clear" w:color="auto" w:fill="auto"/>
            <w:vAlign w:val="center"/>
          </w:tcPr>
          <w:p w14:paraId="224ECDBC">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“三基本”：畜禽粪便、农作物秸秆、农膜基本实现资源化利用。畜禽粪污综合利用率达到75%以上，规模养殖场粪污处理设施装备配套率达到95%以上。秸秆综合利用率达到75%以上。农膜回收率达到80%以上。</w:t>
            </w:r>
          </w:p>
        </w:tc>
        <w:tc>
          <w:tcPr>
            <w:tcW w:w="1663" w:type="pct"/>
            <w:shd w:val="clear" w:color="auto" w:fill="auto"/>
            <w:vAlign w:val="center"/>
          </w:tcPr>
          <w:p w14:paraId="44375BC5">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项目牛粪最终作为有机肥原料生产有机肥，施用于农田，符合</w:t>
            </w:r>
            <w:r>
              <w:rPr>
                <w:rFonts w:hint="default" w:ascii="Times New Roman" w:hAnsi="Times New Roman" w:eastAsia="宋体" w:cs="Times New Roman"/>
                <w:color w:val="auto"/>
                <w:sz w:val="21"/>
                <w:szCs w:val="21"/>
                <w:highlight w:val="none"/>
              </w:rPr>
              <w:t>畜禽粪污综合利用</w:t>
            </w:r>
            <w:r>
              <w:rPr>
                <w:rFonts w:hint="default" w:ascii="Times New Roman" w:hAnsi="Times New Roman" w:eastAsia="宋体" w:cs="Times New Roman"/>
                <w:color w:val="auto"/>
                <w:sz w:val="21"/>
                <w:szCs w:val="21"/>
                <w:highlight w:val="none"/>
                <w:lang w:eastAsia="zh-CN"/>
              </w:rPr>
              <w:t>率提升要求</w:t>
            </w:r>
            <w:r>
              <w:rPr>
                <w:rFonts w:hint="default" w:ascii="Times New Roman" w:hAnsi="Times New Roman" w:eastAsia="宋体" w:cs="Times New Roman"/>
                <w:color w:val="auto"/>
                <w:sz w:val="21"/>
                <w:szCs w:val="21"/>
                <w:highlight w:val="none"/>
              </w:rPr>
              <w:t>。</w:t>
            </w:r>
          </w:p>
        </w:tc>
        <w:tc>
          <w:tcPr>
            <w:tcW w:w="340" w:type="pct"/>
            <w:shd w:val="clear" w:color="auto" w:fill="auto"/>
            <w:vAlign w:val="center"/>
          </w:tcPr>
          <w:p w14:paraId="1AC8706E">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5A5294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continue"/>
            <w:shd w:val="clear" w:color="auto" w:fill="auto"/>
            <w:vAlign w:val="center"/>
          </w:tcPr>
          <w:p w14:paraId="5FBB2F94">
            <w:pPr>
              <w:pStyle w:val="38"/>
              <w:rPr>
                <w:rFonts w:hint="default" w:ascii="Times New Roman" w:hAnsi="Times New Roman" w:eastAsia="宋体" w:cs="Times New Roman"/>
                <w:color w:val="auto"/>
                <w:sz w:val="21"/>
                <w:szCs w:val="21"/>
                <w:highlight w:val="none"/>
              </w:rPr>
            </w:pPr>
          </w:p>
        </w:tc>
        <w:tc>
          <w:tcPr>
            <w:tcW w:w="2104" w:type="pct"/>
            <w:shd w:val="clear" w:color="auto" w:fill="auto"/>
            <w:vAlign w:val="center"/>
          </w:tcPr>
          <w:p w14:paraId="2B1D191C">
            <w:pPr>
              <w:pStyle w:val="38"/>
              <w:keepNext w:val="0"/>
              <w:keepLines w:val="0"/>
              <w:pageBreakBefore w:val="0"/>
              <w:widowControl/>
              <w:kinsoku/>
              <w:wordWrap/>
              <w:overflowPunct/>
              <w:topLinePunct/>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四)实施畜禽养殖废弃物资源化利用行动。畜禽养殖废弃物资源化利用坚持政府支持、企业主体、市场化运作的方针，以畜牧大县和规模养殖场为重点，以肥料化利用为主攻方向，充分发挥绿色有机食品产业引领作用，构建种养循环发展机制。优化养殖区域布局，加快畜牧业转型升级，引导畜牧养殖向规模化、标准化、生态化发展。建立畜禽粪污收集、贮存、处理和利用体系，鼓励在养殖密集区建立粪污集中处理中心。探索搭建粪肥交易平台，修订完善堆(沤)肥和商品有机肥质量安全技术参数，推进养殖主体与有机肥加工企业对接，完善肥料登记管理制度，借鉴国际经验探索创设有机肥施肥卡制度，保证粪肥可追溯。推广畜禽粪污全量收集还田利用、污水肥料化利用、粪便垫料回用还田、异位发酵床等无害化处理利用模式。建设日产沼气1000立方米及以上的规模化大沼气工程，支持开展给农户供气、发电上网、企业自用等多元化利用。开展日产生物天然气1万立方米以上的工程试点，支持生物天然气提纯用于车用燃料、罐装销售、并入城镇天然气管网。积极推进水产健康养殖示范创建活动，扩大健康养殖规模。2018年新创建水产健康养殖示范场20家以上，到2020年，新创建示范场60家以上。</w:t>
            </w:r>
          </w:p>
        </w:tc>
        <w:tc>
          <w:tcPr>
            <w:tcW w:w="1663" w:type="pct"/>
            <w:shd w:val="clear" w:color="auto" w:fill="auto"/>
            <w:vAlign w:val="center"/>
          </w:tcPr>
          <w:p w14:paraId="2DB63CF8">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项目拟采用干撒式发酵床工艺，</w:t>
            </w:r>
            <w:r>
              <w:rPr>
                <w:rFonts w:hint="default" w:ascii="Times New Roman" w:hAnsi="Times New Roman" w:eastAsia="宋体" w:cs="Times New Roman"/>
                <w:color w:val="auto"/>
                <w:sz w:val="21"/>
                <w:szCs w:val="21"/>
                <w:highlight w:val="none"/>
                <w:lang w:val="en-US" w:eastAsia="zh-CN"/>
              </w:rPr>
              <w:t>牛粪牛尿</w:t>
            </w:r>
            <w:r>
              <w:rPr>
                <w:rFonts w:hint="default" w:ascii="Times New Roman" w:hAnsi="Times New Roman" w:eastAsia="宋体" w:cs="Times New Roman"/>
                <w:color w:val="auto"/>
                <w:sz w:val="21"/>
                <w:szCs w:val="21"/>
                <w:highlight w:val="none"/>
                <w:lang w:eastAsia="zh-CN"/>
              </w:rPr>
              <w:t>不外排；牛舍更换的发酵床垫料，定期外售至有机肥厂；生活污水排入化粪池，定期清掏，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rPr>
              <w:t>。</w:t>
            </w:r>
          </w:p>
          <w:p w14:paraId="16590092">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FF0000"/>
                <w:sz w:val="21"/>
                <w:szCs w:val="21"/>
                <w:highlight w:val="none"/>
                <w:lang w:val="en-US" w:eastAsia="zh-CN"/>
              </w:rPr>
              <w:t>符合</w:t>
            </w:r>
            <w:r>
              <w:rPr>
                <w:rFonts w:hint="default" w:ascii="Times New Roman" w:hAnsi="Times New Roman" w:eastAsia="宋体" w:cs="Times New Roman"/>
                <w:color w:val="FF0000"/>
                <w:sz w:val="21"/>
                <w:szCs w:val="21"/>
                <w:highlight w:val="none"/>
              </w:rPr>
              <w:t>畜禽养殖废弃物资源化利用行动</w:t>
            </w:r>
            <w:r>
              <w:rPr>
                <w:rFonts w:hint="default" w:ascii="Times New Roman" w:hAnsi="Times New Roman" w:eastAsia="宋体" w:cs="Times New Roman"/>
                <w:color w:val="FF0000"/>
                <w:sz w:val="21"/>
                <w:szCs w:val="21"/>
                <w:highlight w:val="none"/>
                <w:lang w:val="en-US" w:eastAsia="zh-CN"/>
              </w:rPr>
              <w:t>。</w:t>
            </w:r>
            <w:r>
              <w:rPr>
                <w:rFonts w:hint="default" w:ascii="Times New Roman" w:hAnsi="Times New Roman" w:eastAsia="宋体" w:cs="Times New Roman"/>
                <w:color w:val="FF0000"/>
                <w:sz w:val="21"/>
                <w:szCs w:val="21"/>
                <w:highlight w:val="none"/>
              </w:rPr>
              <w:t>实现畜禽粪污</w:t>
            </w:r>
            <w:r>
              <w:rPr>
                <w:rFonts w:hint="default" w:ascii="Times New Roman" w:hAnsi="Times New Roman" w:eastAsia="宋体" w:cs="Times New Roman"/>
                <w:color w:val="FF0000"/>
                <w:sz w:val="21"/>
                <w:szCs w:val="21"/>
                <w:highlight w:val="none"/>
                <w:lang w:eastAsia="zh-CN"/>
              </w:rPr>
              <w:t>无害化</w:t>
            </w:r>
            <w:r>
              <w:rPr>
                <w:rFonts w:hint="default" w:ascii="Times New Roman" w:hAnsi="Times New Roman" w:eastAsia="宋体" w:cs="Times New Roman"/>
                <w:color w:val="FF0000"/>
                <w:sz w:val="21"/>
                <w:szCs w:val="21"/>
                <w:highlight w:val="none"/>
              </w:rPr>
              <w:t>综合利用。</w:t>
            </w:r>
            <w:r>
              <w:rPr>
                <w:rFonts w:hint="default" w:ascii="Times New Roman" w:hAnsi="Times New Roman" w:eastAsia="宋体" w:cs="Times New Roman"/>
                <w:color w:val="FF0000"/>
                <w:sz w:val="21"/>
                <w:szCs w:val="21"/>
                <w:highlight w:val="none"/>
                <w:lang w:eastAsia="zh-CN"/>
              </w:rPr>
              <w:t>符合粪污全量收集还田利用、污水肥料化利用要求</w:t>
            </w:r>
            <w:r>
              <w:rPr>
                <w:rFonts w:hint="default" w:ascii="Times New Roman" w:hAnsi="Times New Roman" w:eastAsia="宋体" w:cs="Times New Roman"/>
                <w:color w:val="FF0000"/>
                <w:sz w:val="21"/>
                <w:szCs w:val="21"/>
                <w:highlight w:val="none"/>
              </w:rPr>
              <w:t>。</w:t>
            </w:r>
          </w:p>
        </w:tc>
        <w:tc>
          <w:tcPr>
            <w:tcW w:w="340" w:type="pct"/>
            <w:shd w:val="clear" w:color="auto" w:fill="auto"/>
            <w:vAlign w:val="center"/>
          </w:tcPr>
          <w:p w14:paraId="6F7799C2">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54415B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4E86EB31">
            <w:pPr>
              <w:pStyle w:val="38"/>
              <w:rPr>
                <w:rFonts w:hint="default" w:ascii="Times New Roman" w:hAnsi="Times New Roman" w:eastAsia="宋体" w:cs="Times New Roman"/>
                <w:color w:val="auto"/>
                <w:sz w:val="21"/>
                <w:szCs w:val="21"/>
                <w:highlight w:val="none"/>
              </w:rPr>
            </w:pPr>
            <w:bookmarkStart w:id="26" w:name="_Hlk169513112"/>
            <w:r>
              <w:rPr>
                <w:rFonts w:hint="default" w:ascii="Times New Roman" w:hAnsi="Times New Roman" w:eastAsia="宋体" w:cs="Times New Roman"/>
                <w:color w:val="auto"/>
                <w:sz w:val="21"/>
                <w:szCs w:val="21"/>
                <w:highlight w:val="none"/>
              </w:rPr>
              <w:t>《关于进一步明确畜禽粪污还田利用要求强化养殖污染监管的通知》（农办牧2020）23号</w:t>
            </w:r>
            <w:bookmarkEnd w:id="26"/>
          </w:p>
        </w:tc>
        <w:tc>
          <w:tcPr>
            <w:tcW w:w="2104" w:type="pct"/>
            <w:shd w:val="clear" w:color="auto" w:fill="auto"/>
            <w:vAlign w:val="center"/>
          </w:tcPr>
          <w:p w14:paraId="28F99B35">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鼓励畜禽粪污还田利用。国家支持畜禽养殖场户建设畜禽粪污无害化处理和资源化利用设施，鼓励采取粪肥还田、制取沼气、生产有机肥等方式进行资源化利用。明确还田利用标准规范。畜禽粪污的处理应根据排放去向或利用方式的不同执行相应的标准规范。对配套土地充足的养殖场户，粪污经无害化处理后还田利用具体要求及限量应符合《畜禽粪便无害化处理技术规范》（GB/T 36195）和《畜禽粪便还田技术规范》（GB/T 25246），配套土地面积应达到《畜禽粪污土地承载力测算技术指南》要求的最小面积。</w:t>
            </w:r>
          </w:p>
        </w:tc>
        <w:tc>
          <w:tcPr>
            <w:tcW w:w="1663" w:type="pct"/>
            <w:shd w:val="clear" w:color="auto" w:fill="auto"/>
            <w:vAlign w:val="center"/>
          </w:tcPr>
          <w:p w14:paraId="0AC40305">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项目</w:t>
            </w:r>
            <w:r>
              <w:rPr>
                <w:rFonts w:hint="default" w:ascii="Times New Roman" w:hAnsi="Times New Roman" w:eastAsia="宋体" w:cs="Times New Roman"/>
                <w:color w:val="auto"/>
                <w:sz w:val="21"/>
                <w:szCs w:val="21"/>
                <w:highlight w:val="none"/>
              </w:rPr>
              <w:t>畜禽粪污</w:t>
            </w:r>
            <w:r>
              <w:rPr>
                <w:rFonts w:hint="default" w:ascii="Times New Roman" w:hAnsi="Times New Roman" w:eastAsia="宋体" w:cs="Times New Roman"/>
                <w:color w:val="auto"/>
                <w:sz w:val="21"/>
                <w:szCs w:val="21"/>
                <w:highlight w:val="none"/>
                <w:lang w:val="en-US" w:eastAsia="zh-CN"/>
              </w:rPr>
              <w:t>外售生产有机肥</w:t>
            </w:r>
            <w:r>
              <w:rPr>
                <w:rFonts w:hint="default" w:ascii="Times New Roman" w:hAnsi="Times New Roman" w:eastAsia="宋体" w:cs="Times New Roman"/>
                <w:color w:val="auto"/>
                <w:sz w:val="21"/>
                <w:szCs w:val="21"/>
                <w:highlight w:val="none"/>
              </w:rPr>
              <w:t>还田利用</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符</w:t>
            </w:r>
            <w:r>
              <w:rPr>
                <w:rFonts w:hint="default" w:ascii="Times New Roman" w:hAnsi="Times New Roman" w:eastAsia="宋体" w:cs="Times New Roman"/>
                <w:color w:val="auto"/>
                <w:sz w:val="21"/>
                <w:szCs w:val="21"/>
                <w:highlight w:val="none"/>
              </w:rPr>
              <w:t>合《畜禽粪便无害化处理技术规范》（GB/T 36195）和《畜禽粪便还田技术规范》（GB/T 25246）</w:t>
            </w:r>
          </w:p>
        </w:tc>
        <w:tc>
          <w:tcPr>
            <w:tcW w:w="340" w:type="pct"/>
            <w:shd w:val="clear" w:color="auto" w:fill="auto"/>
            <w:vAlign w:val="center"/>
          </w:tcPr>
          <w:p w14:paraId="1CB4843A">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5537AD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A5BFF9D">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黑龙江省人民政府《</w:t>
            </w:r>
            <w:bookmarkStart w:id="27" w:name="_Hlk169513117"/>
            <w:r>
              <w:rPr>
                <w:rFonts w:hint="default" w:ascii="Times New Roman" w:hAnsi="Times New Roman" w:eastAsia="宋体" w:cs="Times New Roman"/>
                <w:color w:val="auto"/>
                <w:sz w:val="21"/>
                <w:szCs w:val="21"/>
                <w:highlight w:val="none"/>
              </w:rPr>
              <w:t>关于印发黑龙江省国民经济和社会发展第十四个五年规划和二〇三五年远景目标纲要的通知》</w:t>
            </w:r>
            <w:r>
              <w:rPr>
                <w:rFonts w:hint="default" w:ascii="Times New Roman" w:hAnsi="Times New Roman" w:eastAsia="宋体" w:cs="Times New Roman"/>
                <w:color w:val="auto"/>
                <w:sz w:val="21"/>
                <w:szCs w:val="21"/>
                <w:highlight w:val="none"/>
                <w:lang w:eastAsia="zh-CN"/>
              </w:rPr>
              <w:t>（2021年3月2日）</w:t>
            </w:r>
            <w:bookmarkEnd w:id="27"/>
          </w:p>
        </w:tc>
        <w:tc>
          <w:tcPr>
            <w:tcW w:w="2104" w:type="pct"/>
            <w:shd w:val="clear" w:color="auto" w:fill="auto"/>
            <w:vAlign w:val="center"/>
          </w:tcPr>
          <w:p w14:paraId="666A26A4">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构建现代畜牧产业体系。实施“两牛一猪一禽”工程，推进畜牧业全产业链发展，进一步提高畜牧业产值占农业总产值比重，建设国家级高品质乳制品、肉制品加工基地。大力推进奶业振兴，加强优质奶源基地建设，构建高产肉牛核心群，发展绿色全营养体饲草料产业，提高肉牛单产和鲜奶品质。加快标准化规模养殖基地建设，布局建设肉牛、生猪、肉鸡、肉鹅大型养殖项目，肉畜禽养殖规模化比重达到75%以上。开展重大动物疫病防控，完善病死动物无害化收集处理体系，加强肉类产品监管能力建设。</w:t>
            </w:r>
          </w:p>
        </w:tc>
        <w:tc>
          <w:tcPr>
            <w:tcW w:w="1663" w:type="pct"/>
            <w:shd w:val="clear" w:color="auto" w:fill="auto"/>
            <w:vAlign w:val="center"/>
          </w:tcPr>
          <w:p w14:paraId="252D48FE">
            <w:pPr>
              <w:pStyle w:val="38"/>
              <w:jc w:val="both"/>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本项目</w:t>
            </w:r>
            <w:r>
              <w:rPr>
                <w:rFonts w:hint="default" w:ascii="Times New Roman" w:hAnsi="Times New Roman" w:eastAsia="宋体" w:cs="Times New Roman"/>
                <w:color w:val="auto"/>
                <w:sz w:val="21"/>
                <w:szCs w:val="21"/>
                <w:highlight w:val="none"/>
                <w:lang w:val="en-US" w:eastAsia="zh-CN"/>
              </w:rPr>
              <w:t>新</w:t>
            </w:r>
            <w:r>
              <w:rPr>
                <w:rFonts w:hint="default" w:ascii="Times New Roman" w:hAnsi="Times New Roman" w:eastAsia="宋体" w:cs="Times New Roman"/>
                <w:color w:val="auto"/>
                <w:sz w:val="21"/>
                <w:szCs w:val="21"/>
                <w:highlight w:val="none"/>
                <w:lang w:eastAsia="zh-CN"/>
              </w:rPr>
              <w:t>建工程</w:t>
            </w:r>
            <w:r>
              <w:rPr>
                <w:rFonts w:hint="default" w:ascii="Times New Roman" w:hAnsi="Times New Roman" w:eastAsia="宋体" w:cs="Times New Roman"/>
                <w:color w:val="auto"/>
                <w:sz w:val="21"/>
                <w:szCs w:val="21"/>
                <w:highlight w:val="none"/>
              </w:rPr>
              <w:t>年</w:t>
            </w:r>
            <w:r>
              <w:rPr>
                <w:rFonts w:hint="default" w:ascii="Times New Roman" w:hAnsi="Times New Roman" w:eastAsia="宋体" w:cs="Times New Roman"/>
                <w:color w:val="auto"/>
                <w:sz w:val="21"/>
                <w:szCs w:val="21"/>
                <w:highlight w:val="none"/>
                <w:lang w:eastAsia="zh-CN"/>
              </w:rPr>
              <w:t>存栏</w:t>
            </w:r>
            <w:r>
              <w:rPr>
                <w:rFonts w:hint="default" w:ascii="Times New Roman" w:hAnsi="Times New Roman" w:eastAsia="宋体" w:cs="Times New Roman"/>
                <w:color w:val="auto"/>
                <w:sz w:val="21"/>
                <w:szCs w:val="21"/>
                <w:highlight w:val="none"/>
                <w:lang w:val="en-US" w:eastAsia="zh-CN"/>
              </w:rPr>
              <w:t>肉</w:t>
            </w:r>
            <w:r>
              <w:rPr>
                <w:rFonts w:hint="default" w:ascii="Times New Roman" w:hAnsi="Times New Roman" w:eastAsia="宋体" w:cs="Times New Roman"/>
                <w:color w:val="auto"/>
                <w:sz w:val="21"/>
                <w:szCs w:val="21"/>
                <w:highlight w:val="none"/>
                <w:lang w:eastAsia="zh-CN"/>
              </w:rPr>
              <w:t>牛</w:t>
            </w:r>
            <w:r>
              <w:rPr>
                <w:rFonts w:hint="default" w:ascii="Times New Roman" w:hAnsi="Times New Roman" w:eastAsia="宋体" w:cs="Times New Roman"/>
                <w:color w:val="auto"/>
                <w:sz w:val="21"/>
                <w:szCs w:val="21"/>
                <w:highlight w:val="none"/>
                <w:lang w:val="en-US" w:eastAsia="zh-CN"/>
              </w:rPr>
              <w:t>50</w:t>
            </w:r>
            <w:r>
              <w:rPr>
                <w:rFonts w:hint="default" w:ascii="Times New Roman" w:hAnsi="Times New Roman" w:eastAsia="宋体" w:cs="Times New Roman"/>
                <w:color w:val="auto"/>
                <w:sz w:val="21"/>
                <w:szCs w:val="21"/>
                <w:highlight w:val="none"/>
              </w:rPr>
              <w:t>00头，</w:t>
            </w:r>
            <w:r>
              <w:rPr>
                <w:rFonts w:hint="default" w:ascii="Times New Roman" w:hAnsi="Times New Roman" w:eastAsia="宋体" w:cs="Times New Roman"/>
                <w:color w:val="auto"/>
                <w:sz w:val="21"/>
                <w:szCs w:val="21"/>
                <w:highlight w:val="none"/>
                <w:lang w:eastAsia="zh-CN"/>
              </w:rPr>
              <w:t>年</w:t>
            </w:r>
            <w:r>
              <w:rPr>
                <w:rFonts w:hint="default" w:ascii="Times New Roman" w:hAnsi="Times New Roman" w:eastAsia="宋体" w:cs="Times New Roman"/>
                <w:color w:val="auto"/>
                <w:sz w:val="21"/>
                <w:szCs w:val="21"/>
                <w:highlight w:val="none"/>
                <w:lang w:val="en-US" w:eastAsia="zh-CN"/>
              </w:rPr>
              <w:t>出栏肉牛1000头</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病死牛委托有资质单位处置。</w:t>
            </w:r>
            <w:r>
              <w:rPr>
                <w:rFonts w:hint="default" w:ascii="Times New Roman" w:hAnsi="Times New Roman" w:eastAsia="宋体" w:cs="Times New Roman"/>
                <w:color w:val="auto"/>
                <w:sz w:val="21"/>
                <w:szCs w:val="21"/>
                <w:highlight w:val="none"/>
              </w:rPr>
              <w:t>将进一步推动</w:t>
            </w:r>
            <w:r>
              <w:rPr>
                <w:rFonts w:hint="default" w:ascii="Times New Roman" w:hAnsi="Times New Roman" w:eastAsia="宋体" w:cs="Times New Roman"/>
                <w:color w:val="auto"/>
                <w:sz w:val="21"/>
                <w:szCs w:val="21"/>
                <w:highlight w:val="none"/>
                <w:lang w:val="en-US" w:eastAsia="zh-CN"/>
              </w:rPr>
              <w:t>双鸭山</w:t>
            </w:r>
            <w:r>
              <w:rPr>
                <w:rFonts w:hint="default" w:ascii="Times New Roman" w:hAnsi="Times New Roman" w:eastAsia="宋体" w:cs="Times New Roman"/>
                <w:color w:val="auto"/>
                <w:sz w:val="21"/>
                <w:szCs w:val="21"/>
                <w:highlight w:val="none"/>
              </w:rPr>
              <w:t>市及黑龙江省畜牧业的发展。</w:t>
            </w:r>
          </w:p>
        </w:tc>
        <w:tc>
          <w:tcPr>
            <w:tcW w:w="340" w:type="pct"/>
            <w:shd w:val="clear" w:color="auto" w:fill="auto"/>
            <w:vAlign w:val="center"/>
          </w:tcPr>
          <w:p w14:paraId="27ADE505">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70AA5F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79DDD4B5">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zh-CN"/>
              </w:rPr>
              <w:t>国务院办公厅</w:t>
            </w:r>
            <w:bookmarkStart w:id="28" w:name="_Hlk169513121"/>
            <w:r>
              <w:rPr>
                <w:rFonts w:hint="default" w:ascii="Times New Roman" w:hAnsi="Times New Roman" w:eastAsia="宋体" w:cs="Times New Roman"/>
                <w:color w:val="auto"/>
                <w:sz w:val="21"/>
                <w:szCs w:val="21"/>
                <w:highlight w:val="none"/>
                <w:lang w:val="zh-CN"/>
              </w:rPr>
              <w:t>《关于加快推进畜禽养殖废弃物资源化利用的意见》（国办发〔2017〕48号</w:t>
            </w:r>
            <w:r>
              <w:rPr>
                <w:rFonts w:hint="default" w:ascii="Times New Roman" w:hAnsi="Times New Roman" w:eastAsia="宋体" w:cs="Times New Roman"/>
                <w:color w:val="auto"/>
                <w:sz w:val="21"/>
                <w:szCs w:val="21"/>
                <w:highlight w:val="none"/>
                <w:lang w:val="zh-CN" w:eastAsia="zh-CN"/>
              </w:rPr>
              <w:t>）</w:t>
            </w:r>
            <w:bookmarkEnd w:id="28"/>
          </w:p>
        </w:tc>
        <w:tc>
          <w:tcPr>
            <w:tcW w:w="2104" w:type="pct"/>
            <w:shd w:val="clear" w:color="auto" w:fill="auto"/>
            <w:vAlign w:val="center"/>
          </w:tcPr>
          <w:p w14:paraId="4E3625AE">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zh-CN"/>
              </w:rPr>
              <w:t>到2020年，建立科学规范、权责清晰、约束有力的畜禽养殖废弃物资源化利用制度，构建种养循环发展机制，畜禽粪污综合利用率达到75%以上；规模养殖场粪污处理设施装备配套率达95%以上，大型规模养殖场粪污处理设施装备配套率提前一年达到100%。</w:t>
            </w:r>
          </w:p>
        </w:tc>
        <w:tc>
          <w:tcPr>
            <w:tcW w:w="1663" w:type="pct"/>
            <w:shd w:val="clear" w:color="auto" w:fill="auto"/>
            <w:vAlign w:val="center"/>
          </w:tcPr>
          <w:p w14:paraId="0E505CDB">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本项目年</w:t>
            </w:r>
            <w:r>
              <w:rPr>
                <w:rFonts w:hint="default" w:ascii="Times New Roman" w:hAnsi="Times New Roman" w:eastAsia="宋体" w:cs="Times New Roman"/>
                <w:color w:val="auto"/>
                <w:sz w:val="21"/>
                <w:szCs w:val="21"/>
                <w:highlight w:val="none"/>
                <w:lang w:eastAsia="zh-CN"/>
              </w:rPr>
              <w:t>存栏</w:t>
            </w:r>
            <w:r>
              <w:rPr>
                <w:rFonts w:hint="default" w:ascii="Times New Roman" w:hAnsi="Times New Roman" w:eastAsia="宋体" w:cs="Times New Roman"/>
                <w:color w:val="auto"/>
                <w:sz w:val="21"/>
                <w:szCs w:val="21"/>
                <w:highlight w:val="none"/>
                <w:lang w:val="en-US" w:eastAsia="zh-CN"/>
              </w:rPr>
              <w:t>肉</w:t>
            </w:r>
            <w:r>
              <w:rPr>
                <w:rFonts w:hint="default" w:ascii="Times New Roman" w:hAnsi="Times New Roman" w:eastAsia="宋体" w:cs="Times New Roman"/>
                <w:color w:val="auto"/>
                <w:sz w:val="21"/>
                <w:szCs w:val="21"/>
                <w:highlight w:val="none"/>
                <w:lang w:eastAsia="zh-CN"/>
              </w:rPr>
              <w:t>牛</w:t>
            </w:r>
            <w:r>
              <w:rPr>
                <w:rFonts w:hint="default" w:ascii="Times New Roman" w:hAnsi="Times New Roman" w:eastAsia="宋体" w:cs="Times New Roman"/>
                <w:color w:val="auto"/>
                <w:sz w:val="21"/>
                <w:szCs w:val="21"/>
                <w:highlight w:val="none"/>
                <w:lang w:val="en-US" w:eastAsia="zh-CN"/>
              </w:rPr>
              <w:t>50</w:t>
            </w:r>
            <w:r>
              <w:rPr>
                <w:rFonts w:hint="default" w:ascii="Times New Roman" w:hAnsi="Times New Roman" w:eastAsia="宋体" w:cs="Times New Roman"/>
                <w:color w:val="auto"/>
                <w:sz w:val="21"/>
                <w:szCs w:val="21"/>
                <w:highlight w:val="none"/>
              </w:rPr>
              <w:t>00头，</w:t>
            </w:r>
            <w:r>
              <w:rPr>
                <w:rFonts w:hint="default" w:ascii="Times New Roman" w:hAnsi="Times New Roman" w:eastAsia="宋体" w:cs="Times New Roman"/>
                <w:color w:val="auto"/>
                <w:sz w:val="21"/>
                <w:szCs w:val="21"/>
                <w:highlight w:val="none"/>
                <w:lang w:eastAsia="zh-CN"/>
              </w:rPr>
              <w:t>年</w:t>
            </w:r>
            <w:r>
              <w:rPr>
                <w:rFonts w:hint="default" w:ascii="Times New Roman" w:hAnsi="Times New Roman" w:eastAsia="宋体" w:cs="Times New Roman"/>
                <w:color w:val="auto"/>
                <w:sz w:val="21"/>
                <w:szCs w:val="21"/>
                <w:highlight w:val="none"/>
                <w:lang w:val="en-US" w:eastAsia="zh-CN"/>
              </w:rPr>
              <w:t>出栏肉牛1000头</w:t>
            </w:r>
            <w:r>
              <w:rPr>
                <w:rFonts w:hint="default" w:ascii="Times New Roman" w:hAnsi="Times New Roman" w:eastAsia="宋体" w:cs="Times New Roman"/>
                <w:color w:val="auto"/>
                <w:sz w:val="21"/>
                <w:szCs w:val="21"/>
                <w:highlight w:val="none"/>
              </w:rPr>
              <w:t>，本项目属于</w:t>
            </w:r>
            <w:r>
              <w:rPr>
                <w:rFonts w:hint="default" w:ascii="Times New Roman" w:hAnsi="Times New Roman" w:eastAsia="宋体" w:cs="Times New Roman"/>
                <w:color w:val="auto"/>
                <w:sz w:val="21"/>
                <w:szCs w:val="21"/>
                <w:highlight w:val="none"/>
                <w:lang w:val="en-US" w:eastAsia="zh-CN"/>
              </w:rPr>
              <w:t>肉</w:t>
            </w:r>
            <w:r>
              <w:rPr>
                <w:rFonts w:hint="default" w:ascii="Times New Roman" w:hAnsi="Times New Roman" w:eastAsia="宋体" w:cs="Times New Roman"/>
                <w:color w:val="auto"/>
                <w:sz w:val="21"/>
                <w:szCs w:val="21"/>
                <w:highlight w:val="none"/>
              </w:rPr>
              <w:t>牛规模化养殖、标准化生产、产业化经营、社会化服务的现代畜牧业生产体系</w:t>
            </w:r>
            <w:r>
              <w:rPr>
                <w:rFonts w:hint="default" w:ascii="Times New Roman" w:hAnsi="Times New Roman" w:eastAsia="宋体" w:cs="Times New Roman"/>
                <w:color w:val="auto"/>
                <w:sz w:val="21"/>
                <w:szCs w:val="21"/>
                <w:highlight w:val="none"/>
                <w:lang w:eastAsia="zh-CN"/>
              </w:rPr>
              <w:t>，项目牛粪最终作为有机肥原料生产有机肥施用于周边农田，</w:t>
            </w:r>
            <w:r>
              <w:rPr>
                <w:rFonts w:hint="default" w:ascii="Times New Roman" w:hAnsi="Times New Roman" w:eastAsia="宋体" w:cs="Times New Roman"/>
                <w:color w:val="auto"/>
                <w:sz w:val="21"/>
                <w:szCs w:val="21"/>
                <w:highlight w:val="none"/>
                <w:lang w:val="zh-CN"/>
              </w:rPr>
              <w:t>畜禽粪污综合利用率为100%。</w:t>
            </w:r>
          </w:p>
        </w:tc>
        <w:tc>
          <w:tcPr>
            <w:tcW w:w="340" w:type="pct"/>
            <w:shd w:val="clear" w:color="auto" w:fill="auto"/>
            <w:vAlign w:val="center"/>
          </w:tcPr>
          <w:p w14:paraId="3C06EC77">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4AD18E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6A342B1">
            <w:pPr>
              <w:pStyle w:val="38"/>
              <w:rPr>
                <w:rFonts w:hint="default" w:ascii="Times New Roman" w:hAnsi="Times New Roman" w:eastAsia="宋体" w:cs="Times New Roman"/>
                <w:color w:val="auto"/>
                <w:sz w:val="21"/>
                <w:szCs w:val="21"/>
                <w:highlight w:val="none"/>
                <w:lang w:val="zh-CN"/>
              </w:rPr>
            </w:pPr>
            <w:bookmarkStart w:id="29" w:name="_Hlk136848532"/>
            <w:r>
              <w:rPr>
                <w:rFonts w:hint="default" w:ascii="Times New Roman" w:hAnsi="Times New Roman" w:eastAsia="宋体" w:cs="Times New Roman"/>
                <w:color w:val="auto"/>
                <w:sz w:val="21"/>
                <w:szCs w:val="21"/>
                <w:highlight w:val="none"/>
                <w:lang w:val="zh-CN"/>
              </w:rPr>
              <w:t>《黑龙江省畜禽养殖废弃物资源化利用工作方案》（黑政办规[2017]77号）</w:t>
            </w:r>
            <w:bookmarkEnd w:id="29"/>
          </w:p>
        </w:tc>
        <w:tc>
          <w:tcPr>
            <w:tcW w:w="2104" w:type="pct"/>
            <w:shd w:val="clear" w:color="auto" w:fill="auto"/>
            <w:vAlign w:val="center"/>
          </w:tcPr>
          <w:p w14:paraId="20425FFD">
            <w:pPr>
              <w:pStyle w:val="38"/>
              <w:jc w:val="both"/>
              <w:rPr>
                <w:rFonts w:hint="default" w:ascii="Times New Roman" w:hAnsi="Times New Roman" w:eastAsia="宋体" w:cs="Times New Roman"/>
                <w:color w:val="auto"/>
                <w:sz w:val="21"/>
                <w:szCs w:val="21"/>
                <w:highlight w:val="none"/>
                <w:lang w:val="zh-CN"/>
              </w:rPr>
            </w:pPr>
            <w:r>
              <w:rPr>
                <w:rFonts w:hint="default" w:ascii="Times New Roman" w:hAnsi="Times New Roman" w:eastAsia="宋体" w:cs="Times New Roman"/>
                <w:color w:val="auto"/>
                <w:sz w:val="21"/>
                <w:szCs w:val="21"/>
                <w:highlight w:val="none"/>
              </w:rPr>
              <w:t>结合我省实际，重点推广以下模式：二是“污水肥料化利用”模式。对于有配套农田的规模养殖场，养殖污水通过</w:t>
            </w:r>
            <w:r>
              <w:rPr>
                <w:rFonts w:hint="default" w:ascii="Times New Roman" w:hAnsi="Times New Roman" w:eastAsia="宋体" w:cs="Times New Roman"/>
                <w:color w:val="auto"/>
                <w:sz w:val="21"/>
                <w:szCs w:val="21"/>
                <w:highlight w:val="none"/>
                <w:lang w:eastAsia="zh-CN"/>
              </w:rPr>
              <w:t>氧化塘</w:t>
            </w:r>
            <w:r>
              <w:rPr>
                <w:rFonts w:hint="default" w:ascii="Times New Roman" w:hAnsi="Times New Roman" w:eastAsia="宋体" w:cs="Times New Roman"/>
                <w:color w:val="auto"/>
                <w:sz w:val="21"/>
                <w:szCs w:val="21"/>
                <w:highlight w:val="none"/>
              </w:rPr>
              <w:t>、常温发酵囊或沼气设施进行无害化处理，在作物收获后或播种前作为底肥施用。</w:t>
            </w:r>
          </w:p>
        </w:tc>
        <w:tc>
          <w:tcPr>
            <w:tcW w:w="1663" w:type="pct"/>
            <w:shd w:val="clear" w:color="auto" w:fill="auto"/>
            <w:vAlign w:val="center"/>
          </w:tcPr>
          <w:p w14:paraId="2D691EAA">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项目牛粪最终作为有机肥原料生产有机肥，施用于周边农田，</w:t>
            </w:r>
            <w:r>
              <w:rPr>
                <w:rFonts w:hint="default" w:ascii="Times New Roman" w:hAnsi="Times New Roman" w:eastAsia="宋体" w:cs="Times New Roman"/>
                <w:color w:val="auto"/>
                <w:sz w:val="21"/>
                <w:szCs w:val="21"/>
                <w:highlight w:val="none"/>
                <w:lang w:val="zh-CN"/>
              </w:rPr>
              <w:t>畜禽粪污综合利用率为100%。</w:t>
            </w:r>
          </w:p>
        </w:tc>
        <w:tc>
          <w:tcPr>
            <w:tcW w:w="340" w:type="pct"/>
            <w:shd w:val="clear" w:color="auto" w:fill="auto"/>
            <w:vAlign w:val="center"/>
          </w:tcPr>
          <w:p w14:paraId="34CA2A9D">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符合</w:t>
            </w:r>
          </w:p>
        </w:tc>
      </w:tr>
      <w:tr w14:paraId="554F14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restart"/>
            <w:shd w:val="clear" w:color="auto" w:fill="auto"/>
            <w:vAlign w:val="center"/>
          </w:tcPr>
          <w:p w14:paraId="2B73B661">
            <w:pPr>
              <w:pStyle w:val="38"/>
              <w:rPr>
                <w:rFonts w:hint="default" w:ascii="Times New Roman" w:hAnsi="Times New Roman" w:eastAsia="宋体" w:cs="Times New Roman"/>
                <w:bCs/>
                <w:color w:val="auto"/>
                <w:sz w:val="21"/>
                <w:szCs w:val="21"/>
                <w:highlight w:val="none"/>
              </w:rPr>
            </w:pPr>
            <w:bookmarkStart w:id="30" w:name="_Hlk136848549"/>
            <w:r>
              <w:rPr>
                <w:rFonts w:hint="default" w:ascii="Times New Roman" w:hAnsi="Times New Roman" w:eastAsia="宋体" w:cs="Times New Roman"/>
                <w:color w:val="auto"/>
                <w:sz w:val="21"/>
                <w:szCs w:val="21"/>
                <w:highlight w:val="none"/>
              </w:rPr>
              <w:t>《关于做好畜禽规模养殖项目环境影响评价管理工作的通知》(环办环评〔2018〕31号)</w:t>
            </w:r>
            <w:bookmarkEnd w:id="30"/>
          </w:p>
        </w:tc>
        <w:tc>
          <w:tcPr>
            <w:tcW w:w="2104" w:type="pct"/>
            <w:shd w:val="clear" w:color="auto" w:fill="auto"/>
            <w:vAlign w:val="center"/>
          </w:tcPr>
          <w:p w14:paraId="09F4F8DE">
            <w:pPr>
              <w:pStyle w:val="2"/>
              <w:snapToGrid w:val="0"/>
              <w:ind w:left="0" w:leftChars="0" w:firstLine="0" w:firstLineChars="0"/>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1）项目环评应充分论证选址的环境合理性，选址应避开当地划定的禁止养殖区域，并与区域主体功能区规划、环境功能区划、土地利用规划、城乡规划、畜牧业发展规划、畜禽养殖污染防治规划等规划相协调。当地未划定禁止养殖区域的，应避开饮用水水源保护区、风景名胜区、自然保护区的核心区和缓冲区、村镇人口集中区域，以及法律、法规规定的禁止养殖区域。</w:t>
            </w:r>
          </w:p>
          <w:p w14:paraId="494FB8D5">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2"/>
                <w:sz w:val="21"/>
                <w:szCs w:val="21"/>
                <w:highlight w:val="none"/>
                <w:lang w:val="zh-CN"/>
              </w:rPr>
              <w:t>（2）项目环评应结合环境保护要求优化养殖场区内部布置。畜禽养殖区及畜禽粪污贮存、处理和畜禽尸体无害化处理等产生恶臭影响的设施，应位于养殖场区主导风向的下风向位置，并尽量远离周边环境保护目标。参照《畜禽养殖业污染防治技术规范》，并根据恶臭污染物无组织排放源强，以及当地的环境及气象等因素，按照《环境影响评价技术导则大气环境》要求计算大气环境防护距离，作为养殖场选址以及周边规划控制的依据，减轻对周围环境保护目标的不利影响。</w:t>
            </w:r>
          </w:p>
        </w:tc>
        <w:tc>
          <w:tcPr>
            <w:tcW w:w="1663" w:type="pct"/>
            <w:shd w:val="clear" w:color="auto" w:fill="auto"/>
            <w:vAlign w:val="center"/>
          </w:tcPr>
          <w:p w14:paraId="271D7861">
            <w:pPr>
              <w:pStyle w:val="38"/>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（1）本项目充分论证了环境合理性，不位于当地禁养区内，符合当地主体功能区规划；不位于饮水水源保护区、风景名胜区自然保护区、村镇人口集中区域等。</w:t>
            </w:r>
          </w:p>
          <w:p w14:paraId="65E8C226">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highlight w:val="none"/>
              </w:rPr>
              <w:t>（2）根据《环境影响评价技术导则 大气环境》（HJ2.2-2018）中“评价等级判定及大气环境影响预测与评价”的要求，经估算模型计算，本项目不设置大气环境防护距离；但根据《畜禽养殖业污染防治技术规范》（HJ/T81-2001）要求，项目设置</w:t>
            </w:r>
            <w:r>
              <w:rPr>
                <w:rFonts w:hint="default" w:ascii="Times New Roman" w:hAnsi="Times New Roman" w:eastAsia="宋体" w:cs="Times New Roman"/>
                <w:color w:val="auto"/>
                <w:highlight w:val="none"/>
                <w:lang w:eastAsia="zh-CN"/>
              </w:rPr>
              <w:t>厂界</w:t>
            </w:r>
            <w:r>
              <w:rPr>
                <w:rFonts w:hint="default" w:ascii="Times New Roman" w:hAnsi="Times New Roman" w:eastAsia="宋体" w:cs="Times New Roman"/>
                <w:color w:val="auto"/>
                <w:highlight w:val="none"/>
              </w:rPr>
              <w:t>外500m为环境防护距离，以</w:t>
            </w:r>
            <w:r>
              <w:rPr>
                <w:rFonts w:hint="default" w:ascii="Times New Roman" w:hAnsi="Times New Roman" w:eastAsia="宋体" w:cs="Times New Roman"/>
                <w:color w:val="auto"/>
                <w:szCs w:val="21"/>
                <w:highlight w:val="none"/>
              </w:rPr>
              <w:t>减轻对周围环境保护目标的不利影响</w:t>
            </w:r>
            <w:r>
              <w:rPr>
                <w:rFonts w:hint="eastAsia" w:ascii="Times New Roman" w:hAnsi="Times New Roman" w:eastAsia="宋体" w:cs="Times New Roman"/>
                <w:color w:val="auto"/>
                <w:szCs w:val="21"/>
                <w:highlight w:val="none"/>
                <w:lang w:eastAsia="zh-CN"/>
              </w:rPr>
              <w:t>。</w:t>
            </w:r>
          </w:p>
        </w:tc>
        <w:tc>
          <w:tcPr>
            <w:tcW w:w="340" w:type="pct"/>
            <w:shd w:val="clear" w:color="auto" w:fill="auto"/>
            <w:vAlign w:val="center"/>
          </w:tcPr>
          <w:p w14:paraId="7FE37D69">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009324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continue"/>
            <w:shd w:val="clear" w:color="auto" w:fill="auto"/>
            <w:vAlign w:val="center"/>
          </w:tcPr>
          <w:p w14:paraId="7373B4C5">
            <w:pPr>
              <w:pStyle w:val="38"/>
              <w:rPr>
                <w:rFonts w:hint="default" w:ascii="Times New Roman" w:hAnsi="Times New Roman" w:eastAsia="宋体" w:cs="Times New Roman"/>
                <w:color w:val="auto"/>
                <w:sz w:val="21"/>
                <w:szCs w:val="21"/>
                <w:highlight w:val="none"/>
              </w:rPr>
            </w:pPr>
          </w:p>
        </w:tc>
        <w:tc>
          <w:tcPr>
            <w:tcW w:w="2104" w:type="pct"/>
            <w:shd w:val="clear" w:color="auto" w:fill="auto"/>
            <w:vAlign w:val="center"/>
          </w:tcPr>
          <w:p w14:paraId="7F51863E">
            <w:pPr>
              <w:pStyle w:val="2"/>
              <w:snapToGrid w:val="0"/>
              <w:ind w:left="0" w:leftChars="0" w:firstLine="0" w:firstLineChars="0"/>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项目环评应以农业绿色发展为导向，优化工艺，通过采取优化饲料配方、提高饲养技术等措施，从源头减少粪污的产生量。鼓励采取干清粪方式，采取水泡粪工艺的应最大限度降低用水量。场区应采取雨污分离措施，防止雨水进入粪污收集系统。</w:t>
            </w:r>
          </w:p>
          <w:p w14:paraId="358EE068">
            <w:pPr>
              <w:pStyle w:val="2"/>
              <w:snapToGrid w:val="0"/>
              <w:ind w:left="0" w:leftChars="0" w:firstLine="0" w:firstLineChars="0"/>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项目环评应结合地域、畜种、规模等特点以及地方相关部门制定的畜禽粪污综合利用目标等要求，加强畜禽养殖粪污资源化利用，因地制宜选择经济高效适用的处理利用模式，采取粪污全量收集还田利用、污水肥料化利用、粪便垫料回用、异位发酵床、粪污专业化能源利用等模式处理利用畜禽粪污，促进畜禽规模养殖项目“种养结合”绿色发展。</w:t>
            </w:r>
          </w:p>
          <w:p w14:paraId="2917123B">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2"/>
                <w:sz w:val="21"/>
                <w:szCs w:val="21"/>
                <w:highlight w:val="none"/>
                <w:lang w:val="zh-CN"/>
              </w:rPr>
              <w:t>鼓励根据土地承载能力确定畜禽养殖场的适宜养殖规模，土地承载能力可采用农业农村主管部门发布的测算技术方法确定。耕地面积大、土地消纳能力相对较高的区域，畜禽养殖场产生的粪污应力争实现全部就地就近资源化利用或委托第三方处理;当土地消纳能力不足时，应进一步提高资源化利用能力或适当减少养殖规模。鼓励依托符合环保要求的专业化粪污处理利用企业，提高畜禽养殖粪污集中收集利用能力。环评应明确畜禽养殖粪污资源化利用的主体，严格落实利用渠道或途径，确保资源化利用有效实施。</w:t>
            </w:r>
          </w:p>
        </w:tc>
        <w:tc>
          <w:tcPr>
            <w:tcW w:w="1663" w:type="pct"/>
            <w:shd w:val="clear" w:color="auto" w:fill="auto"/>
            <w:vAlign w:val="center"/>
          </w:tcPr>
          <w:p w14:paraId="373A2648">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highlight w:val="none"/>
              </w:rPr>
              <w:t>本项目生活污水排入化粪池</w:t>
            </w: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lang w:val="en-US" w:eastAsia="zh-CN"/>
              </w:rPr>
              <w:t>定期清掏不外排，</w:t>
            </w:r>
            <w:r>
              <w:rPr>
                <w:rFonts w:hint="default" w:ascii="Times New Roman" w:hAnsi="Times New Roman" w:cs="Times New Roman"/>
                <w:color w:val="auto"/>
                <w:spacing w:val="-1"/>
                <w:highlight w:val="none"/>
              </w:rPr>
              <w:t>干撒式发酵床发酵菌剂可将牛尿、牛粪一部分降解为水蒸气和二氧化碳，另一部分转化为粗蛋白、菌体蛋白和维生素等营养物质。从源头上消除了粪尿对生态环境的污染</w:t>
            </w:r>
            <w:r>
              <w:rPr>
                <w:rFonts w:hint="default" w:ascii="Times New Roman" w:hAnsi="Times New Roman" w:cs="Times New Roman"/>
                <w:color w:val="auto"/>
                <w:spacing w:val="-1"/>
                <w:highlight w:val="none"/>
                <w:lang w:eastAsia="zh-CN"/>
              </w:rPr>
              <w:t>，</w:t>
            </w:r>
            <w:r>
              <w:rPr>
                <w:rFonts w:hint="default" w:ascii="Times New Roman" w:hAnsi="Times New Roman" w:cs="Times New Roman"/>
                <w:color w:val="auto"/>
                <w:spacing w:val="-1"/>
                <w:highlight w:val="none"/>
                <w:lang w:val="en-US" w:eastAsia="zh-CN"/>
              </w:rPr>
              <w:t>不外排</w:t>
            </w:r>
            <w:r>
              <w:rPr>
                <w:rFonts w:hint="default" w:ascii="Times New Roman" w:hAnsi="Times New Roman" w:cs="Times New Roman"/>
                <w:color w:val="auto"/>
                <w:spacing w:val="-1"/>
                <w:highlight w:val="none"/>
              </w:rPr>
              <w:t>。</w:t>
            </w:r>
            <w:r>
              <w:rPr>
                <w:rFonts w:hint="default" w:ascii="Times New Roman" w:hAnsi="Times New Roman" w:cs="Times New Roman"/>
                <w:color w:val="auto"/>
                <w:spacing w:val="-1"/>
                <w:highlight w:val="none"/>
                <w:lang w:val="en-US" w:eastAsia="en-US"/>
              </w:rPr>
              <w:t>本项目</w:t>
            </w:r>
            <w:r>
              <w:rPr>
                <w:rFonts w:hint="default" w:ascii="Times New Roman" w:hAnsi="Times New Roman" w:cs="Times New Roman"/>
                <w:color w:val="auto"/>
                <w:spacing w:val="-1"/>
                <w:highlight w:val="none"/>
                <w:lang w:val="en-US" w:eastAsia="zh-CN"/>
              </w:rPr>
              <w:t>牛舍更换的发酵床垫料暂存于粪污储存间，定期外售至有机肥厂。</w:t>
            </w:r>
            <w:r>
              <w:rPr>
                <w:rFonts w:hint="default" w:ascii="Times New Roman" w:hAnsi="Times New Roman" w:eastAsia="宋体" w:cs="Times New Roman"/>
                <w:color w:val="auto"/>
                <w:highlight w:val="none"/>
              </w:rPr>
              <w:t>实现粪污资源化利用；病死牛委托有资质单位进行规范处置；医疗废物</w:t>
            </w: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lang w:val="en-US" w:eastAsia="zh-CN"/>
              </w:rPr>
              <w:t>防疫过程产生的废注射器和废药瓶、病牛治疗过程产生的废注射器和废药瓶）</w:t>
            </w:r>
            <w:r>
              <w:rPr>
                <w:rFonts w:hint="default" w:ascii="Times New Roman" w:hAnsi="Times New Roman" w:eastAsia="宋体" w:cs="Times New Roman"/>
                <w:color w:val="auto"/>
                <w:highlight w:val="none"/>
              </w:rPr>
              <w:t>暂存危险废物贮存库，定期交有资质单位处置</w:t>
            </w:r>
            <w:r>
              <w:rPr>
                <w:rFonts w:hint="default" w:ascii="Times New Roman" w:hAnsi="Times New Roman" w:eastAsia="宋体" w:cs="Times New Roman"/>
                <w:color w:val="auto"/>
                <w:szCs w:val="21"/>
                <w:highlight w:val="none"/>
              </w:rPr>
              <w:t>。可实现养殖废弃物综合利用。</w:t>
            </w:r>
          </w:p>
        </w:tc>
        <w:tc>
          <w:tcPr>
            <w:tcW w:w="340" w:type="pct"/>
            <w:shd w:val="clear" w:color="auto" w:fill="auto"/>
            <w:vAlign w:val="center"/>
          </w:tcPr>
          <w:p w14:paraId="583911A1">
            <w:pPr>
              <w:pStyle w:val="38"/>
              <w:rPr>
                <w:rFonts w:hint="default" w:ascii="Times New Roman" w:hAnsi="Times New Roman" w:eastAsia="宋体" w:cs="Times New Roman"/>
                <w:color w:val="auto"/>
                <w:sz w:val="21"/>
                <w:szCs w:val="21"/>
                <w:highlight w:val="none"/>
                <w:lang w:eastAsia="zh-CN"/>
              </w:rPr>
            </w:pPr>
          </w:p>
        </w:tc>
      </w:tr>
      <w:tr w14:paraId="4D55B4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continue"/>
            <w:shd w:val="clear" w:color="auto" w:fill="auto"/>
            <w:vAlign w:val="center"/>
          </w:tcPr>
          <w:p w14:paraId="525C0A49">
            <w:pPr>
              <w:pStyle w:val="38"/>
              <w:rPr>
                <w:rFonts w:hint="default" w:ascii="Times New Roman" w:hAnsi="Times New Roman" w:eastAsia="宋体" w:cs="Times New Roman"/>
                <w:color w:val="auto"/>
                <w:sz w:val="21"/>
                <w:szCs w:val="21"/>
                <w:highlight w:val="none"/>
              </w:rPr>
            </w:pPr>
          </w:p>
        </w:tc>
        <w:tc>
          <w:tcPr>
            <w:tcW w:w="2104" w:type="pct"/>
            <w:shd w:val="clear" w:color="auto" w:fill="auto"/>
            <w:vAlign w:val="center"/>
          </w:tcPr>
          <w:p w14:paraId="434AB848">
            <w:pPr>
              <w:pStyle w:val="2"/>
              <w:snapToGrid w:val="0"/>
              <w:ind w:left="0" w:leftChars="0" w:firstLine="0" w:firstLineChars="0"/>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项目环评应强化对粪污的治理措施，加强畜禽养殖粪污资源化利用过程中的污染控制，推进粪污资源的良性利用，应对无法资源化利用的粪污采取治理措施确保达标排放。畜禽规模养殖项目应配套建设与养殖规模相匹配的雨污分离设施，以及粪污贮存、处理和利用设施等，委托满足相关环保要求的第三方代为利用或者处理的，可不自行建设粪污处理或利用设施。</w:t>
            </w:r>
          </w:p>
          <w:p w14:paraId="4C213F7F">
            <w:pPr>
              <w:pStyle w:val="2"/>
              <w:snapToGrid w:val="0"/>
              <w:ind w:left="0" w:leftChars="0" w:firstLine="0" w:firstLineChars="0"/>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项目环评应明确畜禽粪污贮存、处理和利用措施。贮存池应采取有效的防雨、防渗和防溢流措施，防止畜禽粪污污染地下水。贮存池总有效容积应根据贮存期确定。进行资源化利用的畜禽粪污须处理并达到畜禽粪便还田、无害化处理等技术规范要求。畜禽规模养殖项目配套建设沼气工程的，应充分考虑沼气制备及贮存过程中的环境风险，制定环境风险防范措施及应急预案。</w:t>
            </w:r>
          </w:p>
          <w:p w14:paraId="024293B5">
            <w:pPr>
              <w:pStyle w:val="2"/>
              <w:snapToGrid w:val="0"/>
              <w:ind w:left="0" w:leftChars="0" w:firstLine="0" w:firstLineChars="0"/>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畜禽养殖粪污作为肥料还田利用的，应明确畜禽养殖场与还田利用的林地、农田之间的输送系统及环境管理措施，严格控制肥水输送沿途的弃、撒和跑冒滴漏，防止进入外部水体。对无法采取资源化利用的畜禽养殖废水应明确处理措施及工艺，确保达标排放或消毒回用，排放去向应符合国家和地方的有关规定，不得排入敏感水域和有特殊功能的水域。</w:t>
            </w:r>
          </w:p>
          <w:p w14:paraId="2607185A">
            <w:pPr>
              <w:pStyle w:val="38"/>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依据相关法律法规和技术规范，制定明确的病死畜禽处理、处置方案，及时处理病死畜禽。针对畜禽规模养殖项目的恶臭影响，可采取控制饲养密度、改善舍内通风、及时清粪、采用除臭剂、集中收集处理等措施，确保项目恶臭污染物达标排放。</w:t>
            </w:r>
          </w:p>
        </w:tc>
        <w:tc>
          <w:tcPr>
            <w:tcW w:w="1663" w:type="pct"/>
            <w:shd w:val="clear" w:color="auto" w:fill="auto"/>
            <w:vAlign w:val="center"/>
          </w:tcPr>
          <w:p w14:paraId="783DE206">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本项目场区采取雨污分流；</w:t>
            </w:r>
            <w:r>
              <w:rPr>
                <w:rFonts w:hint="default" w:ascii="Times New Roman" w:hAnsi="Times New Roman" w:eastAsia="宋体" w:cs="Times New Roman"/>
                <w:color w:val="auto"/>
                <w:highlight w:val="none"/>
              </w:rPr>
              <w:t>本项目养殖废水</w:t>
            </w:r>
            <w:r>
              <w:rPr>
                <w:rFonts w:hint="default" w:ascii="Times New Roman" w:hAnsi="Times New Roman" w:cs="Times New Roman"/>
                <w:color w:val="auto"/>
                <w:spacing w:val="-1"/>
                <w:highlight w:val="none"/>
              </w:rPr>
              <w:t>干撒式发酵床发酵菌剂可将牛尿、牛粪一部分降解为水蒸气和二氧化碳，另一部分转化为粗蛋白、菌体蛋白和维生素等营养物质。从源头上消除了粪尿对生态环境的污染</w:t>
            </w:r>
            <w:r>
              <w:rPr>
                <w:rFonts w:hint="default" w:ascii="Times New Roman" w:hAnsi="Times New Roman" w:cs="Times New Roman"/>
                <w:color w:val="auto"/>
                <w:spacing w:val="-1"/>
                <w:highlight w:val="none"/>
                <w:lang w:eastAsia="zh-CN"/>
              </w:rPr>
              <w:t>，</w:t>
            </w:r>
            <w:r>
              <w:rPr>
                <w:rFonts w:hint="default" w:ascii="Times New Roman" w:hAnsi="Times New Roman" w:cs="Times New Roman"/>
                <w:color w:val="auto"/>
                <w:spacing w:val="-1"/>
                <w:highlight w:val="none"/>
                <w:lang w:val="en-US" w:eastAsia="zh-CN"/>
              </w:rPr>
              <w:t>不外排</w:t>
            </w:r>
            <w:r>
              <w:rPr>
                <w:rFonts w:hint="default" w:ascii="Times New Roman" w:hAnsi="Times New Roman" w:eastAsia="宋体" w:cs="Times New Roman"/>
                <w:color w:val="auto"/>
                <w:highlight w:val="none"/>
              </w:rPr>
              <w:t>；</w:t>
            </w:r>
            <w:r>
              <w:rPr>
                <w:rFonts w:hint="default" w:ascii="Times New Roman" w:hAnsi="Times New Roman" w:eastAsia="宋体" w:cs="Times New Roman"/>
                <w:color w:val="auto"/>
                <w:highlight w:val="none"/>
                <w:lang w:val="en-US" w:eastAsia="en-US"/>
              </w:rPr>
              <w:t>本项目</w:t>
            </w:r>
            <w:r>
              <w:rPr>
                <w:rFonts w:hint="default" w:ascii="Times New Roman" w:hAnsi="Times New Roman" w:eastAsia="宋体" w:cs="Times New Roman"/>
                <w:color w:val="auto"/>
                <w:highlight w:val="none"/>
                <w:lang w:val="en-US" w:eastAsia="zh-CN"/>
              </w:rPr>
              <w:t>牛舍更换的发酵床垫料暂存于粪污储存间，定期外售至有机肥厂，粪污储存间为重点防渗区，</w:t>
            </w:r>
            <w:r>
              <w:rPr>
                <w:rFonts w:hint="default" w:ascii="Times New Roman" w:hAnsi="Times New Roman" w:eastAsia="宋体" w:cs="Times New Roman"/>
                <w:color w:val="auto"/>
                <w:highlight w:val="none"/>
              </w:rPr>
              <w:t>实现粪污资源化利用；</w:t>
            </w:r>
            <w:r>
              <w:rPr>
                <w:rFonts w:hint="default" w:ascii="Times New Roman" w:hAnsi="Times New Roman" w:eastAsia="宋体" w:cs="Times New Roman"/>
                <w:color w:val="auto"/>
                <w:szCs w:val="21"/>
                <w:highlight w:val="none"/>
              </w:rPr>
              <w:t>本项目</w:t>
            </w:r>
            <w:r>
              <w:rPr>
                <w:rFonts w:hint="eastAsia" w:ascii="Times New Roman" w:hAnsi="Times New Roman" w:eastAsia="宋体" w:cs="Times New Roman"/>
                <w:color w:val="auto"/>
                <w:szCs w:val="21"/>
                <w:highlight w:val="none"/>
                <w:lang w:val="en-US" w:eastAsia="zh-CN"/>
              </w:rPr>
              <w:t>养殖区</w:t>
            </w:r>
            <w:r>
              <w:rPr>
                <w:rFonts w:hint="default" w:ascii="Times New Roman" w:hAnsi="Times New Roman" w:eastAsia="宋体" w:cs="Times New Roman"/>
                <w:color w:val="auto"/>
                <w:szCs w:val="21"/>
                <w:highlight w:val="none"/>
              </w:rPr>
              <w:t>采取</w:t>
            </w:r>
            <w:r>
              <w:rPr>
                <w:rFonts w:hint="default" w:ascii="Times New Roman" w:hAnsi="Times New Roman" w:eastAsia="宋体" w:cs="Times New Roman"/>
                <w:color w:val="auto"/>
                <w:szCs w:val="21"/>
                <w:highlight w:val="none"/>
                <w:lang w:val="en-US" w:eastAsia="zh-CN"/>
              </w:rPr>
              <w:t>喷洒除臭剂、</w:t>
            </w:r>
            <w:r>
              <w:rPr>
                <w:rFonts w:hint="default" w:ascii="Times New Roman" w:hAnsi="Times New Roman" w:eastAsia="宋体" w:cs="Times New Roman"/>
                <w:color w:val="auto"/>
                <w:szCs w:val="21"/>
                <w:highlight w:val="none"/>
              </w:rPr>
              <w:t>改善舍内通风的</w:t>
            </w:r>
            <w:r>
              <w:rPr>
                <w:rFonts w:hint="default" w:ascii="Times New Roman" w:hAnsi="Times New Roman" w:eastAsia="宋体" w:cs="Times New Roman"/>
                <w:color w:val="auto"/>
                <w:szCs w:val="21"/>
                <w:highlight w:val="none"/>
                <w:lang w:val="en-US" w:eastAsia="zh-CN"/>
              </w:rPr>
              <w:t>方式减轻</w:t>
            </w:r>
            <w:r>
              <w:rPr>
                <w:rFonts w:hint="default" w:ascii="Times New Roman" w:hAnsi="Times New Roman" w:eastAsia="宋体" w:cs="Times New Roman"/>
                <w:color w:val="auto"/>
                <w:szCs w:val="21"/>
                <w:highlight w:val="none"/>
              </w:rPr>
              <w:t>恶臭污染</w:t>
            </w:r>
            <w:r>
              <w:rPr>
                <w:rFonts w:hint="eastAsia" w:ascii="Times New Roman" w:hAnsi="Times New Roman" w:eastAsia="宋体" w:cs="Times New Roman"/>
                <w:color w:val="auto"/>
                <w:szCs w:val="21"/>
                <w:highlight w:val="none"/>
                <w:lang w:eastAsia="zh-CN"/>
              </w:rPr>
              <w:t>，</w:t>
            </w:r>
            <w:r>
              <w:rPr>
                <w:rFonts w:hint="eastAsia" w:ascii="Times New Roman" w:hAnsi="Times New Roman" w:eastAsia="宋体" w:cs="Times New Roman"/>
                <w:color w:val="auto"/>
                <w:szCs w:val="21"/>
                <w:highlight w:val="none"/>
                <w:lang w:val="en-US" w:eastAsia="zh-CN"/>
              </w:rPr>
              <w:t>粪污储存间的恶臭气体采取集气罩收集后通过活性炭吸附+15m高排气筒</w:t>
            </w:r>
            <w:r>
              <w:rPr>
                <w:rFonts w:hint="default" w:ascii="Times New Roman" w:hAnsi="Times New Roman" w:eastAsia="宋体" w:cs="Times New Roman"/>
                <w:color w:val="auto"/>
                <w:szCs w:val="21"/>
                <w:highlight w:val="none"/>
                <w:lang w:eastAsia="zh-CN"/>
              </w:rPr>
              <w:t>；</w:t>
            </w:r>
            <w:r>
              <w:rPr>
                <w:rFonts w:hint="default" w:ascii="Times New Roman" w:hAnsi="Times New Roman" w:eastAsia="宋体" w:cs="Times New Roman"/>
                <w:color w:val="auto"/>
                <w:szCs w:val="21"/>
                <w:highlight w:val="none"/>
                <w:lang w:val="en-US" w:eastAsia="zh-CN"/>
              </w:rPr>
              <w:t>本项目病死牛存放在厂区</w:t>
            </w:r>
            <w:r>
              <w:rPr>
                <w:rFonts w:hint="eastAsia" w:ascii="Times New Roman" w:hAnsi="Times New Roman" w:eastAsia="宋体" w:cs="Times New Roman"/>
                <w:color w:val="auto"/>
                <w:szCs w:val="21"/>
                <w:highlight w:val="none"/>
                <w:lang w:val="en-US" w:eastAsia="zh-CN"/>
              </w:rPr>
              <w:t>冷冻冰箱</w:t>
            </w:r>
            <w:r>
              <w:rPr>
                <w:rFonts w:hint="default" w:ascii="Times New Roman" w:hAnsi="Times New Roman" w:eastAsia="宋体" w:cs="Times New Roman"/>
                <w:color w:val="auto"/>
                <w:szCs w:val="21"/>
                <w:highlight w:val="none"/>
                <w:lang w:val="en-US" w:eastAsia="zh-CN"/>
              </w:rPr>
              <w:t>内，</w:t>
            </w:r>
            <w:r>
              <w:rPr>
                <w:rFonts w:hint="default" w:ascii="Times New Roman" w:hAnsi="Times New Roman" w:eastAsia="宋体" w:cs="Times New Roman"/>
                <w:color w:val="auto"/>
                <w:sz w:val="21"/>
                <w:szCs w:val="21"/>
                <w:highlight w:val="none"/>
                <w:lang w:eastAsia="zh-CN"/>
              </w:rPr>
              <w:t>及时委托双鸭山百奥迈斯生物科技有限公司统一处理（协议见附件）</w:t>
            </w:r>
            <w:r>
              <w:rPr>
                <w:rFonts w:hint="default" w:ascii="Times New Roman" w:hAnsi="Times New Roman" w:eastAsia="宋体" w:cs="Times New Roman"/>
                <w:color w:val="auto"/>
                <w:szCs w:val="21"/>
                <w:highlight w:val="none"/>
                <w:lang w:val="en-US" w:eastAsia="zh-CN"/>
              </w:rPr>
              <w:t>。</w:t>
            </w:r>
          </w:p>
        </w:tc>
        <w:tc>
          <w:tcPr>
            <w:tcW w:w="340" w:type="pct"/>
            <w:shd w:val="clear" w:color="auto" w:fill="auto"/>
            <w:vAlign w:val="center"/>
          </w:tcPr>
          <w:p w14:paraId="7C54B55B">
            <w:pPr>
              <w:pStyle w:val="38"/>
              <w:rPr>
                <w:rFonts w:hint="default" w:ascii="Times New Roman" w:hAnsi="Times New Roman" w:eastAsia="宋体" w:cs="Times New Roman"/>
                <w:color w:val="auto"/>
                <w:sz w:val="21"/>
                <w:szCs w:val="21"/>
                <w:highlight w:val="none"/>
                <w:lang w:eastAsia="zh-CN"/>
              </w:rPr>
            </w:pPr>
          </w:p>
        </w:tc>
      </w:tr>
      <w:tr w14:paraId="1DBB58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continue"/>
            <w:shd w:val="clear" w:color="auto" w:fill="auto"/>
            <w:vAlign w:val="center"/>
          </w:tcPr>
          <w:p w14:paraId="01F133D1">
            <w:pPr>
              <w:pStyle w:val="38"/>
              <w:rPr>
                <w:rFonts w:hint="default" w:ascii="Times New Roman" w:hAnsi="Times New Roman" w:eastAsia="宋体" w:cs="Times New Roman"/>
                <w:color w:val="auto"/>
                <w:sz w:val="21"/>
                <w:szCs w:val="21"/>
                <w:highlight w:val="none"/>
              </w:rPr>
            </w:pPr>
          </w:p>
        </w:tc>
        <w:tc>
          <w:tcPr>
            <w:tcW w:w="2104" w:type="pct"/>
            <w:shd w:val="clear" w:color="auto" w:fill="auto"/>
            <w:vAlign w:val="center"/>
          </w:tcPr>
          <w:p w14:paraId="3E300092">
            <w:pPr>
              <w:pStyle w:val="2"/>
              <w:snapToGrid w:val="0"/>
              <w:ind w:left="0" w:leftChars="0" w:firstLine="0" w:firstLineChars="0"/>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建设单位在项目环评报告书报送审批前，应采取适当形式，遵循依法、有序、公开、便利的原则，公开征求意见并对真实性和结果负责。</w:t>
            </w:r>
          </w:p>
          <w:p w14:paraId="5153499E">
            <w:pPr>
              <w:pStyle w:val="38"/>
              <w:jc w:val="both"/>
              <w:rPr>
                <w:rFonts w:hint="default" w:ascii="Times New Roman" w:hAnsi="Times New Roman" w:eastAsia="宋体" w:cs="Times New Roman"/>
                <w:color w:val="auto"/>
                <w:kern w:val="2"/>
                <w:sz w:val="21"/>
                <w:szCs w:val="21"/>
                <w:highlight w:val="none"/>
                <w:lang w:val="zh-CN"/>
              </w:rPr>
            </w:pPr>
            <w:r>
              <w:rPr>
                <w:rFonts w:hint="default" w:ascii="Times New Roman" w:hAnsi="Times New Roman" w:eastAsia="宋体" w:cs="Times New Roman"/>
                <w:color w:val="auto"/>
                <w:kern w:val="2"/>
                <w:sz w:val="21"/>
                <w:szCs w:val="21"/>
                <w:highlight w:val="none"/>
                <w:lang w:val="zh-CN"/>
              </w:rPr>
              <w:t>地方生态环境部门应按照相关要求，主动公开项目环评报告书受理情况、拟作出的审批意见和审批情况，保障公众环境保护知情权、参与权和监督权。强化对建设单位的监督约束，落实建设项目环评信息的全过程、全覆盖公开，确保公众能够方便获取建设项目环评信息。</w:t>
            </w:r>
          </w:p>
        </w:tc>
        <w:tc>
          <w:tcPr>
            <w:tcW w:w="1663" w:type="pct"/>
            <w:shd w:val="clear" w:color="auto" w:fill="auto"/>
            <w:vAlign w:val="center"/>
          </w:tcPr>
          <w:p w14:paraId="2C7CC01A">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kern w:val="2"/>
                <w:sz w:val="21"/>
                <w:szCs w:val="21"/>
                <w:highlight w:val="none"/>
                <w:lang w:val="zh-CN"/>
              </w:rPr>
              <w:t>建设单位已进行公众参与，公众参与采取网上公示、报纸公示以及张贴公告等方式公开项目环境信息，建设单位已充分采纳公众参与意见。并在报告初稿完成后在</w:t>
            </w:r>
            <w:r>
              <w:rPr>
                <w:rFonts w:hint="default" w:ascii="Times New Roman" w:hAnsi="Times New Roman" w:cs="Times New Roman"/>
                <w:color w:val="auto"/>
                <w:kern w:val="2"/>
                <w:sz w:val="21"/>
                <w:szCs w:val="21"/>
                <w:highlight w:val="none"/>
                <w:lang w:val="en-US" w:eastAsia="zh-CN"/>
              </w:rPr>
              <w:t>黑龙江新闻</w:t>
            </w:r>
            <w:r>
              <w:rPr>
                <w:rFonts w:hint="default" w:ascii="Times New Roman" w:hAnsi="Times New Roman" w:eastAsia="宋体" w:cs="Times New Roman"/>
                <w:color w:val="auto"/>
                <w:kern w:val="2"/>
                <w:sz w:val="21"/>
                <w:szCs w:val="21"/>
                <w:highlight w:val="none"/>
              </w:rPr>
              <w:t>网站</w:t>
            </w:r>
            <w:r>
              <w:rPr>
                <w:rFonts w:hint="default" w:ascii="Times New Roman" w:hAnsi="Times New Roman" w:eastAsia="宋体" w:cs="Times New Roman"/>
                <w:color w:val="auto"/>
                <w:kern w:val="2"/>
                <w:sz w:val="21"/>
                <w:szCs w:val="21"/>
                <w:highlight w:val="none"/>
                <w:lang w:val="zh-CN"/>
              </w:rPr>
              <w:t>进行了全本公示</w:t>
            </w:r>
          </w:p>
        </w:tc>
        <w:tc>
          <w:tcPr>
            <w:tcW w:w="340" w:type="pct"/>
            <w:shd w:val="clear" w:color="auto" w:fill="auto"/>
            <w:vAlign w:val="center"/>
          </w:tcPr>
          <w:p w14:paraId="3D50761F">
            <w:pPr>
              <w:pStyle w:val="38"/>
              <w:rPr>
                <w:rFonts w:hint="default" w:ascii="Times New Roman" w:hAnsi="Times New Roman" w:eastAsia="宋体" w:cs="Times New Roman"/>
                <w:color w:val="auto"/>
                <w:sz w:val="21"/>
                <w:szCs w:val="21"/>
                <w:highlight w:val="none"/>
                <w:lang w:eastAsia="zh-CN"/>
              </w:rPr>
            </w:pPr>
          </w:p>
        </w:tc>
      </w:tr>
      <w:tr w14:paraId="4DAE4A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vMerge w:val="continue"/>
            <w:shd w:val="clear" w:color="auto" w:fill="auto"/>
            <w:vAlign w:val="center"/>
          </w:tcPr>
          <w:p w14:paraId="2E34A07D">
            <w:pPr>
              <w:pStyle w:val="38"/>
              <w:rPr>
                <w:rFonts w:hint="default" w:ascii="Times New Roman" w:hAnsi="Times New Roman" w:eastAsia="宋体" w:cs="Times New Roman"/>
                <w:color w:val="auto"/>
                <w:sz w:val="21"/>
                <w:szCs w:val="21"/>
                <w:highlight w:val="none"/>
              </w:rPr>
            </w:pPr>
          </w:p>
        </w:tc>
        <w:tc>
          <w:tcPr>
            <w:tcW w:w="2104" w:type="pct"/>
            <w:shd w:val="clear" w:color="auto" w:fill="auto"/>
            <w:vAlign w:val="center"/>
          </w:tcPr>
          <w:p w14:paraId="1871C933">
            <w:pPr>
              <w:pStyle w:val="38"/>
              <w:keepNext w:val="0"/>
              <w:keepLines w:val="0"/>
              <w:pageBreakBefore w:val="0"/>
              <w:widowControl/>
              <w:kinsoku/>
              <w:wordWrap w:val="0"/>
              <w:overflowPunct/>
              <w:topLinePunct/>
              <w:autoSpaceDE/>
              <w:autoSpaceDN/>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2"/>
                <w:sz w:val="21"/>
                <w:szCs w:val="21"/>
                <w:highlight w:val="none"/>
                <w:lang w:val="zh-CN"/>
              </w:rPr>
              <w:t>地方生态环境部门应加强畜禽规模养殖项目的全过程管理。建设单位必须严格执行环境保护“三同时”制度，落实各项生态环境保护措施，在项目建成后按照国家规定的程序和技术规范，开展建设项目竣工环境保护验收。各级生态环境部门通过随机抽查项目环评报告书等方式，掌握环境影响报告书的编制及审批、环境影响登记表备案及承诺落实、环境保护“三同时”落实、环境保护验收情况及相关主体责任落实等情况，及时查处违法违规行为。</w:t>
            </w:r>
          </w:p>
        </w:tc>
        <w:tc>
          <w:tcPr>
            <w:tcW w:w="1663" w:type="pct"/>
            <w:shd w:val="clear" w:color="auto" w:fill="auto"/>
            <w:vAlign w:val="center"/>
          </w:tcPr>
          <w:p w14:paraId="604065B1">
            <w:pPr>
              <w:pStyle w:val="38"/>
              <w:jc w:val="both"/>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highlight w:val="none"/>
                <w:lang w:val="zh-CN"/>
              </w:rPr>
              <w:t>本项目严格执行环境保护“三同时”制度，落实各项生态环境保护措施，在项目建成后按照国家规定的程序和技术规范，开展建设项目竣工环境保护验收。</w:t>
            </w:r>
          </w:p>
        </w:tc>
        <w:tc>
          <w:tcPr>
            <w:tcW w:w="340" w:type="pct"/>
            <w:shd w:val="clear" w:color="auto" w:fill="auto"/>
            <w:vAlign w:val="center"/>
          </w:tcPr>
          <w:p w14:paraId="218A3209">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3A227B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71DDAB9F">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《畜禽规模养殖场粪污资源化利用设施建设规范（试行）》（农办牧[2018]2号）</w:t>
            </w:r>
          </w:p>
        </w:tc>
        <w:tc>
          <w:tcPr>
            <w:tcW w:w="2104" w:type="pct"/>
            <w:shd w:val="clear" w:color="auto" w:fill="auto"/>
            <w:vAlign w:val="center"/>
          </w:tcPr>
          <w:p w14:paraId="600DDAD6">
            <w:pPr>
              <w:pStyle w:val="38"/>
              <w:keepNext w:val="0"/>
              <w:keepLines w:val="0"/>
              <w:pageBreakBefore w:val="0"/>
              <w:widowControl/>
              <w:numPr>
                <w:ilvl w:val="0"/>
                <w:numId w:val="0"/>
              </w:numPr>
              <w:kinsoku/>
              <w:wordWrap w:val="0"/>
              <w:overflowPunct/>
              <w:topLinePunct w:val="0"/>
              <w:autoSpaceDE w:val="0"/>
              <w:autoSpaceDN w:val="0"/>
              <w:bidi w:val="0"/>
              <w:adjustRightInd w:val="0"/>
              <w:snapToGrid w:val="0"/>
              <w:ind w:left="0" w:leftChars="0" w:firstLine="0" w:firstLineChars="0"/>
              <w:jc w:val="both"/>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snapToGrid w:val="0"/>
                <w:color w:val="auto"/>
                <w:kern w:val="0"/>
                <w:sz w:val="21"/>
                <w:szCs w:val="21"/>
                <w:highlight w:val="none"/>
                <w:lang w:val="zh-CN" w:eastAsia="zh-CN" w:bidi="ar-SA"/>
              </w:rPr>
              <w:t>第六条</w:t>
            </w:r>
            <w:r>
              <w:rPr>
                <w:rFonts w:hint="default" w:ascii="Times New Roman" w:hAnsi="Times New Roman" w:eastAsia="宋体" w:cs="Times New Roman"/>
                <w:color w:val="auto"/>
                <w:sz w:val="21"/>
                <w:szCs w:val="21"/>
                <w:highlight w:val="none"/>
                <w:lang w:eastAsia="zh-CN"/>
              </w:rPr>
              <w:t>畜禽规模养殖场应及时对粪污进行收集、贮存，粪污暂存池（场）应满足防渗、防雨、防溢流等要求。</w:t>
            </w:r>
          </w:p>
          <w:p w14:paraId="23A75575">
            <w:pPr>
              <w:pStyle w:val="38"/>
              <w:keepNext w:val="0"/>
              <w:keepLines w:val="0"/>
              <w:pageBreakBefore w:val="0"/>
              <w:widowControl/>
              <w:numPr>
                <w:ilvl w:val="0"/>
                <w:numId w:val="0"/>
              </w:numPr>
              <w:kinsoku/>
              <w:wordWrap w:val="0"/>
              <w:overflowPunct/>
              <w:topLinePunct w:val="0"/>
              <w:autoSpaceDE w:val="0"/>
              <w:autoSpaceDN w:val="0"/>
              <w:bidi w:val="0"/>
              <w:adjustRightInd w:val="0"/>
              <w:snapToGrid w:val="0"/>
              <w:ind w:left="0" w:leftChars="0" w:firstLine="0" w:firstLineChars="0"/>
              <w:jc w:val="both"/>
              <w:textAlignment w:val="baseline"/>
              <w:rPr>
                <w:rFonts w:hint="default" w:ascii="Times New Roman" w:hAnsi="Times New Roman" w:cs="Times New Roman"/>
                <w:color w:val="auto"/>
                <w:highlight w:val="none"/>
              </w:rPr>
            </w:pPr>
            <w:r>
              <w:rPr>
                <w:rFonts w:hint="default" w:ascii="Times New Roman" w:hAnsi="Times New Roman" w:eastAsia="Arial" w:cs="Times New Roman"/>
                <w:snapToGrid w:val="0"/>
                <w:color w:val="auto"/>
                <w:kern w:val="0"/>
                <w:sz w:val="21"/>
                <w:szCs w:val="21"/>
                <w:highlight w:val="none"/>
                <w:lang w:val="zh-CN" w:eastAsia="zh-CN" w:bidi="ar-SA"/>
              </w:rPr>
              <w:t>第七条</w:t>
            </w:r>
            <w:r>
              <w:rPr>
                <w:rFonts w:hint="default" w:ascii="Times New Roman" w:hAnsi="Times New Roman" w:cs="Times New Roman"/>
                <w:color w:val="auto"/>
                <w:highlight w:val="none"/>
              </w:rPr>
              <w:t>畜禽规模养殖场应建设雨污分离设施，污水宜采用暗沟或管道输送。</w:t>
            </w:r>
          </w:p>
          <w:p w14:paraId="32CEB7D1">
            <w:pPr>
              <w:pStyle w:val="38"/>
              <w:keepNext w:val="0"/>
              <w:keepLines w:val="0"/>
              <w:pageBreakBefore w:val="0"/>
              <w:widowControl/>
              <w:numPr>
                <w:ilvl w:val="0"/>
                <w:numId w:val="0"/>
              </w:numPr>
              <w:kinsoku/>
              <w:wordWrap w:val="0"/>
              <w:overflowPunct/>
              <w:topLinePunct w:val="0"/>
              <w:autoSpaceDE w:val="0"/>
              <w:autoSpaceDN w:val="0"/>
              <w:bidi w:val="0"/>
              <w:adjustRightInd w:val="0"/>
              <w:snapToGrid w:val="0"/>
              <w:ind w:left="0" w:leftChars="0" w:firstLine="0" w:firstLineChars="0"/>
              <w:jc w:val="both"/>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Arial" w:cs="Times New Roman"/>
                <w:snapToGrid w:val="0"/>
                <w:color w:val="auto"/>
                <w:kern w:val="0"/>
                <w:sz w:val="21"/>
                <w:szCs w:val="21"/>
                <w:highlight w:val="none"/>
                <w:lang w:val="zh-CN" w:eastAsia="zh-CN" w:bidi="ar-SA"/>
              </w:rPr>
              <w:t>第十三条</w:t>
            </w:r>
            <w:r>
              <w:rPr>
                <w:rFonts w:hint="default" w:ascii="Times New Roman" w:hAnsi="Times New Roman" w:cs="Times New Roman"/>
                <w:color w:val="auto"/>
                <w:highlight w:val="none"/>
                <w:lang w:eastAsia="zh-CN"/>
              </w:rPr>
              <w:t>委托第三方处理机构对畜禽粪污代为综合利用和无害化处理的，应依照第六条规定建设粪污暂存设施，可不自行建设综合利用和无害化处理设施。</w:t>
            </w:r>
          </w:p>
        </w:tc>
        <w:tc>
          <w:tcPr>
            <w:tcW w:w="1663" w:type="pct"/>
            <w:shd w:val="clear" w:color="auto" w:fill="auto"/>
            <w:vAlign w:val="center"/>
          </w:tcPr>
          <w:p w14:paraId="7B175403">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本项目场区采取雨污分流，清粪工艺为干清粪，项目拟采用干撒式发酵床工艺，牛舍产生的牛尿一部分供微生物繁殖使用，一部分被升温转换为气体排出发酵床，不外排；牛舍更换的发酵床垫料</w:t>
            </w:r>
            <w:r>
              <w:rPr>
                <w:rFonts w:hint="default" w:ascii="Times New Roman" w:hAnsi="Times New Roman" w:eastAsia="宋体" w:cs="Times New Roman"/>
                <w:color w:val="auto"/>
                <w:sz w:val="21"/>
                <w:szCs w:val="21"/>
                <w:highlight w:val="none"/>
                <w:lang w:val="en-US" w:eastAsia="zh-CN"/>
              </w:rPr>
              <w:t>储存在粪污储存间</w:t>
            </w:r>
            <w:r>
              <w:rPr>
                <w:rFonts w:hint="default" w:ascii="Times New Roman" w:hAnsi="Times New Roman" w:eastAsia="宋体" w:cs="Times New Roman"/>
                <w:color w:val="auto"/>
                <w:sz w:val="21"/>
                <w:szCs w:val="21"/>
                <w:highlight w:val="none"/>
                <w:lang w:eastAsia="zh-CN"/>
              </w:rPr>
              <w:t>，定期外售至有机肥厂；生活污水排入化粪池，定期清掏，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实现畜禽粪污</w:t>
            </w:r>
            <w:r>
              <w:rPr>
                <w:rFonts w:hint="default" w:ascii="Times New Roman" w:hAnsi="Times New Roman" w:eastAsia="宋体" w:cs="Times New Roman"/>
                <w:color w:val="auto"/>
                <w:sz w:val="21"/>
                <w:szCs w:val="21"/>
                <w:highlight w:val="none"/>
                <w:lang w:eastAsia="zh-CN"/>
              </w:rPr>
              <w:t>无害化</w:t>
            </w:r>
            <w:r>
              <w:rPr>
                <w:rFonts w:hint="default" w:ascii="Times New Roman" w:hAnsi="Times New Roman" w:eastAsia="宋体" w:cs="Times New Roman"/>
                <w:color w:val="auto"/>
                <w:sz w:val="21"/>
                <w:szCs w:val="21"/>
                <w:highlight w:val="none"/>
              </w:rPr>
              <w:t>综合利用。</w:t>
            </w:r>
          </w:p>
        </w:tc>
        <w:tc>
          <w:tcPr>
            <w:tcW w:w="340" w:type="pct"/>
            <w:shd w:val="clear" w:color="auto" w:fill="auto"/>
            <w:vAlign w:val="center"/>
          </w:tcPr>
          <w:p w14:paraId="71E35AE2">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79CDED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78FC086E">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《中华人民共和国畜牧法》（2023年3月1日施行）</w:t>
            </w:r>
          </w:p>
        </w:tc>
        <w:tc>
          <w:tcPr>
            <w:tcW w:w="2104" w:type="pct"/>
            <w:shd w:val="clear" w:color="auto" w:fill="auto"/>
            <w:vAlign w:val="center"/>
          </w:tcPr>
          <w:p w14:paraId="7CAB11C6">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第四十条 畜禽养殖场的选址、建设应当符合国土空间规划，并遵守有关法律法规的规定；不得违反法律法规的规定，在禁养区域建设畜禽养殖场</w:t>
            </w:r>
            <w:r>
              <w:rPr>
                <w:rFonts w:hint="default" w:ascii="Times New Roman" w:hAnsi="Times New Roman" w:eastAsia="宋体" w:cs="Times New Roman"/>
                <w:color w:val="auto"/>
                <w:sz w:val="21"/>
                <w:szCs w:val="21"/>
                <w:highlight w:val="none"/>
                <w:lang w:eastAsia="zh-CN"/>
              </w:rPr>
              <w:t>。</w:t>
            </w:r>
          </w:p>
          <w:p w14:paraId="77DC4DD5">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第四十六条 畜禽养殖场应当保证畜禽粪污无害化处理和资源化利用设施的正常运转，保证畜禽粪污综合利用或者达标排放，防止污染环境。违法排放或者因管理不当污染环境的，应当排除危害，依法赔偿损失。国家支持建设畜禽粪污收集、储存、粪污无害化处理和资源化利用设施，推行畜禽粪污养分平衡管理，促进农用有机肥利用和种养结合发展</w:t>
            </w:r>
            <w:r>
              <w:rPr>
                <w:rFonts w:hint="default" w:ascii="Times New Roman" w:hAnsi="Times New Roman" w:eastAsia="宋体" w:cs="Times New Roman"/>
                <w:color w:val="auto"/>
                <w:sz w:val="21"/>
                <w:szCs w:val="21"/>
                <w:highlight w:val="none"/>
                <w:lang w:eastAsia="zh-CN"/>
              </w:rPr>
              <w:t>。</w:t>
            </w:r>
          </w:p>
        </w:tc>
        <w:tc>
          <w:tcPr>
            <w:tcW w:w="1663" w:type="pct"/>
            <w:shd w:val="clear" w:color="auto" w:fill="auto"/>
            <w:vAlign w:val="center"/>
          </w:tcPr>
          <w:p w14:paraId="2E36D2BE">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本项目选址符合</w:t>
            </w:r>
            <w:r>
              <w:rPr>
                <w:rFonts w:hint="default" w:ascii="Times New Roman" w:hAnsi="Times New Roman" w:eastAsia="宋体" w:cs="Times New Roman"/>
                <w:color w:val="auto"/>
                <w:sz w:val="21"/>
                <w:szCs w:val="21"/>
                <w:highlight w:val="none"/>
                <w:lang w:val="en-US" w:eastAsia="zh-CN"/>
              </w:rPr>
              <w:t>双鸭山市集贤县</w:t>
            </w:r>
            <w:r>
              <w:rPr>
                <w:rFonts w:hint="default" w:ascii="Times New Roman" w:hAnsi="Times New Roman" w:eastAsia="宋体" w:cs="Times New Roman"/>
                <w:color w:val="auto"/>
                <w:sz w:val="21"/>
                <w:szCs w:val="21"/>
                <w:highlight w:val="none"/>
                <w:lang w:eastAsia="zh-CN"/>
              </w:rPr>
              <w:t>禁养区划定方案相关要求，不在禁建区域内；项目拟采用干撒式发酵床工艺，牛舍产生的牛尿一部分供微生物繁殖使用，一部分被升温转换为气体排出发酵床，不外排；牛舍更换的发酵床垫料，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实现畜禽粪污</w:t>
            </w:r>
            <w:r>
              <w:rPr>
                <w:rFonts w:hint="default" w:ascii="Times New Roman" w:hAnsi="Times New Roman" w:eastAsia="宋体" w:cs="Times New Roman"/>
                <w:color w:val="auto"/>
                <w:sz w:val="21"/>
                <w:szCs w:val="21"/>
                <w:highlight w:val="none"/>
                <w:lang w:eastAsia="zh-CN"/>
              </w:rPr>
              <w:t>无害化</w:t>
            </w:r>
            <w:r>
              <w:rPr>
                <w:rFonts w:hint="default" w:ascii="Times New Roman" w:hAnsi="Times New Roman" w:eastAsia="宋体" w:cs="Times New Roman"/>
                <w:color w:val="auto"/>
                <w:sz w:val="21"/>
                <w:szCs w:val="21"/>
                <w:highlight w:val="none"/>
              </w:rPr>
              <w:t>综合利用。</w:t>
            </w:r>
          </w:p>
          <w:p w14:paraId="59A2D78B">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因此本项目的建设符合《中华人民共和国畜牧法》（2023年3月1日施行）相关规定。</w:t>
            </w:r>
          </w:p>
        </w:tc>
        <w:tc>
          <w:tcPr>
            <w:tcW w:w="340" w:type="pct"/>
            <w:shd w:val="clear" w:color="auto" w:fill="auto"/>
            <w:vAlign w:val="center"/>
          </w:tcPr>
          <w:p w14:paraId="5733D061">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158890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2261131">
            <w:pPr>
              <w:pStyle w:val="38"/>
              <w:jc w:val="both"/>
              <w:rPr>
                <w:rFonts w:hint="default" w:ascii="Times New Roman" w:hAnsi="Times New Roman" w:eastAsia="宋体" w:cs="Times New Roman"/>
                <w:color w:val="auto"/>
                <w:sz w:val="21"/>
                <w:szCs w:val="21"/>
                <w:highlight w:val="none"/>
                <w:lang w:eastAsia="zh-CN"/>
              </w:rPr>
            </w:pPr>
            <w:bookmarkStart w:id="31" w:name="_Hlk169513157"/>
            <w:r>
              <w:rPr>
                <w:rFonts w:hint="default" w:ascii="Times New Roman" w:hAnsi="Times New Roman" w:eastAsia="宋体" w:cs="Times New Roman"/>
                <w:color w:val="auto"/>
                <w:sz w:val="21"/>
                <w:szCs w:val="21"/>
                <w:highlight w:val="none"/>
                <w:lang w:eastAsia="zh-CN"/>
              </w:rPr>
              <w:t>《中华人民共和国水污染防治法》(2018年1月1日施行)</w:t>
            </w:r>
            <w:bookmarkEnd w:id="31"/>
          </w:p>
        </w:tc>
        <w:tc>
          <w:tcPr>
            <w:tcW w:w="2104" w:type="pct"/>
            <w:shd w:val="clear" w:color="auto" w:fill="auto"/>
            <w:vAlign w:val="center"/>
          </w:tcPr>
          <w:p w14:paraId="696E6EBF">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第五十六条  国家支持畜禽养殖场、养殖小区建设畜禽粪便、废水的综合利用或者无害化处理设施。畜禽养殖场、养殖小区应当保证其畜禽粪便、废水的综合利用或者无害化处理设施正常运转，保证污水达标排放，防止污染水环境。畜禽散养密集区所在地县、乡级人民政府应当组织对畜禽粪便污水进行分户收集、集中处理利用。</w:t>
            </w:r>
          </w:p>
        </w:tc>
        <w:tc>
          <w:tcPr>
            <w:tcW w:w="1663" w:type="pct"/>
            <w:shd w:val="clear" w:color="auto" w:fill="auto"/>
            <w:vAlign w:val="center"/>
          </w:tcPr>
          <w:p w14:paraId="1447321B">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项目拟采用干撒式发酵床工艺，牛舍产生的牛尿一部分供微生物繁殖使用，一部分被升温转换为气体排出发酵床，不外排；牛舍更换的发酵床垫料，定期外售至有机肥厂；生活污水排入化粪池，定期清掏，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实现畜禽粪污</w:t>
            </w:r>
            <w:r>
              <w:rPr>
                <w:rFonts w:hint="default" w:ascii="Times New Roman" w:hAnsi="Times New Roman" w:eastAsia="宋体" w:cs="Times New Roman"/>
                <w:color w:val="auto"/>
                <w:sz w:val="21"/>
                <w:szCs w:val="21"/>
                <w:highlight w:val="none"/>
                <w:lang w:eastAsia="zh-CN"/>
              </w:rPr>
              <w:t>无害化</w:t>
            </w:r>
            <w:r>
              <w:rPr>
                <w:rFonts w:hint="default" w:ascii="Times New Roman" w:hAnsi="Times New Roman" w:eastAsia="宋体" w:cs="Times New Roman"/>
                <w:color w:val="auto"/>
                <w:sz w:val="21"/>
                <w:szCs w:val="21"/>
                <w:highlight w:val="none"/>
              </w:rPr>
              <w:t>综合利用。</w:t>
            </w:r>
          </w:p>
          <w:p w14:paraId="4C9B8F72">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确保本项目废水不外排，全部综合利用，因此本项目建设符合《中华人民共和国水污染防治法》(2018年1月1日施行)。</w:t>
            </w:r>
          </w:p>
        </w:tc>
        <w:tc>
          <w:tcPr>
            <w:tcW w:w="340" w:type="pct"/>
            <w:shd w:val="clear" w:color="auto" w:fill="auto"/>
            <w:vAlign w:val="center"/>
          </w:tcPr>
          <w:p w14:paraId="06DADE23">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1188CB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59605DF2">
            <w:pPr>
              <w:pStyle w:val="38"/>
              <w:jc w:val="both"/>
              <w:rPr>
                <w:rFonts w:hint="default" w:ascii="Times New Roman" w:hAnsi="Times New Roman" w:eastAsia="宋体" w:cs="Times New Roman"/>
                <w:color w:val="auto"/>
                <w:sz w:val="21"/>
                <w:szCs w:val="21"/>
                <w:highlight w:val="none"/>
                <w:lang w:eastAsia="zh-CN"/>
              </w:rPr>
            </w:pPr>
            <w:bookmarkStart w:id="32" w:name="_Hlk169513160"/>
            <w:r>
              <w:rPr>
                <w:rFonts w:hint="default" w:ascii="Times New Roman" w:hAnsi="Times New Roman" w:eastAsia="宋体" w:cs="Times New Roman"/>
                <w:color w:val="auto"/>
                <w:sz w:val="21"/>
                <w:szCs w:val="21"/>
                <w:highlight w:val="none"/>
                <w:lang w:eastAsia="zh-CN"/>
              </w:rPr>
              <w:t>《中华人民共和国固体废物污染环境防治法》（2020年9月1日施行）</w:t>
            </w:r>
            <w:bookmarkEnd w:id="32"/>
          </w:p>
        </w:tc>
        <w:tc>
          <w:tcPr>
            <w:tcW w:w="2104" w:type="pct"/>
            <w:shd w:val="clear" w:color="auto" w:fill="auto"/>
            <w:vAlign w:val="center"/>
          </w:tcPr>
          <w:p w14:paraId="6100E33B">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 xml:space="preserve">第六十五条  </w:t>
            </w:r>
            <w:r>
              <w:rPr>
                <w:rFonts w:hint="default" w:ascii="Times New Roman" w:hAnsi="Times New Roman" w:eastAsia="宋体" w:cs="Times New Roman"/>
                <w:color w:val="auto"/>
                <w:sz w:val="21"/>
                <w:szCs w:val="21"/>
                <w:highlight w:val="none"/>
              </w:rPr>
              <w:t>从事畜禽规模养殖应当及时收集、贮存、利用或者处置养殖过程中产生的畜禽粪污等固体废物，避免造成环境污染。</w:t>
            </w:r>
          </w:p>
        </w:tc>
        <w:tc>
          <w:tcPr>
            <w:tcW w:w="1663" w:type="pct"/>
            <w:shd w:val="clear" w:color="auto" w:fill="auto"/>
            <w:vAlign w:val="center"/>
          </w:tcPr>
          <w:p w14:paraId="7A1A31DC">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项目拟采用干撒式发酵床工艺，牛舍产生的牛尿一部分供微生物繁殖使用，一部分被升温转换为气体排出发酵床，不外排；牛舍更换的发酵床垫料，定期外售至有机肥厂；生活污水排入化粪池，定期清掏，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实现畜禽粪污</w:t>
            </w:r>
            <w:r>
              <w:rPr>
                <w:rFonts w:hint="default" w:ascii="Times New Roman" w:hAnsi="Times New Roman" w:eastAsia="宋体" w:cs="Times New Roman"/>
                <w:color w:val="auto"/>
                <w:sz w:val="21"/>
                <w:szCs w:val="21"/>
                <w:highlight w:val="none"/>
                <w:lang w:eastAsia="zh-CN"/>
              </w:rPr>
              <w:t>无害化</w:t>
            </w:r>
            <w:r>
              <w:rPr>
                <w:rFonts w:hint="default" w:ascii="Times New Roman" w:hAnsi="Times New Roman" w:eastAsia="宋体" w:cs="Times New Roman"/>
                <w:color w:val="auto"/>
                <w:sz w:val="21"/>
                <w:szCs w:val="21"/>
                <w:highlight w:val="none"/>
              </w:rPr>
              <w:t>综合利用</w:t>
            </w:r>
            <w:r>
              <w:rPr>
                <w:rFonts w:hint="default" w:ascii="Times New Roman" w:hAnsi="Times New Roman" w:eastAsia="宋体" w:cs="Times New Roman"/>
                <w:color w:val="auto"/>
                <w:sz w:val="21"/>
                <w:szCs w:val="21"/>
                <w:highlight w:val="none"/>
                <w:lang w:eastAsia="zh-CN"/>
              </w:rPr>
              <w:t>。确保本项目固体废物处置率100%，均可综合利用。因此本项目建设符合《中华人民共和国固体废物污染环境防治法》（2020年9月1日施行）</w:t>
            </w:r>
          </w:p>
        </w:tc>
        <w:tc>
          <w:tcPr>
            <w:tcW w:w="340" w:type="pct"/>
            <w:shd w:val="clear" w:color="auto" w:fill="auto"/>
            <w:vAlign w:val="center"/>
          </w:tcPr>
          <w:p w14:paraId="59F7C68C">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502482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4B31680">
            <w:pPr>
              <w:pStyle w:val="38"/>
              <w:jc w:val="both"/>
              <w:rPr>
                <w:rFonts w:hint="default" w:ascii="Times New Roman" w:hAnsi="Times New Roman" w:eastAsia="宋体" w:cs="Times New Roman"/>
                <w:color w:val="auto"/>
                <w:sz w:val="21"/>
                <w:szCs w:val="21"/>
                <w:highlight w:val="none"/>
                <w:lang w:eastAsia="zh-CN"/>
              </w:rPr>
            </w:pPr>
            <w:bookmarkStart w:id="33" w:name="_Hlk169513164"/>
            <w:r>
              <w:rPr>
                <w:rFonts w:hint="default" w:ascii="Times New Roman" w:hAnsi="Times New Roman" w:eastAsia="宋体" w:cs="Times New Roman"/>
                <w:color w:val="auto"/>
                <w:sz w:val="21"/>
                <w:szCs w:val="21"/>
                <w:highlight w:val="none"/>
                <w:lang w:eastAsia="zh-CN"/>
              </w:rPr>
              <w:t>《动物防疫条件审查办法》（2022年第8号，2022年12月1日起施行）</w:t>
            </w:r>
            <w:bookmarkEnd w:id="33"/>
          </w:p>
        </w:tc>
        <w:tc>
          <w:tcPr>
            <w:tcW w:w="2104" w:type="pct"/>
            <w:shd w:val="clear" w:color="auto" w:fill="auto"/>
            <w:vAlign w:val="center"/>
          </w:tcPr>
          <w:p w14:paraId="3C27E3D4">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第八条，（一）饲养区内设置配备疫苗冷藏冷冻设备、消毒和诊疗等防疫设备的兽医室；</w:t>
            </w:r>
          </w:p>
          <w:p w14:paraId="615C22E4">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（二）饲养区内清洁道、污染道分设；</w:t>
            </w:r>
          </w:p>
          <w:p w14:paraId="26B36DBB">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（三）配备符合国家规定的病死动物和病害动物产品无害化处理设施设备或者冷藏冷冻等暂存设施设备；</w:t>
            </w:r>
          </w:p>
          <w:p w14:paraId="45730BE2">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（四）建立动物进出登记、免疫、用药、疫情报告、无害化处理等动物防疫制度。</w:t>
            </w:r>
          </w:p>
        </w:tc>
        <w:tc>
          <w:tcPr>
            <w:tcW w:w="1663" w:type="pct"/>
            <w:shd w:val="clear" w:color="auto" w:fill="auto"/>
            <w:vAlign w:val="center"/>
          </w:tcPr>
          <w:p w14:paraId="699BBFB4">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本项目饲养区内清洁道、污染道分设，配备符合上述要求的兽医室，本项目单独</w:t>
            </w:r>
            <w:r>
              <w:rPr>
                <w:rFonts w:hint="default" w:ascii="Times New Roman" w:hAnsi="Times New Roman" w:eastAsia="宋体" w:cs="Times New Roman"/>
                <w:color w:val="auto"/>
                <w:sz w:val="21"/>
                <w:szCs w:val="21"/>
                <w:highlight w:val="none"/>
              </w:rPr>
              <w:t>配备疫苗冷藏冷冻设备</w:t>
            </w:r>
            <w:r>
              <w:rPr>
                <w:rFonts w:hint="default" w:ascii="Times New Roman" w:hAnsi="Times New Roman" w:eastAsia="宋体" w:cs="Times New Roman"/>
                <w:color w:val="auto"/>
                <w:sz w:val="21"/>
                <w:szCs w:val="21"/>
                <w:highlight w:val="none"/>
                <w:lang w:eastAsia="zh-CN"/>
              </w:rPr>
              <w:t>，设置冷冻</w:t>
            </w:r>
            <w:r>
              <w:rPr>
                <w:rFonts w:hint="default" w:ascii="Times New Roman" w:hAnsi="Times New Roman" w:eastAsia="宋体" w:cs="Times New Roman"/>
                <w:color w:val="auto"/>
                <w:sz w:val="21"/>
                <w:szCs w:val="21"/>
                <w:highlight w:val="none"/>
                <w:lang w:val="en-US" w:eastAsia="zh-CN"/>
              </w:rPr>
              <w:t>设备</w:t>
            </w:r>
            <w:r>
              <w:rPr>
                <w:rFonts w:hint="default" w:ascii="Times New Roman" w:hAnsi="Times New Roman" w:eastAsia="宋体" w:cs="Times New Roman"/>
                <w:color w:val="auto"/>
                <w:sz w:val="21"/>
                <w:szCs w:val="21"/>
                <w:highlight w:val="none"/>
                <w:lang w:eastAsia="zh-CN"/>
              </w:rPr>
              <w:t>，用于暂存产生的病死牛及分娩废物，经冷冻</w:t>
            </w:r>
            <w:r>
              <w:rPr>
                <w:rFonts w:hint="default" w:ascii="Times New Roman" w:hAnsi="Times New Roman" w:eastAsia="宋体" w:cs="Times New Roman"/>
                <w:color w:val="auto"/>
                <w:sz w:val="21"/>
                <w:szCs w:val="21"/>
                <w:highlight w:val="none"/>
                <w:lang w:val="en-US" w:eastAsia="zh-CN"/>
              </w:rPr>
              <w:t>设备</w:t>
            </w:r>
            <w:r>
              <w:rPr>
                <w:rFonts w:hint="default" w:ascii="Times New Roman" w:hAnsi="Times New Roman" w:eastAsia="宋体" w:cs="Times New Roman"/>
                <w:color w:val="auto"/>
                <w:sz w:val="21"/>
                <w:szCs w:val="21"/>
                <w:highlight w:val="none"/>
                <w:lang w:eastAsia="zh-CN"/>
              </w:rPr>
              <w:t>暂存，及时委托双鸭山百奥迈斯生物科技有限公司统一处理（协议见附件），</w:t>
            </w:r>
            <w:r>
              <w:rPr>
                <w:rFonts w:hint="default" w:ascii="Times New Roman" w:hAnsi="Times New Roman" w:eastAsia="宋体" w:cs="Times New Roman"/>
                <w:color w:val="auto"/>
                <w:sz w:val="21"/>
                <w:szCs w:val="21"/>
                <w:highlight w:val="none"/>
              </w:rPr>
              <w:t>建立动物进出登记、免疫、用药、疫情报告、无害化处理等动物防疫制度</w:t>
            </w:r>
            <w:r>
              <w:rPr>
                <w:rFonts w:hint="default" w:ascii="Times New Roman" w:hAnsi="Times New Roman" w:eastAsia="宋体" w:cs="Times New Roman"/>
                <w:color w:val="auto"/>
                <w:sz w:val="21"/>
                <w:szCs w:val="21"/>
                <w:highlight w:val="none"/>
                <w:lang w:eastAsia="zh-CN"/>
              </w:rPr>
              <w:t>。因此本项目符合《动物防疫条件审查办法》（2022年第8号，2022年12月1日起施行）</w:t>
            </w:r>
          </w:p>
        </w:tc>
        <w:tc>
          <w:tcPr>
            <w:tcW w:w="340" w:type="pct"/>
            <w:shd w:val="clear" w:color="auto" w:fill="auto"/>
            <w:vAlign w:val="center"/>
          </w:tcPr>
          <w:p w14:paraId="17165E18">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25AC3B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3DA7DA6">
            <w:pPr>
              <w:pStyle w:val="38"/>
              <w:jc w:val="both"/>
              <w:rPr>
                <w:rFonts w:hint="default" w:ascii="Times New Roman" w:hAnsi="Times New Roman" w:eastAsia="宋体" w:cs="Times New Roman"/>
                <w:color w:val="auto"/>
                <w:sz w:val="21"/>
                <w:szCs w:val="21"/>
                <w:highlight w:val="none"/>
                <w:lang w:eastAsia="zh-CN"/>
              </w:rPr>
            </w:pPr>
            <w:bookmarkStart w:id="34" w:name="_Hlk169513173"/>
            <w:r>
              <w:rPr>
                <w:rFonts w:hint="default" w:ascii="Times New Roman" w:hAnsi="Times New Roman" w:eastAsia="宋体" w:cs="Times New Roman"/>
                <w:color w:val="auto"/>
                <w:sz w:val="21"/>
                <w:szCs w:val="21"/>
                <w:highlight w:val="none"/>
                <w:lang w:eastAsia="zh-CN"/>
              </w:rPr>
              <w:t>《病死畜禽和病害畜禽产品无害化处理管理办法》（中华人民共和国农业农村部令2022年第3号）</w:t>
            </w:r>
            <w:bookmarkEnd w:id="34"/>
          </w:p>
        </w:tc>
        <w:tc>
          <w:tcPr>
            <w:tcW w:w="2104" w:type="pct"/>
            <w:shd w:val="clear" w:color="auto" w:fill="auto"/>
            <w:vAlign w:val="center"/>
          </w:tcPr>
          <w:p w14:paraId="149D77F5">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第五条 从事畜禽饲养、屠宰、经营、隔离等活动的单位和个人，应当承担主体责任，按照本办法对病死畜禽和病害畜禽产品进行无害化处理，或者委托病死畜禽无害化处理场处理。</w:t>
            </w:r>
          </w:p>
          <w:p w14:paraId="0C4422F0">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畜禽养殖场、屠宰厂（场）、隔离场委托病死畜禽无害化处理场处理的，应当符合以下要求：</w:t>
            </w:r>
          </w:p>
          <w:p w14:paraId="2CFD02CB">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（一）采取必要的冷藏冷冻、清洗消毒等措施；</w:t>
            </w:r>
          </w:p>
          <w:p w14:paraId="0160E2AB">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（二）具有病死畜禽和病害畜禽产品输出通道；</w:t>
            </w:r>
          </w:p>
          <w:p w14:paraId="5013380C">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（三）及时通知病死畜禽无害化处理场进行收集，或自行送至指定地点。</w:t>
            </w:r>
          </w:p>
        </w:tc>
        <w:tc>
          <w:tcPr>
            <w:tcW w:w="1663" w:type="pct"/>
            <w:shd w:val="clear" w:color="auto" w:fill="auto"/>
            <w:vAlign w:val="center"/>
          </w:tcPr>
          <w:p w14:paraId="0C5A1009">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本项目饲养区内清洁道、污染道分设，在隔离区单独设置冷冻间，用于暂存产生的病死牛及分娩废物，产生的病死牛及分娩废物不得随意处置，经冷冻间暂存，及时委托双鸭山百奥迈斯生物科技有限公司统一处理（协议见附件），因此本项目符合《动物防疫条件审查办法》（2022年第8号，2022年12月1日起施行）</w:t>
            </w:r>
          </w:p>
        </w:tc>
        <w:tc>
          <w:tcPr>
            <w:tcW w:w="340" w:type="pct"/>
            <w:shd w:val="clear" w:color="auto" w:fill="auto"/>
            <w:vAlign w:val="center"/>
          </w:tcPr>
          <w:p w14:paraId="7625DD6B">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190E4E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3831F945">
            <w:pPr>
              <w:pStyle w:val="38"/>
              <w:jc w:val="both"/>
              <w:rPr>
                <w:rFonts w:hint="default" w:ascii="Times New Roman" w:hAnsi="Times New Roman" w:eastAsia="宋体" w:cs="Times New Roman"/>
                <w:color w:val="auto"/>
                <w:sz w:val="21"/>
                <w:szCs w:val="21"/>
                <w:highlight w:val="none"/>
                <w:lang w:eastAsia="zh-CN"/>
              </w:rPr>
            </w:pPr>
            <w:bookmarkStart w:id="35" w:name="_Hlk169513177"/>
            <w:r>
              <w:rPr>
                <w:rFonts w:hint="default" w:ascii="Times New Roman" w:hAnsi="Times New Roman" w:eastAsia="宋体" w:cs="Times New Roman"/>
                <w:color w:val="auto"/>
                <w:sz w:val="21"/>
                <w:szCs w:val="21"/>
                <w:highlight w:val="none"/>
                <w:lang w:eastAsia="zh-CN"/>
              </w:rPr>
              <w:t>《黑龙江省主体功能区划》</w:t>
            </w:r>
            <w:bookmarkEnd w:id="35"/>
          </w:p>
        </w:tc>
        <w:tc>
          <w:tcPr>
            <w:tcW w:w="2104" w:type="pct"/>
            <w:shd w:val="clear" w:color="auto" w:fill="auto"/>
            <w:vAlign w:val="center"/>
          </w:tcPr>
          <w:p w14:paraId="0F14706E">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双鸭山市</w:t>
            </w:r>
            <w:r>
              <w:rPr>
                <w:rFonts w:hint="default" w:ascii="Times New Roman" w:hAnsi="Times New Roman" w:eastAsia="宋体" w:cs="Times New Roman"/>
                <w:color w:val="auto"/>
                <w:sz w:val="21"/>
                <w:szCs w:val="21"/>
                <w:highlight w:val="none"/>
                <w:lang w:val="en-US" w:eastAsia="zh-CN"/>
              </w:rPr>
              <w:t>集贤县</w:t>
            </w:r>
            <w:r>
              <w:rPr>
                <w:rFonts w:hint="default" w:ascii="Times New Roman" w:hAnsi="Times New Roman" w:eastAsia="宋体" w:cs="Times New Roman"/>
                <w:color w:val="auto"/>
                <w:sz w:val="21"/>
                <w:szCs w:val="21"/>
                <w:highlight w:val="none"/>
              </w:rPr>
              <w:t>，为省级重点开发</w:t>
            </w:r>
            <w:r>
              <w:rPr>
                <w:rFonts w:hint="default" w:ascii="Times New Roman" w:hAnsi="Times New Roman" w:eastAsia="宋体" w:cs="Times New Roman"/>
                <w:color w:val="auto"/>
                <w:sz w:val="21"/>
                <w:szCs w:val="21"/>
                <w:highlight w:val="none"/>
                <w:lang w:val="en-US" w:eastAsia="zh-CN"/>
              </w:rPr>
              <w:t>城镇</w:t>
            </w:r>
            <w:r>
              <w:rPr>
                <w:rFonts w:hint="default" w:ascii="Times New Roman" w:hAnsi="Times New Roman" w:eastAsia="宋体" w:cs="Times New Roman"/>
                <w:color w:val="auto"/>
                <w:sz w:val="21"/>
                <w:szCs w:val="21"/>
                <w:highlight w:val="none"/>
              </w:rPr>
              <w:t>。</w:t>
            </w:r>
          </w:p>
          <w:p w14:paraId="227DC77D">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功能定位：全省重要的能源、煤电化基地和钢铁生产基地，安全优质农畜产品生产加工基地。</w:t>
            </w:r>
          </w:p>
          <w:p w14:paraId="6D26DDF7">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产业发展方向及布局：发展煤炭、电力、煤化工、钢铁、农畜产品加工、新建材、新能源等七大主导产业。煤化工产业重点发展煤炭气化、液化为路径的甲醇、合成氨、尿素等石化替代产业及其下游产品开发、石油和天然气的开发利用。钢铁产业重点发展优质特种钢和铸造、机械加工等产业。发展绿色食品精深加工、生物质能、生物化工、新建材、新能源等产业。尖山区重点发展现代服务业；岭东区重点发展煤炭、煤化工、冶金、建材产业；四方台区重点发展煤炭、煤炭深加工、建材、特种物流业以及煤化工产业配套行业；宝山区重点发展煤炭、电力以及能源综合利用产业。</w:t>
            </w:r>
          </w:p>
          <w:p w14:paraId="79B92914">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生态建设：加强水土流失预防和治理。开展重点矿区生态修复、环境治理和水资源保护，加强煤矸石、粉煤灰、钢渣等废弃物和采煤沉陷区综合治理，提高矿区土地复垦和矿井水回收利用率。</w:t>
            </w:r>
          </w:p>
          <w:p w14:paraId="113F8CE6">
            <w:pPr>
              <w:pStyle w:val="38"/>
              <w:keepNext w:val="0"/>
              <w:keepLines w:val="0"/>
              <w:pageBreakBefore w:val="0"/>
              <w:widowControl/>
              <w:kinsoku/>
              <w:wordWrap/>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基础设施建设：提升城市总体功能，完善各类产业园区的外部配套基础设施，加快东部煤、粮、钢等大宗物品的仓储物流以及运输通道建设，逐步实施城市中心区扩大工程。</w:t>
            </w:r>
          </w:p>
        </w:tc>
        <w:tc>
          <w:tcPr>
            <w:tcW w:w="1663" w:type="pct"/>
            <w:shd w:val="clear" w:color="auto" w:fill="auto"/>
            <w:vAlign w:val="center"/>
          </w:tcPr>
          <w:p w14:paraId="2C77A1DB">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本项目为</w:t>
            </w:r>
            <w:r>
              <w:rPr>
                <w:rFonts w:hint="default" w:ascii="Times New Roman" w:hAnsi="Times New Roman" w:eastAsia="宋体" w:cs="Times New Roman"/>
                <w:color w:val="auto"/>
                <w:sz w:val="21"/>
                <w:szCs w:val="21"/>
                <w:highlight w:val="none"/>
                <w:lang w:val="en-US" w:eastAsia="zh-CN"/>
              </w:rPr>
              <w:t>肉</w:t>
            </w:r>
            <w:r>
              <w:rPr>
                <w:rFonts w:hint="default" w:ascii="Times New Roman" w:hAnsi="Times New Roman" w:eastAsia="宋体" w:cs="Times New Roman"/>
                <w:color w:val="auto"/>
                <w:sz w:val="21"/>
                <w:szCs w:val="21"/>
                <w:highlight w:val="none"/>
                <w:lang w:eastAsia="zh-CN"/>
              </w:rPr>
              <w:t>牛养殖项目，养殖过程中应加强环境管理，发挥环保职能，使各项环保措施得到充分的发挥和利用。此外，在项目运营过程中，应强化企业管理，提高生产管理水平及环境管理水平，在实践中不断地改进工艺技术、最大限度地提高资源、能源的利用水平和改变产品体系，采取养殖工艺过程控制与末端治理相结合的污染防治措施。在项目实施的各个阶段应加强监督及环保措施、及时监测各污染物排放浓度变化情况，保证污染物达标排放，对环境影响较小。从环保角度看，本项目建设符合《黑龙江省主体功能区划》。</w:t>
            </w:r>
          </w:p>
        </w:tc>
        <w:tc>
          <w:tcPr>
            <w:tcW w:w="340" w:type="pct"/>
            <w:shd w:val="clear" w:color="auto" w:fill="auto"/>
            <w:vAlign w:val="center"/>
          </w:tcPr>
          <w:p w14:paraId="04890EED">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5819F5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EB2D2FA">
            <w:pPr>
              <w:pStyle w:val="38"/>
              <w:jc w:val="both"/>
              <w:rPr>
                <w:rFonts w:hint="default" w:ascii="Times New Roman" w:hAnsi="Times New Roman" w:eastAsia="宋体" w:cs="Times New Roman"/>
                <w:color w:val="auto"/>
                <w:sz w:val="21"/>
                <w:szCs w:val="21"/>
                <w:highlight w:val="none"/>
                <w:lang w:eastAsia="zh-CN"/>
              </w:rPr>
            </w:pPr>
            <w:bookmarkStart w:id="36" w:name="_Hlk169513181"/>
            <w:r>
              <w:rPr>
                <w:rFonts w:hint="default" w:ascii="Times New Roman" w:hAnsi="Times New Roman" w:eastAsia="宋体" w:cs="Times New Roman"/>
                <w:color w:val="auto"/>
                <w:sz w:val="21"/>
                <w:szCs w:val="21"/>
                <w:highlight w:val="none"/>
                <w:lang w:eastAsia="zh-CN"/>
              </w:rPr>
              <w:t>《黑龙江省生态功能区划》</w:t>
            </w:r>
            <w:bookmarkEnd w:id="36"/>
          </w:p>
        </w:tc>
        <w:tc>
          <w:tcPr>
            <w:tcW w:w="2104" w:type="pct"/>
            <w:shd w:val="clear" w:color="auto" w:fill="auto"/>
            <w:vAlign w:val="center"/>
          </w:tcPr>
          <w:p w14:paraId="5D54BF13">
            <w:pPr>
              <w:pStyle w:val="38"/>
              <w:keepNext w:val="0"/>
              <w:keepLines w:val="0"/>
              <w:pageBreakBefore w:val="0"/>
              <w:widowControl/>
              <w:kinsoku w:val="0"/>
              <w:wordWrap/>
              <w:overflowPunct/>
              <w:topLinePunct/>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位于《黑龙江省生态功能区划》Ⅰ—5—1—2拉—阿河流域农业与土壤保持生态功能区，主要生态环境问题为坡耕地较多，水土流失较重；地表形态景观破坏严重；生态环境敏感性为大部分地区土壤侵蚀敏感性为中度或轻度敏感；主要生态系统服务功能为土壤保持、自然人文景观保护和生态系统产品提供；保护措施与发展方向为保护森林植被，加大生态农业建设，防止水土流失</w:t>
            </w:r>
            <w:r>
              <w:rPr>
                <w:rFonts w:hint="default" w:ascii="Times New Roman" w:hAnsi="Times New Roman" w:eastAsia="宋体" w:cs="Times New Roman"/>
                <w:color w:val="auto"/>
                <w:sz w:val="21"/>
                <w:szCs w:val="21"/>
                <w:highlight w:val="none"/>
                <w:lang w:eastAsia="zh-CN"/>
              </w:rPr>
              <w:t>。</w:t>
            </w:r>
          </w:p>
        </w:tc>
        <w:tc>
          <w:tcPr>
            <w:tcW w:w="1663" w:type="pct"/>
            <w:shd w:val="clear" w:color="auto" w:fill="auto"/>
            <w:vAlign w:val="center"/>
          </w:tcPr>
          <w:p w14:paraId="1733184B">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部分土建工程施工过程中的挖方、填方等施工活动，将会在短期内加大水土流失量。项目占地类型为设施农用地，占地内无国家和地方保护物种，现状场区地面基本硬化。项目建成后通过绿化工程等措施，将最大程度减缓对生态环境的影响。项目对景观与视觉环境的负面影响主要表现在施工期。本项目施工过程中应严格将活动范围控制在本项目用地范围内，不占用</w:t>
            </w:r>
            <w:r>
              <w:rPr>
                <w:rFonts w:hint="eastAsia" w:ascii="Times New Roman" w:hAnsi="Times New Roman" w:eastAsia="宋体" w:cs="Times New Roman"/>
                <w:color w:val="auto"/>
                <w:sz w:val="21"/>
                <w:szCs w:val="21"/>
                <w:highlight w:val="none"/>
                <w:lang w:eastAsia="zh-CN"/>
              </w:rPr>
              <w:t>其他</w:t>
            </w:r>
            <w:r>
              <w:rPr>
                <w:rFonts w:hint="default" w:ascii="Times New Roman" w:hAnsi="Times New Roman" w:eastAsia="宋体" w:cs="Times New Roman"/>
                <w:color w:val="auto"/>
                <w:sz w:val="21"/>
                <w:szCs w:val="21"/>
                <w:highlight w:val="none"/>
                <w:lang w:eastAsia="zh-CN"/>
              </w:rPr>
              <w:t>土地。合理安排施工期，避免雨天施工，通过采取上述措施可将本项目施工期对土地的扰动降到最低，因此项目建设对周边生态环境影响较小，符合</w:t>
            </w:r>
            <w:r>
              <w:rPr>
                <w:rFonts w:hint="default" w:ascii="Times New Roman" w:hAnsi="Times New Roman" w:eastAsia="宋体" w:cs="Times New Roman"/>
                <w:color w:val="auto"/>
                <w:sz w:val="21"/>
                <w:szCs w:val="21"/>
                <w:highlight w:val="none"/>
              </w:rPr>
              <w:t>《黑龙江省生态功能区划》</w:t>
            </w:r>
            <w:r>
              <w:rPr>
                <w:rFonts w:hint="default" w:ascii="Times New Roman" w:hAnsi="Times New Roman" w:eastAsia="宋体" w:cs="Times New Roman"/>
                <w:color w:val="auto"/>
                <w:sz w:val="21"/>
                <w:szCs w:val="21"/>
                <w:highlight w:val="none"/>
                <w:lang w:eastAsia="zh-CN"/>
              </w:rPr>
              <w:t>。</w:t>
            </w:r>
          </w:p>
        </w:tc>
        <w:tc>
          <w:tcPr>
            <w:tcW w:w="340" w:type="pct"/>
            <w:shd w:val="clear" w:color="auto" w:fill="auto"/>
            <w:vAlign w:val="center"/>
          </w:tcPr>
          <w:p w14:paraId="1E37A74D">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2D9E62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7AAB9581">
            <w:pPr>
              <w:pStyle w:val="38"/>
              <w:jc w:val="both"/>
              <w:rPr>
                <w:rFonts w:hint="default" w:ascii="Times New Roman" w:hAnsi="Times New Roman" w:eastAsia="宋体" w:cs="Times New Roman"/>
                <w:color w:val="auto"/>
                <w:sz w:val="21"/>
                <w:szCs w:val="21"/>
                <w:highlight w:val="none"/>
                <w:lang w:eastAsia="zh-CN"/>
              </w:rPr>
            </w:pPr>
            <w:bookmarkStart w:id="37" w:name="_Hlk169513185"/>
            <w:r>
              <w:rPr>
                <w:rFonts w:hint="default" w:ascii="Times New Roman" w:hAnsi="Times New Roman" w:eastAsia="宋体" w:cs="Times New Roman"/>
                <w:color w:val="auto"/>
                <w:sz w:val="21"/>
                <w:szCs w:val="21"/>
                <w:highlight w:val="none"/>
                <w:lang w:eastAsia="zh-CN"/>
              </w:rPr>
              <w:t>《黑龙江省水污染防治条例》</w:t>
            </w:r>
            <w:bookmarkEnd w:id="37"/>
          </w:p>
        </w:tc>
        <w:tc>
          <w:tcPr>
            <w:tcW w:w="2104" w:type="pct"/>
            <w:shd w:val="clear" w:color="auto" w:fill="auto"/>
            <w:vAlign w:val="center"/>
          </w:tcPr>
          <w:p w14:paraId="2144A53D">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第四十二条 畜禽养殖场、养殖小区应当根据养殖规模和污染防治需要，配套建设节水控污养殖设施以及防雨、防渗、防溢流的畜禽粪便和污水的贮存、处理、利用设施，对畜禽养殖废弃物实施综合利用、无害化处理、就地就农资源化利用，制定粪便、污水资源化利用计划，建立台账。</w:t>
            </w:r>
          </w:p>
          <w:p w14:paraId="6183E81B">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已经委托他人对畜禽养殖废弃物代为综合利用和无害化处理的，可以不自行建设综合利用和无害化处理设施，但应当建设符合要求的、相应的畜禽粪便、污水暂存设施。</w:t>
            </w:r>
          </w:p>
          <w:p w14:paraId="1C6C3093">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畜禽粪便、污水消纳用地应当与养殖规模相适应，粪便、污水还田应当根据粪肥使用时间以及使用量合理施用，不得超过土地消纳能力。</w:t>
            </w:r>
          </w:p>
          <w:p w14:paraId="7D9025EE">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第四十三条 县级人民政府应当确定本行政区域的畜禽散养密集区。</w:t>
            </w:r>
          </w:p>
          <w:p w14:paraId="1E0C13F3">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畜禽散养密集区所在地县级人民政府应当组织对畜禽粪便、污水进行集中处理利用，督促乡镇人民政府建设或者配备污染防治配套设施。</w:t>
            </w:r>
          </w:p>
          <w:p w14:paraId="23936CC7">
            <w:pPr>
              <w:pStyle w:val="38"/>
              <w:keepNext w:val="0"/>
              <w:keepLines w:val="0"/>
              <w:pageBreakBefore w:val="0"/>
              <w:widowControl/>
              <w:kinsoku/>
              <w:wordWrap w:val="0"/>
              <w:overflowPunct/>
              <w:topLinePunct w:val="0"/>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畜禽散养密集区所在地乡镇人民政府应当加强畜禽养殖户管理，建设或者配备相应的防雨、防渗、防溢流的畜禽粪便、污水收集、贮存等污染防治设施，组织对畜禽粪便、污水进行分户收集、集中处理利用。</w:t>
            </w:r>
          </w:p>
        </w:tc>
        <w:tc>
          <w:tcPr>
            <w:tcW w:w="1663" w:type="pct"/>
            <w:shd w:val="clear" w:color="auto" w:fill="auto"/>
            <w:vAlign w:val="center"/>
          </w:tcPr>
          <w:p w14:paraId="31E44ACC">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项目采用干撒式发酵床工艺，牛舍产生的牛尿一部分供微生物繁殖使用，一部分被升温转换为气体排出发酵床，不外排；牛舍更换的发酵床垫料，定期外售至有机肥厂；生活污水排入化粪池，定期清掏，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实现畜禽粪污</w:t>
            </w:r>
            <w:r>
              <w:rPr>
                <w:rFonts w:hint="default" w:ascii="Times New Roman" w:hAnsi="Times New Roman" w:eastAsia="宋体" w:cs="Times New Roman"/>
                <w:color w:val="auto"/>
                <w:sz w:val="21"/>
                <w:szCs w:val="21"/>
                <w:highlight w:val="none"/>
                <w:lang w:eastAsia="zh-CN"/>
              </w:rPr>
              <w:t>无害化</w:t>
            </w:r>
            <w:r>
              <w:rPr>
                <w:rFonts w:hint="default" w:ascii="Times New Roman" w:hAnsi="Times New Roman" w:eastAsia="宋体" w:cs="Times New Roman"/>
                <w:color w:val="auto"/>
                <w:sz w:val="21"/>
                <w:szCs w:val="21"/>
                <w:highlight w:val="none"/>
              </w:rPr>
              <w:t>综合利用。</w:t>
            </w:r>
          </w:p>
          <w:p w14:paraId="69C0CBF5">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green"/>
                <w:lang w:eastAsia="zh-CN"/>
              </w:rPr>
              <w:t>本项目采取雨污分流的形式，初期雨水经四周排水沟汇入厂区初期雨水收集池内，雨水收集后</w:t>
            </w:r>
            <w:r>
              <w:rPr>
                <w:rFonts w:hint="eastAsia" w:ascii="Times New Roman" w:hAnsi="Times New Roman" w:eastAsia="宋体" w:cs="Times New Roman"/>
                <w:color w:val="auto"/>
                <w:sz w:val="21"/>
                <w:szCs w:val="21"/>
                <w:highlight w:val="green"/>
                <w:lang w:val="en-US" w:eastAsia="zh-CN"/>
              </w:rPr>
              <w:t>拉运至集贤县碧蓝新环境治理有限责任公司进行处理，运动场周围设置围堰，围堰高度40cm，运动场上面设置挡雨棚，牛舍与运动场四周设置雨水导流沟，收集的雨水排入雨水管网</w:t>
            </w:r>
            <w:bookmarkStart w:id="339" w:name="_GoBack"/>
            <w:bookmarkEnd w:id="339"/>
          </w:p>
        </w:tc>
        <w:tc>
          <w:tcPr>
            <w:tcW w:w="340" w:type="pct"/>
            <w:shd w:val="clear" w:color="auto" w:fill="auto"/>
            <w:vAlign w:val="center"/>
          </w:tcPr>
          <w:p w14:paraId="245D62A7">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69DD35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773F34BD">
            <w:pPr>
              <w:pStyle w:val="38"/>
              <w:jc w:val="both"/>
              <w:rPr>
                <w:rFonts w:hint="default" w:ascii="Times New Roman" w:hAnsi="Times New Roman" w:eastAsia="宋体" w:cs="Times New Roman"/>
                <w:color w:val="auto"/>
                <w:sz w:val="21"/>
                <w:szCs w:val="21"/>
                <w:highlight w:val="none"/>
                <w:lang w:eastAsia="zh-CN"/>
              </w:rPr>
            </w:pPr>
            <w:bookmarkStart w:id="38" w:name="_Hlk169513191"/>
            <w:r>
              <w:rPr>
                <w:rFonts w:hint="default" w:ascii="Times New Roman" w:hAnsi="Times New Roman" w:eastAsia="宋体" w:cs="Times New Roman"/>
                <w:color w:val="auto"/>
                <w:sz w:val="21"/>
                <w:szCs w:val="21"/>
                <w:highlight w:val="none"/>
                <w:lang w:eastAsia="zh-CN"/>
              </w:rPr>
              <w:t>《黑龙江省人民政府关于印发黑龙江省“十四五”土壤地下水和农村生态环境保护规划的通知》</w:t>
            </w:r>
            <w:bookmarkEnd w:id="38"/>
          </w:p>
        </w:tc>
        <w:tc>
          <w:tcPr>
            <w:tcW w:w="2104" w:type="pct"/>
            <w:shd w:val="clear" w:color="auto" w:fill="auto"/>
            <w:vAlign w:val="center"/>
          </w:tcPr>
          <w:p w14:paraId="4ED73EF4">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全面加强养殖业污染防治。养殖大县编制实施畜禽养殖污染防治规划；加强规模化畜禽养殖场规范化建设，强化规模以下畜禽粪污治理，推进畜禽粪污资源化利用，在乡镇建设统一标准的粪污贮存点；推动种养结合，以26个养殖大县为重点，整县推进畜禽粪污资源化利用；严格对规模以上畜禽养殖场（小区）环境监管执法，对设有固定排污口的畜禽规模养殖场实施排污许可制度；鼓励规模以下畜禽养殖户采用“种养结合”“截污建池、收运还田”等模式，在散养密集区支持建立粪污集中处理中心。到2025年，全省畜禽粪污综合利用率达到85%</w:t>
            </w:r>
          </w:p>
        </w:tc>
        <w:tc>
          <w:tcPr>
            <w:tcW w:w="1663" w:type="pct"/>
            <w:shd w:val="clear" w:color="auto" w:fill="auto"/>
            <w:vAlign w:val="center"/>
          </w:tcPr>
          <w:p w14:paraId="32970011">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项目拟采用干撒式发酵床工艺，牛舍产生的牛尿一部分供微生物繁殖使用，一部分被升温转换为气体排出发酵床，不外排；牛舍更换的发酵床垫料，定期外售至有机肥厂；生活污水排入化粪池，定期清掏，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实现畜禽粪污</w:t>
            </w:r>
            <w:r>
              <w:rPr>
                <w:rFonts w:hint="default" w:ascii="Times New Roman" w:hAnsi="Times New Roman" w:eastAsia="宋体" w:cs="Times New Roman"/>
                <w:color w:val="auto"/>
                <w:sz w:val="21"/>
                <w:szCs w:val="21"/>
                <w:highlight w:val="none"/>
                <w:lang w:eastAsia="zh-CN"/>
              </w:rPr>
              <w:t>无害化</w:t>
            </w:r>
            <w:r>
              <w:rPr>
                <w:rFonts w:hint="default" w:ascii="Times New Roman" w:hAnsi="Times New Roman" w:eastAsia="宋体" w:cs="Times New Roman"/>
                <w:color w:val="auto"/>
                <w:sz w:val="21"/>
                <w:szCs w:val="21"/>
                <w:highlight w:val="none"/>
              </w:rPr>
              <w:t>综合利用。</w:t>
            </w:r>
            <w:r>
              <w:rPr>
                <w:rFonts w:hint="default" w:ascii="Times New Roman" w:hAnsi="Times New Roman" w:eastAsia="宋体" w:cs="Times New Roman"/>
                <w:color w:val="auto"/>
                <w:sz w:val="21"/>
                <w:szCs w:val="21"/>
                <w:highlight w:val="none"/>
                <w:lang w:eastAsia="zh-CN"/>
              </w:rPr>
              <w:t>因此，本项目的建设符合《黑龙江省人民政府关于印发黑龙江省“十四五”土壤地下水和农村生态环境保护规划的通知》要求</w:t>
            </w:r>
            <w:r>
              <w:rPr>
                <w:rFonts w:hint="eastAsia" w:ascii="Times New Roman" w:hAnsi="Times New Roman" w:eastAsia="宋体" w:cs="Times New Roman"/>
                <w:color w:val="auto"/>
                <w:sz w:val="21"/>
                <w:szCs w:val="21"/>
                <w:highlight w:val="none"/>
                <w:lang w:eastAsia="zh-CN"/>
              </w:rPr>
              <w:t>。</w:t>
            </w:r>
          </w:p>
        </w:tc>
        <w:tc>
          <w:tcPr>
            <w:tcW w:w="340" w:type="pct"/>
            <w:shd w:val="clear" w:color="auto" w:fill="auto"/>
            <w:vAlign w:val="center"/>
          </w:tcPr>
          <w:p w14:paraId="65EA5574">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2D36A0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73E126A2">
            <w:pPr>
              <w:pStyle w:val="38"/>
              <w:jc w:val="both"/>
              <w:rPr>
                <w:rFonts w:hint="default" w:ascii="Times New Roman" w:hAnsi="Times New Roman" w:eastAsia="宋体" w:cs="Times New Roman"/>
                <w:color w:val="auto"/>
                <w:sz w:val="21"/>
                <w:szCs w:val="21"/>
                <w:highlight w:val="none"/>
                <w:lang w:eastAsia="zh-CN"/>
              </w:rPr>
            </w:pPr>
            <w:bookmarkStart w:id="39" w:name="_Hlk169513194"/>
            <w:r>
              <w:rPr>
                <w:rFonts w:hint="default" w:ascii="Times New Roman" w:hAnsi="Times New Roman" w:eastAsia="宋体" w:cs="Times New Roman"/>
                <w:color w:val="auto"/>
                <w:sz w:val="21"/>
                <w:szCs w:val="21"/>
                <w:highlight w:val="none"/>
                <w:lang w:eastAsia="zh-CN"/>
              </w:rPr>
              <w:t>《黑龙江省“十四五”生态环境保护规划》</w:t>
            </w:r>
            <w:bookmarkEnd w:id="39"/>
          </w:p>
        </w:tc>
        <w:tc>
          <w:tcPr>
            <w:tcW w:w="2104" w:type="pct"/>
            <w:shd w:val="clear" w:color="auto" w:fill="auto"/>
            <w:vAlign w:val="center"/>
          </w:tcPr>
          <w:p w14:paraId="5F44F518">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（1）推广清洁养殖方式。</w:t>
            </w:r>
          </w:p>
          <w:p w14:paraId="737B9174">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推进养殖生产清洁化和产业模式生态化，优化调整养殖业空间布局，积极发展健康养殖方式，带动养殖业绿色可持续发展。推广节水、节料等清洁养殖工艺和机械干清粪工艺、微生物发酵等实用技术，实现源头减量。</w:t>
            </w:r>
          </w:p>
          <w:p w14:paraId="6687F305">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加强养殖污染管控。推进县域畜禽养殖污染防治，规范畜禽养殖禁养区调整。对设有固定排污口的畜禽规模养殖场实施排污许可制度。严格畜禽规模养殖环境监管执法，将规模以上畜禽养殖场纳入重点污染源管理，确保畜禽粪污处理设施正常运转。</w:t>
            </w:r>
          </w:p>
          <w:p w14:paraId="1F9409F7">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推进畜禽粪污资源化利用。开展整县推进畜禽粪污资源化利用试点，推广粪污就地就近全量还田模式。鼓励和引导第三方处理企业将养殖场（户）畜禽粪污进行专业化集中处理。在散养密集区支持建立粪污集中处理中心，鼓励规模以下畜禽养殖户采用“种养结合”“截污建池、收运还田”等模式。到2025年，全省畜禽粪污综合利用率达到85%以上，规模养殖场粪污处理设施装备配套率保持在97%以上。</w:t>
            </w:r>
          </w:p>
        </w:tc>
        <w:tc>
          <w:tcPr>
            <w:tcW w:w="1663" w:type="pct"/>
            <w:shd w:val="clear" w:color="auto" w:fill="auto"/>
            <w:vAlign w:val="center"/>
          </w:tcPr>
          <w:p w14:paraId="0D4F1EFA">
            <w:pPr>
              <w:pStyle w:val="38"/>
              <w:jc w:val="both"/>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项目采用干撒式发酵床工艺，</w:t>
            </w:r>
            <w:r>
              <w:rPr>
                <w:rFonts w:hint="default" w:ascii="Times New Roman" w:hAnsi="Times New Roman" w:eastAsia="宋体" w:cs="Times New Roman"/>
                <w:color w:val="FF0000"/>
                <w:sz w:val="21"/>
                <w:szCs w:val="21"/>
                <w:highlight w:val="none"/>
              </w:rPr>
              <w:t>养殖生产清洁化</w:t>
            </w:r>
            <w:r>
              <w:rPr>
                <w:rFonts w:hint="default" w:ascii="Times New Roman" w:hAnsi="Times New Roman" w:eastAsia="宋体" w:cs="Times New Roman"/>
                <w:color w:val="FF0000"/>
                <w:sz w:val="21"/>
                <w:szCs w:val="21"/>
                <w:highlight w:val="none"/>
                <w:lang w:eastAsia="zh-CN"/>
              </w:rPr>
              <w:t>，</w:t>
            </w:r>
            <w:r>
              <w:rPr>
                <w:rFonts w:hint="default" w:ascii="Times New Roman" w:hAnsi="Times New Roman" w:eastAsia="宋体" w:cs="Times New Roman"/>
                <w:color w:val="FF0000"/>
                <w:sz w:val="21"/>
                <w:szCs w:val="21"/>
                <w:highlight w:val="none"/>
                <w:lang w:val="en-US" w:eastAsia="zh-CN"/>
              </w:rPr>
              <w:t>属于</w:t>
            </w:r>
            <w:r>
              <w:rPr>
                <w:rFonts w:hint="default" w:ascii="Times New Roman" w:hAnsi="Times New Roman" w:eastAsia="宋体" w:cs="Times New Roman"/>
                <w:color w:val="FF0000"/>
                <w:sz w:val="21"/>
                <w:szCs w:val="21"/>
                <w:highlight w:val="none"/>
              </w:rPr>
              <w:t>节水、节料等清洁养殖工艺和机械干清粪工艺、微生物发酵等技术</w:t>
            </w:r>
            <w:r>
              <w:rPr>
                <w:rFonts w:hint="default" w:ascii="Times New Roman" w:hAnsi="Times New Roman" w:eastAsia="宋体" w:cs="Times New Roman"/>
                <w:color w:val="FF0000"/>
                <w:sz w:val="21"/>
                <w:szCs w:val="21"/>
                <w:highlight w:val="none"/>
                <w:lang w:eastAsia="zh-CN"/>
              </w:rPr>
              <w:t>，</w:t>
            </w:r>
            <w:r>
              <w:rPr>
                <w:rFonts w:hint="default" w:ascii="Times New Roman" w:hAnsi="Times New Roman" w:eastAsia="宋体" w:cs="Times New Roman"/>
                <w:color w:val="FF0000"/>
                <w:sz w:val="21"/>
                <w:szCs w:val="21"/>
                <w:highlight w:val="none"/>
                <w:lang w:val="en-US" w:eastAsia="zh-CN"/>
              </w:rPr>
              <w:t>粪污外售制肥，</w:t>
            </w:r>
            <w:r>
              <w:rPr>
                <w:rFonts w:hint="default" w:ascii="Times New Roman" w:hAnsi="Times New Roman" w:eastAsia="宋体" w:cs="Times New Roman"/>
                <w:color w:val="FF0000"/>
                <w:sz w:val="21"/>
                <w:szCs w:val="21"/>
                <w:highlight w:val="none"/>
              </w:rPr>
              <w:t>实现畜禽粪污</w:t>
            </w:r>
            <w:r>
              <w:rPr>
                <w:rFonts w:hint="default" w:ascii="Times New Roman" w:hAnsi="Times New Roman" w:eastAsia="宋体" w:cs="Times New Roman"/>
                <w:color w:val="FF0000"/>
                <w:sz w:val="21"/>
                <w:szCs w:val="21"/>
                <w:highlight w:val="none"/>
                <w:lang w:eastAsia="zh-CN"/>
              </w:rPr>
              <w:t>无害化</w:t>
            </w:r>
            <w:r>
              <w:rPr>
                <w:rFonts w:hint="default" w:ascii="Times New Roman" w:hAnsi="Times New Roman" w:eastAsia="宋体" w:cs="Times New Roman"/>
                <w:color w:val="FF0000"/>
                <w:sz w:val="21"/>
                <w:szCs w:val="21"/>
                <w:highlight w:val="none"/>
              </w:rPr>
              <w:t>综合利用。</w:t>
            </w:r>
            <w:r>
              <w:rPr>
                <w:rFonts w:hint="default" w:ascii="Times New Roman" w:hAnsi="Times New Roman" w:eastAsia="宋体" w:cs="Times New Roman"/>
                <w:color w:val="FF0000"/>
                <w:sz w:val="21"/>
                <w:szCs w:val="21"/>
                <w:highlight w:val="none"/>
                <w:lang w:eastAsia="zh-CN"/>
              </w:rPr>
              <w:t>因此，本项目的建设符合《黑龙江省“十四五”生态环境保护规划》要求</w:t>
            </w:r>
            <w:r>
              <w:rPr>
                <w:rFonts w:hint="eastAsia" w:ascii="Times New Roman" w:hAnsi="Times New Roman" w:eastAsia="宋体" w:cs="Times New Roman"/>
                <w:color w:val="FF0000"/>
                <w:sz w:val="21"/>
                <w:szCs w:val="21"/>
                <w:highlight w:val="none"/>
                <w:lang w:eastAsia="zh-CN"/>
              </w:rPr>
              <w:t>。</w:t>
            </w:r>
          </w:p>
        </w:tc>
        <w:tc>
          <w:tcPr>
            <w:tcW w:w="340" w:type="pct"/>
            <w:shd w:val="clear" w:color="auto" w:fill="auto"/>
            <w:vAlign w:val="center"/>
          </w:tcPr>
          <w:p w14:paraId="2F6412EB">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2B2BC6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3D101AE0">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《双鸭山市“十四五”生态环境保护规划》</w:t>
            </w:r>
          </w:p>
        </w:tc>
        <w:tc>
          <w:tcPr>
            <w:tcW w:w="2104" w:type="pct"/>
            <w:shd w:val="clear" w:color="auto" w:fill="auto"/>
            <w:vAlign w:val="center"/>
          </w:tcPr>
          <w:p w14:paraId="269711F9">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推动其他涉气污染物治理。推进大气氨排放控制，注重源头防控，优化饲料结构，强化畜禽养殖业氨排放综合管控；加强氮肥、纯碱等行业氨排放治理，强化工业源烟气脱硫脱硝氨逃逸防控。推动开展消耗臭氧层物质和氢氟碳化物环境管理。开展重点行业恶臭综合治理，推动恶臭投诉集中的重点企业和园区安装运行在线监测预警系统。</w:t>
            </w:r>
          </w:p>
        </w:tc>
        <w:tc>
          <w:tcPr>
            <w:tcW w:w="1663" w:type="pct"/>
            <w:shd w:val="clear" w:color="auto" w:fill="auto"/>
            <w:vAlign w:val="center"/>
          </w:tcPr>
          <w:p w14:paraId="79B9013C">
            <w:pPr>
              <w:pStyle w:val="38"/>
              <w:keepNext w:val="0"/>
              <w:keepLines w:val="0"/>
              <w:pageBreakBefore w:val="0"/>
              <w:widowControl/>
              <w:kinsoku/>
              <w:wordWrap/>
              <w:overflowPunct/>
              <w:topLinePunct/>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牛舍加强通风换气，定期喷洒植物液除臭剂，加强场区绿化。</w:t>
            </w:r>
            <w:r>
              <w:rPr>
                <w:rFonts w:hint="default" w:ascii="Times New Roman" w:hAnsi="Times New Roman" w:eastAsia="宋体" w:cs="Times New Roman"/>
                <w:color w:val="0000FF"/>
                <w:sz w:val="21"/>
                <w:szCs w:val="21"/>
                <w:highlight w:val="none"/>
                <w:lang w:val="en-US" w:eastAsia="zh-CN"/>
              </w:rPr>
              <w:t>粪污储存间密闭形式车间经集气罩收集后，产生的恶臭气体通过活性炭吸附处理后经过15m高排气筒排放</w:t>
            </w:r>
            <w:r>
              <w:rPr>
                <w:rFonts w:hint="eastAsia" w:ascii="Times New Roman" w:hAnsi="Times New Roman" w:eastAsia="宋体" w:cs="Times New Roman"/>
                <w:color w:val="0000FF"/>
                <w:sz w:val="21"/>
                <w:szCs w:val="21"/>
                <w:highlight w:val="none"/>
                <w:lang w:val="en-US" w:eastAsia="zh-CN"/>
              </w:rPr>
              <w:t>。</w:t>
            </w:r>
          </w:p>
          <w:p w14:paraId="0DE0CA35">
            <w:pPr>
              <w:pStyle w:val="38"/>
              <w:keepNext w:val="0"/>
              <w:keepLines w:val="0"/>
              <w:pageBreakBefore w:val="0"/>
              <w:widowControl/>
              <w:kinsoku/>
              <w:wordWrap/>
              <w:overflowPunct/>
              <w:topLinePunct/>
              <w:autoSpaceDE w:val="0"/>
              <w:autoSpaceDN w:val="0"/>
              <w:bidi w:val="0"/>
              <w:adjustRightInd w:val="0"/>
              <w:snapToGrid w:val="0"/>
              <w:jc w:val="both"/>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green"/>
                <w:lang w:val="en-US" w:eastAsia="zh-CN"/>
              </w:rPr>
              <w:t>臭气浓度参照执行《恶臭污染物排放标准》 (GB14554-93）表 1 中二级新改扩建标准</w:t>
            </w:r>
            <w:r>
              <w:rPr>
                <w:rFonts w:hint="eastAsia" w:ascii="Times New Roman" w:hAnsi="Times New Roman" w:eastAsia="宋体" w:cs="Times New Roman"/>
                <w:color w:val="auto"/>
                <w:sz w:val="21"/>
                <w:szCs w:val="21"/>
                <w:highlight w:val="green"/>
                <w:lang w:val="en-US" w:eastAsia="zh-CN"/>
              </w:rPr>
              <w:t>。</w:t>
            </w:r>
            <w:r>
              <w:rPr>
                <w:rFonts w:hint="default" w:ascii="Times New Roman" w:hAnsi="Times New Roman" w:eastAsia="宋体" w:cs="Times New Roman"/>
                <w:color w:val="auto"/>
                <w:sz w:val="21"/>
                <w:szCs w:val="21"/>
                <w:highlight w:val="green"/>
                <w:lang w:eastAsia="zh-CN"/>
              </w:rPr>
              <w:t>因此，本项目的建设符合《双鸭山市“十四五”生态环境保护规划》中要求。</w:t>
            </w:r>
          </w:p>
        </w:tc>
        <w:tc>
          <w:tcPr>
            <w:tcW w:w="340" w:type="pct"/>
            <w:shd w:val="clear" w:color="auto" w:fill="auto"/>
            <w:vAlign w:val="center"/>
          </w:tcPr>
          <w:p w14:paraId="591C20C1">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3BB969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25C435DC">
            <w:pPr>
              <w:pStyle w:val="38"/>
              <w:jc w:val="both"/>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《黑龙江省人民政府办公厅关于印发黑龙江省黑土地保护工程实施方案（2021</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2025年）的通知》</w:t>
            </w:r>
          </w:p>
        </w:tc>
        <w:tc>
          <w:tcPr>
            <w:tcW w:w="2104" w:type="pct"/>
            <w:shd w:val="clear" w:color="auto" w:fill="auto"/>
            <w:vAlign w:val="center"/>
          </w:tcPr>
          <w:p w14:paraId="5D26C89D">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实施有机肥还田。坚持种养结合，将畜禽粪污无害化处理或按比例与秸秆混合高温发酵生产有机肥还田。采用粪肥还田专用机械施用有机肥，结合秸秆粉碎实施深翻整地作业。</w:t>
            </w:r>
          </w:p>
          <w:p w14:paraId="1A9E6794">
            <w:pPr>
              <w:pStyle w:val="38"/>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节约化肥投入。全面实施测土配方施肥，改进施肥方式方法，推广高效新型肥料和配套施肥技术，提高化肥利用率，实现减量增效。强化畜禽粪污综合利用，支持畜禽规模养殖场粪污处理设施改造升级。通过市场化运营模式，在养殖密集区建设畜禽粪污集中处理中心，推进畜禽粪污肥料化生产，以有机肥替代化肥。</w:t>
            </w:r>
          </w:p>
          <w:p w14:paraId="59078897">
            <w:pPr>
              <w:pStyle w:val="38"/>
              <w:jc w:val="both"/>
              <w:rPr>
                <w:rFonts w:hint="default" w:ascii="Times New Roman" w:hAnsi="Times New Roman" w:eastAsia="宋体" w:cs="Times New Roman"/>
                <w:color w:val="auto"/>
                <w:sz w:val="21"/>
                <w:szCs w:val="21"/>
                <w:highlight w:val="none"/>
              </w:rPr>
            </w:pPr>
          </w:p>
        </w:tc>
        <w:tc>
          <w:tcPr>
            <w:tcW w:w="1663" w:type="pct"/>
            <w:shd w:val="clear" w:color="auto" w:fill="auto"/>
            <w:vAlign w:val="center"/>
          </w:tcPr>
          <w:p w14:paraId="6EF8628F">
            <w:pPr>
              <w:pStyle w:val="38"/>
              <w:jc w:val="both"/>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项目拟采用干撒式发酵床工艺，牛舍产生的牛尿一部分供微生物繁殖使用，一部分被升温转换为气体排出发酵床，不外排；牛舍更换的发酵床垫料，定期外售至有机肥厂；生活污水排入化粪池，定期清掏，</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实现畜禽粪污</w:t>
            </w:r>
            <w:r>
              <w:rPr>
                <w:rFonts w:hint="default" w:ascii="Times New Roman" w:hAnsi="Times New Roman" w:eastAsia="宋体" w:cs="Times New Roman"/>
                <w:color w:val="auto"/>
                <w:sz w:val="21"/>
                <w:szCs w:val="21"/>
                <w:highlight w:val="none"/>
                <w:lang w:eastAsia="zh-CN"/>
              </w:rPr>
              <w:t>无害化</w:t>
            </w:r>
            <w:r>
              <w:rPr>
                <w:rFonts w:hint="default" w:ascii="Times New Roman" w:hAnsi="Times New Roman" w:eastAsia="宋体" w:cs="Times New Roman"/>
                <w:color w:val="auto"/>
                <w:sz w:val="21"/>
                <w:szCs w:val="21"/>
                <w:highlight w:val="none"/>
              </w:rPr>
              <w:t>综合利用</w:t>
            </w:r>
            <w:r>
              <w:rPr>
                <w:rFonts w:hint="default" w:ascii="Times New Roman" w:hAnsi="Times New Roman" w:eastAsia="宋体" w:cs="Times New Roman"/>
                <w:color w:val="auto"/>
                <w:sz w:val="21"/>
                <w:szCs w:val="21"/>
                <w:highlight w:val="none"/>
                <w:lang w:val="en-US" w:eastAsia="zh-CN"/>
              </w:rPr>
              <w:t>，符合《黑龙江省人民政府办公厅关于印发黑龙江省黑土地保护工程实施方案（2021—2025年）的通知》相关要求</w:t>
            </w:r>
          </w:p>
        </w:tc>
        <w:tc>
          <w:tcPr>
            <w:tcW w:w="340" w:type="pct"/>
            <w:shd w:val="clear" w:color="auto" w:fill="auto"/>
            <w:vAlign w:val="center"/>
          </w:tcPr>
          <w:p w14:paraId="502E9F6E">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4D7BBC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3718F325">
            <w:pPr>
              <w:pStyle w:val="38"/>
              <w:jc w:val="both"/>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《双鸭山市畜牧产业发展实施方案（2022</w:t>
            </w:r>
            <w:r>
              <w:rPr>
                <w:rFonts w:hint="default" w:ascii="Times New Roman" w:hAnsi="Times New Roman" w:eastAsia="宋体" w:cs="Times New Roman"/>
                <w:color w:val="FF0000"/>
                <w:sz w:val="21"/>
                <w:szCs w:val="21"/>
                <w:highlight w:val="none"/>
                <w:lang w:val="en-US" w:eastAsia="zh-CN"/>
              </w:rPr>
              <w:t>-</w:t>
            </w:r>
            <w:r>
              <w:rPr>
                <w:rFonts w:hint="default" w:ascii="Times New Roman" w:hAnsi="Times New Roman" w:eastAsia="宋体" w:cs="Times New Roman"/>
                <w:color w:val="FF0000"/>
                <w:sz w:val="21"/>
                <w:szCs w:val="21"/>
                <w:highlight w:val="none"/>
              </w:rPr>
              <w:t>2026年）》</w:t>
            </w:r>
          </w:p>
        </w:tc>
        <w:tc>
          <w:tcPr>
            <w:tcW w:w="2104" w:type="pct"/>
            <w:shd w:val="clear" w:color="auto" w:fill="auto"/>
            <w:vAlign w:val="center"/>
          </w:tcPr>
          <w:p w14:paraId="30E2FA1B">
            <w:pPr>
              <w:pStyle w:val="38"/>
              <w:jc w:val="both"/>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重点任务：培育养殖基地。因地制宜发展标准化规模化养殖，建立健全标准化生产体系，各县（区）要建设一批高标准、大规模的养殖基地，最终实现全市畜牧业产业化发展。</w:t>
            </w:r>
            <w:r>
              <w:rPr>
                <w:rFonts w:hint="default" w:ascii="Times New Roman" w:hAnsi="Times New Roman" w:eastAsia="宋体" w:cs="Times New Roman"/>
                <w:color w:val="FF0000"/>
                <w:sz w:val="21"/>
                <w:szCs w:val="21"/>
                <w:highlight w:val="none"/>
                <w:lang w:val="en-US" w:eastAsia="zh-CN"/>
              </w:rPr>
              <w:t>一</w:t>
            </w:r>
            <w:r>
              <w:rPr>
                <w:rFonts w:hint="default" w:ascii="Times New Roman" w:hAnsi="Times New Roman" w:eastAsia="宋体" w:cs="Times New Roman"/>
                <w:color w:val="FF0000"/>
                <w:sz w:val="21"/>
                <w:szCs w:val="21"/>
                <w:highlight w:val="none"/>
              </w:rPr>
              <w:t>是加大生猪规模养殖场建设力度。提升辖区内生猪规模养殖场建设水平。到2026年，预计全市生猪存栏达到50万头，出栏达到90万头。二是扩大肉牛和能繁母牛养殖规模。到2026年，预计全市肉牛存栏达到8万头以上，出栏达到5.5万头。</w:t>
            </w:r>
          </w:p>
        </w:tc>
        <w:tc>
          <w:tcPr>
            <w:tcW w:w="1663" w:type="pct"/>
            <w:shd w:val="clear" w:color="auto" w:fill="auto"/>
            <w:vAlign w:val="center"/>
          </w:tcPr>
          <w:p w14:paraId="6D122305">
            <w:pPr>
              <w:pStyle w:val="38"/>
              <w:jc w:val="both"/>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本项目属于</w:t>
            </w:r>
            <w:r>
              <w:rPr>
                <w:rFonts w:hint="default" w:ascii="Times New Roman" w:hAnsi="Times New Roman" w:eastAsia="宋体" w:cs="Times New Roman"/>
                <w:color w:val="FF0000"/>
                <w:sz w:val="21"/>
                <w:szCs w:val="21"/>
                <w:highlight w:val="none"/>
                <w:lang w:val="en-US" w:eastAsia="zh-CN"/>
              </w:rPr>
              <w:t>肉牛</w:t>
            </w:r>
            <w:r>
              <w:rPr>
                <w:rFonts w:hint="default" w:ascii="Times New Roman" w:hAnsi="Times New Roman" w:eastAsia="宋体" w:cs="Times New Roman"/>
                <w:color w:val="FF0000"/>
                <w:sz w:val="21"/>
                <w:szCs w:val="21"/>
                <w:highlight w:val="none"/>
                <w:lang w:eastAsia="zh-CN"/>
              </w:rPr>
              <w:t>养殖基地，</w:t>
            </w:r>
            <w:r>
              <w:rPr>
                <w:rFonts w:hint="default" w:ascii="Times New Roman" w:hAnsi="Times New Roman" w:eastAsia="宋体" w:cs="Times New Roman"/>
                <w:color w:val="FF0000"/>
                <w:sz w:val="21"/>
                <w:szCs w:val="21"/>
                <w:highlight w:val="none"/>
                <w:lang w:val="en-US" w:eastAsia="zh-CN"/>
              </w:rPr>
              <w:t>年存栏肉牛为5000头，年出栏肉牛1000头，本项目建成后</w:t>
            </w:r>
            <w:r>
              <w:rPr>
                <w:rFonts w:hint="default" w:ascii="Times New Roman" w:hAnsi="Times New Roman" w:eastAsia="宋体" w:cs="Times New Roman"/>
                <w:color w:val="FF0000"/>
                <w:sz w:val="21"/>
                <w:szCs w:val="21"/>
                <w:highlight w:val="none"/>
                <w:lang w:eastAsia="zh-CN"/>
              </w:rPr>
              <w:t>能够扩大双鸭山市肉牛养殖规模。与《双鸭山市畜牧产业发展实施方案（2022</w:t>
            </w:r>
            <w:r>
              <w:rPr>
                <w:rFonts w:hint="default" w:ascii="Times New Roman" w:hAnsi="Times New Roman" w:eastAsia="宋体" w:cs="Times New Roman"/>
                <w:color w:val="FF0000"/>
                <w:sz w:val="21"/>
                <w:szCs w:val="21"/>
                <w:highlight w:val="none"/>
                <w:lang w:val="en-US" w:eastAsia="zh-CN"/>
              </w:rPr>
              <w:t>-</w:t>
            </w:r>
            <w:r>
              <w:rPr>
                <w:rFonts w:hint="default" w:ascii="Times New Roman" w:hAnsi="Times New Roman" w:eastAsia="宋体" w:cs="Times New Roman"/>
                <w:color w:val="FF0000"/>
                <w:sz w:val="21"/>
                <w:szCs w:val="21"/>
                <w:highlight w:val="none"/>
                <w:lang w:eastAsia="zh-CN"/>
              </w:rPr>
              <w:t>2026年）》相符合</w:t>
            </w:r>
          </w:p>
        </w:tc>
        <w:tc>
          <w:tcPr>
            <w:tcW w:w="340" w:type="pct"/>
            <w:shd w:val="clear" w:color="auto" w:fill="auto"/>
            <w:vAlign w:val="center"/>
          </w:tcPr>
          <w:p w14:paraId="4CD13952">
            <w:pPr>
              <w:pStyle w:val="38"/>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5522DF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20847FB3">
            <w:pPr>
              <w:pStyle w:val="38"/>
              <w:jc w:val="both"/>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《双鸭山市国土空间总体规划（2021-2035年）》</w:t>
            </w:r>
          </w:p>
        </w:tc>
        <w:tc>
          <w:tcPr>
            <w:tcW w:w="2104" w:type="pct"/>
            <w:shd w:val="clear" w:color="auto" w:fill="auto"/>
            <w:vAlign w:val="center"/>
          </w:tcPr>
          <w:p w14:paraId="6065F8BC">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ind w:left="0" w:right="0" w:firstLine="0"/>
              <w:rPr>
                <w:rFonts w:hint="default" w:ascii="Times New Roman" w:hAnsi="Times New Roman" w:eastAsia="宋体" w:cs="Times New Roman"/>
                <w:snapToGrid w:val="0"/>
                <w:color w:val="FF0000"/>
                <w:kern w:val="0"/>
                <w:sz w:val="21"/>
                <w:szCs w:val="21"/>
                <w:highlight w:val="none"/>
                <w:lang w:val="zh-CN" w:eastAsia="zh-CN" w:bidi="ar-SA"/>
              </w:rPr>
            </w:pPr>
            <w:r>
              <w:rPr>
                <w:rFonts w:hint="default" w:ascii="Times New Roman" w:hAnsi="Times New Roman" w:eastAsia="宋体" w:cs="Times New Roman"/>
                <w:snapToGrid w:val="0"/>
                <w:color w:val="FF0000"/>
                <w:kern w:val="0"/>
                <w:sz w:val="21"/>
                <w:szCs w:val="21"/>
                <w:highlight w:val="none"/>
                <w:lang w:val="zh-CN" w:eastAsia="zh-CN" w:bidi="ar-SA"/>
              </w:rPr>
              <w:t>拓展农产品生产空间。大力推进“两牛一猪一禽”产业发展，重点推进生猪、大鹅产业发展，不断提升畜牧业生产水平。推进畜禽标准化规模养殖场（小区）建设，全面提升畜牧业规模化、标准化、产业化、信息化水平，建设一批规模较大、标准较高的具有示范作用的养殖场。改善渔业基础设施，发展生态高效养殖和设施渔业，有效释放渔业产能，推进创建部级、省级健康养殖示范场。增加鲜食玉米、蔬菜、中药材等特色优质高效作物种植面积，积极打造中医药小镇、种植基地示范县。</w:t>
            </w:r>
          </w:p>
          <w:p w14:paraId="0D4A7D4B">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ind w:left="0" w:right="0" w:firstLine="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snapToGrid w:val="0"/>
                <w:color w:val="FF0000"/>
                <w:kern w:val="0"/>
                <w:sz w:val="21"/>
                <w:szCs w:val="21"/>
                <w:highlight w:val="none"/>
                <w:lang w:val="zh-CN" w:eastAsia="zh-CN" w:bidi="ar-SA"/>
              </w:rPr>
              <w:t>   推进现代农业科技园区建设。保障农业园区建设用地需求，打造以国家级园区为龙头、省级园区为骨干、市县级园区为基础的农业园区梯次体系。以宝清县创建国家级现代农业产业园区为示范引领，推进集贤县、友谊县、饶河县创建省级现代农业产业园区</w:t>
            </w:r>
          </w:p>
        </w:tc>
        <w:tc>
          <w:tcPr>
            <w:tcW w:w="1663" w:type="pct"/>
            <w:shd w:val="clear" w:color="auto" w:fill="auto"/>
            <w:vAlign w:val="center"/>
          </w:tcPr>
          <w:p w14:paraId="71A7B117">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ind w:left="0" w:right="0" w:firstLine="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本项目为建设标准化肉牛养殖场，位于集贤县，符合</w:t>
            </w:r>
            <w:r>
              <w:rPr>
                <w:rFonts w:hint="default" w:ascii="Times New Roman" w:hAnsi="Times New Roman" w:eastAsia="宋体" w:cs="Times New Roman"/>
                <w:color w:val="FF0000"/>
                <w:sz w:val="21"/>
                <w:szCs w:val="21"/>
                <w:highlight w:val="none"/>
              </w:rPr>
              <w:t>双鸭山市国土空间总体</w:t>
            </w:r>
            <w:r>
              <w:rPr>
                <w:rFonts w:hint="default" w:ascii="Times New Roman" w:hAnsi="Times New Roman" w:eastAsia="宋体" w:cs="Times New Roman"/>
                <w:color w:val="FF0000"/>
                <w:sz w:val="21"/>
                <w:szCs w:val="21"/>
                <w:highlight w:val="none"/>
                <w:lang w:val="en-US" w:eastAsia="zh-CN"/>
              </w:rPr>
              <w:t>规划中</w:t>
            </w:r>
            <w:r>
              <w:rPr>
                <w:rFonts w:hint="default" w:ascii="Times New Roman" w:hAnsi="Times New Roman" w:eastAsia="宋体" w:cs="Times New Roman"/>
                <w:snapToGrid w:val="0"/>
                <w:color w:val="FF0000"/>
                <w:kern w:val="0"/>
                <w:sz w:val="21"/>
                <w:szCs w:val="21"/>
                <w:highlight w:val="none"/>
                <w:lang w:val="zh-CN" w:eastAsia="zh-CN" w:bidi="ar-SA"/>
              </w:rPr>
              <w:t>大力推进“两牛一猪一禽”产业发展，推进集贤县、友谊县、饶河县创建省级现代农业产业园</w:t>
            </w:r>
            <w:r>
              <w:rPr>
                <w:rFonts w:hint="default" w:ascii="Times New Roman" w:hAnsi="Times New Roman" w:eastAsia="宋体" w:cs="Times New Roman"/>
                <w:snapToGrid w:val="0"/>
                <w:color w:val="FF0000"/>
                <w:kern w:val="0"/>
                <w:sz w:val="21"/>
                <w:szCs w:val="21"/>
                <w:highlight w:val="none"/>
                <w:lang w:val="en-US" w:eastAsia="zh-CN" w:bidi="ar-SA"/>
              </w:rPr>
              <w:t>区。</w:t>
            </w:r>
          </w:p>
        </w:tc>
        <w:tc>
          <w:tcPr>
            <w:tcW w:w="340" w:type="pct"/>
            <w:shd w:val="clear" w:color="auto" w:fill="auto"/>
            <w:vAlign w:val="center"/>
          </w:tcPr>
          <w:p w14:paraId="5F7C1FD9">
            <w:pPr>
              <w:pStyle w:val="38"/>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auto"/>
                <w:sz w:val="21"/>
                <w:szCs w:val="21"/>
                <w:highlight w:val="none"/>
                <w:lang w:eastAsia="zh-CN"/>
              </w:rPr>
              <w:t>符合</w:t>
            </w:r>
          </w:p>
        </w:tc>
      </w:tr>
      <w:tr w14:paraId="1DA43D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E3578D8">
            <w:pPr>
              <w:jc w:val="center"/>
              <w:rPr>
                <w:rFonts w:hint="default" w:ascii="Times New Roman" w:hAnsi="Times New Roman" w:eastAsia="宋体" w:cs="Times New Roman"/>
                <w:snapToGrid w:val="0"/>
                <w:color w:val="FF0000"/>
                <w:kern w:val="0"/>
                <w:sz w:val="21"/>
                <w:szCs w:val="21"/>
                <w:highlight w:val="none"/>
                <w:lang w:val="zh-CN" w:eastAsia="zh-CN" w:bidi="ar-SA"/>
              </w:rPr>
            </w:pPr>
            <w:r>
              <w:rPr>
                <w:rFonts w:hint="default" w:ascii="Times New Roman" w:hAnsi="Times New Roman" w:eastAsia="宋体" w:cs="Times New Roman"/>
                <w:snapToGrid w:val="0"/>
                <w:color w:val="FF0000"/>
                <w:kern w:val="0"/>
                <w:sz w:val="21"/>
                <w:szCs w:val="21"/>
                <w:highlight w:val="none"/>
                <w:lang w:val="zh-CN" w:eastAsia="zh-CN" w:bidi="ar-SA"/>
              </w:rPr>
              <w:t>《黑龙江省黑土地保护工程实施方案》</w:t>
            </w:r>
          </w:p>
          <w:p w14:paraId="247AB8FA">
            <w:pPr>
              <w:jc w:val="center"/>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snapToGrid w:val="0"/>
                <w:color w:val="FF0000"/>
                <w:kern w:val="0"/>
                <w:sz w:val="21"/>
                <w:szCs w:val="21"/>
                <w:highlight w:val="none"/>
                <w:lang w:val="zh-CN" w:eastAsia="zh-CN" w:bidi="ar-SA"/>
              </w:rPr>
              <w:t>（2021—2025年）</w:t>
            </w:r>
          </w:p>
        </w:tc>
        <w:tc>
          <w:tcPr>
            <w:tcW w:w="2104" w:type="pct"/>
            <w:shd w:val="clear" w:color="auto" w:fill="auto"/>
            <w:vAlign w:val="center"/>
          </w:tcPr>
          <w:p w14:paraId="0F01A263">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ind w:left="0" w:right="0" w:firstLine="0"/>
              <w:rPr>
                <w:rFonts w:hint="default" w:ascii="Times New Roman" w:hAnsi="Times New Roman" w:eastAsia="宋体" w:cs="Times New Roman"/>
                <w:snapToGrid w:val="0"/>
                <w:color w:val="FF0000"/>
                <w:kern w:val="0"/>
                <w:sz w:val="21"/>
                <w:szCs w:val="21"/>
                <w:highlight w:val="none"/>
                <w:lang w:val="zh-CN" w:eastAsia="zh-CN" w:bidi="ar-SA"/>
              </w:rPr>
            </w:pPr>
            <w:r>
              <w:rPr>
                <w:rFonts w:hint="default" w:ascii="Times New Roman" w:hAnsi="Times New Roman" w:eastAsia="宋体" w:cs="Times New Roman"/>
                <w:snapToGrid w:val="0"/>
                <w:color w:val="FF0000"/>
                <w:kern w:val="0"/>
                <w:sz w:val="21"/>
                <w:szCs w:val="21"/>
                <w:highlight w:val="none"/>
                <w:lang w:val="zh-CN" w:eastAsia="zh-CN" w:bidi="ar-SA"/>
              </w:rPr>
              <w:t>实施有机肥还田。坚持种养结合，将畜禽粪污无害化处理或按比例与秸秆混合高温发酵生产有机肥还田。采用粪肥还田专用机械施用有机肥，结合秸秆粉碎实施深翻整地作业。</w:t>
            </w:r>
          </w:p>
        </w:tc>
        <w:tc>
          <w:tcPr>
            <w:tcW w:w="1663" w:type="pct"/>
            <w:shd w:val="clear" w:color="auto" w:fill="auto"/>
            <w:vAlign w:val="center"/>
          </w:tcPr>
          <w:p w14:paraId="1C095668">
            <w:pPr>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本项目发酵床</w:t>
            </w:r>
            <w:r>
              <w:rPr>
                <w:rFonts w:hint="default" w:ascii="Times New Roman" w:hAnsi="Times New Roman" w:eastAsia="宋体" w:cs="Times New Roman"/>
                <w:snapToGrid w:val="0"/>
                <w:color w:val="FF0000"/>
                <w:kern w:val="0"/>
                <w:sz w:val="21"/>
                <w:szCs w:val="21"/>
                <w:highlight w:val="none"/>
                <w:lang w:val="zh-CN" w:eastAsia="zh-CN" w:bidi="ar-SA"/>
              </w:rPr>
              <w:t>畜禽粪污无害化处理</w:t>
            </w:r>
            <w:r>
              <w:rPr>
                <w:rFonts w:hint="default" w:ascii="Times New Roman" w:hAnsi="Times New Roman" w:eastAsia="宋体" w:cs="Times New Roman"/>
                <w:color w:val="FF0000"/>
                <w:sz w:val="21"/>
                <w:szCs w:val="21"/>
                <w:highlight w:val="none"/>
                <w:lang w:val="en-US" w:eastAsia="zh-CN"/>
              </w:rPr>
              <w:t>外售至有机肥厂制作化肥，符合</w:t>
            </w:r>
            <w:r>
              <w:rPr>
                <w:rFonts w:hint="default" w:ascii="Times New Roman" w:hAnsi="Times New Roman" w:eastAsia="宋体" w:cs="Times New Roman"/>
                <w:snapToGrid w:val="0"/>
                <w:color w:val="FF0000"/>
                <w:kern w:val="0"/>
                <w:sz w:val="21"/>
                <w:szCs w:val="21"/>
                <w:highlight w:val="none"/>
                <w:lang w:val="zh-CN" w:eastAsia="zh-CN" w:bidi="ar-SA"/>
              </w:rPr>
              <w:t>实施有机肥还田将畜禽粪污无害化处理，</w:t>
            </w:r>
            <w:r>
              <w:rPr>
                <w:rFonts w:hint="default" w:ascii="Times New Roman" w:hAnsi="Times New Roman" w:eastAsia="宋体" w:cs="Times New Roman"/>
                <w:snapToGrid w:val="0"/>
                <w:color w:val="FF0000"/>
                <w:kern w:val="0"/>
                <w:sz w:val="21"/>
                <w:szCs w:val="21"/>
                <w:highlight w:val="none"/>
                <w:lang w:val="en-US" w:eastAsia="zh-CN" w:bidi="ar-SA"/>
              </w:rPr>
              <w:t>符合</w:t>
            </w:r>
            <w:r>
              <w:rPr>
                <w:rFonts w:hint="default" w:ascii="Times New Roman" w:hAnsi="Times New Roman" w:eastAsia="宋体" w:cs="Times New Roman"/>
                <w:snapToGrid w:val="0"/>
                <w:color w:val="FF0000"/>
                <w:kern w:val="0"/>
                <w:sz w:val="21"/>
                <w:szCs w:val="21"/>
                <w:highlight w:val="none"/>
                <w:lang w:val="zh-CN" w:eastAsia="zh-CN" w:bidi="ar-SA"/>
              </w:rPr>
              <w:t>黑龙江省黑土地保护工程实施方案</w:t>
            </w:r>
          </w:p>
        </w:tc>
        <w:tc>
          <w:tcPr>
            <w:tcW w:w="340" w:type="pct"/>
            <w:shd w:val="clear" w:color="auto" w:fill="auto"/>
            <w:vAlign w:val="center"/>
          </w:tcPr>
          <w:p w14:paraId="03F198FE">
            <w:pPr>
              <w:pStyle w:val="38"/>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符合</w:t>
            </w:r>
          </w:p>
        </w:tc>
      </w:tr>
      <w:tr w14:paraId="570999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5FB5A14A">
            <w:pPr>
              <w:pStyle w:val="38"/>
              <w:jc w:val="both"/>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《黑龙江省黑土地保护利用条例》</w:t>
            </w:r>
          </w:p>
        </w:tc>
        <w:tc>
          <w:tcPr>
            <w:tcW w:w="2104" w:type="pct"/>
            <w:shd w:val="clear" w:color="auto" w:fill="auto"/>
            <w:vAlign w:val="center"/>
          </w:tcPr>
          <w:p w14:paraId="7D362BD7">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ind w:left="0" w:right="0" w:firstLine="0"/>
              <w:rPr>
                <w:rFonts w:hint="default" w:ascii="Times New Roman" w:hAnsi="Times New Roman" w:eastAsia="宋体" w:cs="Times New Roman"/>
                <w:snapToGrid w:val="0"/>
                <w:color w:val="FF0000"/>
                <w:kern w:val="0"/>
                <w:sz w:val="21"/>
                <w:szCs w:val="21"/>
                <w:highlight w:val="none"/>
                <w:lang w:val="zh-CN" w:eastAsia="zh-CN" w:bidi="ar-SA"/>
              </w:rPr>
            </w:pPr>
            <w:r>
              <w:rPr>
                <w:rFonts w:hint="default" w:ascii="Times New Roman" w:hAnsi="Times New Roman" w:eastAsia="宋体" w:cs="Times New Roman"/>
                <w:snapToGrid w:val="0"/>
                <w:color w:val="FF0000"/>
                <w:kern w:val="0"/>
                <w:sz w:val="21"/>
                <w:szCs w:val="21"/>
                <w:highlight w:val="none"/>
                <w:lang w:val="zh-CN" w:eastAsia="zh-CN" w:bidi="ar-SA"/>
              </w:rPr>
              <w:t>从事畜禽养殖的单位和个人，应当科学开展畜禽粪污无害化处理和资源化利用，以畜禽粪污就地就近还田利用为重点，促进黑土地绿色种养循环农业发展。</w:t>
            </w:r>
          </w:p>
        </w:tc>
        <w:tc>
          <w:tcPr>
            <w:tcW w:w="1663" w:type="pct"/>
            <w:shd w:val="clear" w:color="auto" w:fill="auto"/>
            <w:vAlign w:val="center"/>
          </w:tcPr>
          <w:p w14:paraId="3905507B">
            <w:pPr>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本项目开展</w:t>
            </w:r>
            <w:r>
              <w:rPr>
                <w:rFonts w:hint="default" w:ascii="Times New Roman" w:hAnsi="Times New Roman" w:eastAsia="宋体" w:cs="Times New Roman"/>
                <w:snapToGrid w:val="0"/>
                <w:color w:val="FF0000"/>
                <w:kern w:val="0"/>
                <w:sz w:val="21"/>
                <w:szCs w:val="21"/>
                <w:highlight w:val="none"/>
                <w:lang w:val="zh-CN" w:eastAsia="zh-CN" w:bidi="ar-SA"/>
              </w:rPr>
              <w:t>畜禽粪污无害化处理和资源化利用，</w:t>
            </w:r>
            <w:r>
              <w:rPr>
                <w:rFonts w:hint="default" w:ascii="Times New Roman" w:hAnsi="Times New Roman" w:eastAsia="宋体" w:cs="Times New Roman"/>
                <w:snapToGrid w:val="0"/>
                <w:color w:val="FF0000"/>
                <w:kern w:val="0"/>
                <w:sz w:val="21"/>
                <w:szCs w:val="21"/>
                <w:highlight w:val="none"/>
                <w:lang w:val="en-US" w:eastAsia="zh-CN" w:bidi="ar-SA"/>
              </w:rPr>
              <w:t>采用发酵床工艺分解粪污，外售至有机肥厂</w:t>
            </w:r>
          </w:p>
        </w:tc>
        <w:tc>
          <w:tcPr>
            <w:tcW w:w="340" w:type="pct"/>
            <w:shd w:val="clear" w:color="auto" w:fill="auto"/>
            <w:vAlign w:val="center"/>
          </w:tcPr>
          <w:p w14:paraId="0E085E2F">
            <w:pPr>
              <w:pStyle w:val="38"/>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符合</w:t>
            </w:r>
          </w:p>
        </w:tc>
      </w:tr>
      <w:tr w14:paraId="015918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1" w:type="pct"/>
            <w:shd w:val="clear" w:color="auto" w:fill="auto"/>
            <w:vAlign w:val="center"/>
          </w:tcPr>
          <w:p w14:paraId="69C0D9A8">
            <w:pPr>
              <w:pStyle w:val="38"/>
              <w:jc w:val="both"/>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《黑龙江省人民政府办公厅关于建设占用耕地耕作层土壤剥离利用工作的指导意见（试行）》黑政办规〔2021〕18号</w:t>
            </w:r>
          </w:p>
          <w:p w14:paraId="79C0B975">
            <w:pPr>
              <w:pStyle w:val="38"/>
              <w:jc w:val="both"/>
              <w:rPr>
                <w:rFonts w:hint="default" w:ascii="Times New Roman" w:hAnsi="Times New Roman" w:eastAsia="宋体" w:cs="Times New Roman"/>
                <w:color w:val="FF0000"/>
                <w:sz w:val="21"/>
                <w:szCs w:val="21"/>
                <w:highlight w:val="none"/>
                <w:lang w:val="en-US" w:eastAsia="zh-CN"/>
              </w:rPr>
            </w:pPr>
          </w:p>
        </w:tc>
        <w:tc>
          <w:tcPr>
            <w:tcW w:w="2104" w:type="pct"/>
            <w:shd w:val="clear" w:color="auto" w:fill="auto"/>
            <w:vAlign w:val="center"/>
          </w:tcPr>
          <w:p w14:paraId="170DAB14">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ind w:left="0" w:right="0" w:firstLine="0"/>
              <w:rPr>
                <w:rFonts w:hint="default" w:ascii="Times New Roman" w:hAnsi="Times New Roman" w:eastAsia="宋体" w:cs="Times New Roman"/>
                <w:snapToGrid w:val="0"/>
                <w:color w:val="FF0000"/>
                <w:kern w:val="0"/>
                <w:sz w:val="21"/>
                <w:szCs w:val="21"/>
                <w:highlight w:val="none"/>
                <w:lang w:val="zh-CN" w:eastAsia="zh-CN" w:bidi="ar-SA"/>
              </w:rPr>
            </w:pPr>
            <w:r>
              <w:rPr>
                <w:rFonts w:hint="default" w:ascii="Times New Roman" w:hAnsi="Times New Roman" w:eastAsia="宋体" w:cs="Times New Roman"/>
                <w:snapToGrid w:val="0"/>
                <w:color w:val="FF0000"/>
                <w:kern w:val="0"/>
                <w:sz w:val="21"/>
                <w:szCs w:val="21"/>
                <w:highlight w:val="none"/>
                <w:lang w:val="zh-CN" w:eastAsia="zh-CN" w:bidi="ar-SA"/>
              </w:rPr>
              <w:t>成片开发项目及城镇批次用地占用耕地的，耕作层土壤剥离利用的实施主体是项目所在地县（市、区）政府，土壤剥离、运输、存储、利用等费用纳入供地成本。单独选址项目占用耕地的，耕作层土壤剥离利用的实施主体是建设用地单位，剥离、运输、存储等相关费用纳入项目开发成本。使用农村集体建设用地占用耕地的，由用地主体负责实施耕作层土壤剥离，并承担相关费用。临时用地、设施农业用地需要剥离利用的，由项目用地单位（个人）实施耕作层土壤剥离，并承担相关费用。</w:t>
            </w:r>
          </w:p>
        </w:tc>
        <w:tc>
          <w:tcPr>
            <w:tcW w:w="1663" w:type="pct"/>
            <w:shd w:val="clear" w:color="auto" w:fill="auto"/>
            <w:vAlign w:val="center"/>
          </w:tcPr>
          <w:p w14:paraId="1D8F66C0">
            <w:pPr>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本项目建设租赁现有场地，改造加高厂房，不涉及表土剥离。</w:t>
            </w:r>
          </w:p>
        </w:tc>
        <w:tc>
          <w:tcPr>
            <w:tcW w:w="340" w:type="pct"/>
            <w:shd w:val="clear" w:color="auto" w:fill="auto"/>
            <w:vAlign w:val="center"/>
          </w:tcPr>
          <w:p w14:paraId="53A58086">
            <w:pPr>
              <w:pStyle w:val="38"/>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符合</w:t>
            </w:r>
          </w:p>
        </w:tc>
      </w:tr>
    </w:tbl>
    <w:p w14:paraId="3FF7DFB5">
      <w:pPr>
        <w:rPr>
          <w:rFonts w:hint="default" w:ascii="Times New Roman" w:hAnsi="Times New Roman" w:eastAsia="宋体" w:cs="Times New Roman"/>
          <w:b/>
          <w:bCs/>
          <w:color w:val="auto"/>
          <w:spacing w:val="-3"/>
          <w:sz w:val="28"/>
          <w:szCs w:val="28"/>
          <w:highlight w:val="none"/>
          <w:lang w:val="en-US" w:eastAsia="zh-CN"/>
        </w:rPr>
        <w:sectPr>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51D81A8D">
      <w:pPr>
        <w:keepNext w:val="0"/>
        <w:keepLines w:val="0"/>
        <w:pageBreakBefore w:val="0"/>
        <w:widowControl/>
        <w:kinsoku/>
        <w:wordWrap w:val="0"/>
        <w:overflowPunct/>
        <w:topLinePunct/>
        <w:autoSpaceDE/>
        <w:autoSpaceDN/>
        <w:bidi w:val="0"/>
        <w:adjustRightInd w:val="0"/>
        <w:snapToGrid w:val="0"/>
        <w:spacing w:before="255" w:line="360" w:lineRule="auto"/>
        <w:ind w:left="6"/>
        <w:textAlignment w:val="baseline"/>
        <w:outlineLvl w:val="2"/>
        <w:rPr>
          <w:rFonts w:hint="default" w:ascii="Times New Roman" w:hAnsi="Times New Roman" w:eastAsia="Times New Roman" w:cs="Times New Roman"/>
          <w:b/>
          <w:bCs/>
          <w:color w:val="auto"/>
          <w:spacing w:val="-3"/>
          <w:sz w:val="24"/>
          <w:szCs w:val="24"/>
          <w:highlight w:val="none"/>
        </w:rPr>
      </w:pPr>
      <w:bookmarkStart w:id="40" w:name="_Toc14"/>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Times New Roman" w:cs="Times New Roman"/>
          <w:b/>
          <w:bCs/>
          <w:color w:val="auto"/>
          <w:spacing w:val="-3"/>
          <w:sz w:val="24"/>
          <w:szCs w:val="24"/>
          <w:highlight w:val="none"/>
          <w:lang w:val="en-US" w:eastAsia="zh-CN"/>
        </w:rPr>
        <w:t>4</w:t>
      </w:r>
      <w:r>
        <w:rPr>
          <w:rFonts w:hint="default" w:ascii="Times New Roman" w:hAnsi="Times New Roman" w:eastAsia="Times New Roman" w:cs="Times New Roman"/>
          <w:b/>
          <w:bCs/>
          <w:color w:val="auto"/>
          <w:spacing w:val="-3"/>
          <w:sz w:val="24"/>
          <w:szCs w:val="24"/>
          <w:highlight w:val="none"/>
        </w:rPr>
        <w:t>.</w:t>
      </w:r>
      <w:r>
        <w:rPr>
          <w:rFonts w:hint="default" w:ascii="Times New Roman" w:hAnsi="Times New Roman" w:eastAsia="Times New Roman" w:cs="Times New Roman"/>
          <w:b/>
          <w:bCs/>
          <w:color w:val="auto"/>
          <w:spacing w:val="-3"/>
          <w:sz w:val="24"/>
          <w:szCs w:val="24"/>
          <w:highlight w:val="none"/>
          <w:lang w:val="en-US" w:eastAsia="zh-CN"/>
        </w:rPr>
        <w:t>3</w:t>
      </w:r>
      <w:r>
        <w:rPr>
          <w:rFonts w:hint="default" w:ascii="Times New Roman" w:hAnsi="Times New Roman" w:eastAsia="Times New Roman" w:cs="Times New Roman"/>
          <w:b/>
          <w:bCs/>
          <w:color w:val="auto"/>
          <w:spacing w:val="-3"/>
          <w:sz w:val="24"/>
          <w:szCs w:val="24"/>
          <w:highlight w:val="none"/>
        </w:rPr>
        <w:t>“</w:t>
      </w:r>
      <w:r>
        <w:rPr>
          <w:rFonts w:hint="default" w:ascii="Times New Roman" w:hAnsi="Times New Roman" w:eastAsia="Times New Roman" w:cs="Times New Roman"/>
          <w:b/>
          <w:bCs/>
          <w:color w:val="auto"/>
          <w:spacing w:val="-3"/>
          <w:sz w:val="24"/>
          <w:szCs w:val="24"/>
          <w:highlight w:val="none"/>
          <w:lang w:val="en-US" w:eastAsia="zh-CN"/>
        </w:rPr>
        <w:t>生态环境分区管控</w:t>
      </w:r>
      <w:r>
        <w:rPr>
          <w:rFonts w:hint="default" w:ascii="Times New Roman" w:hAnsi="Times New Roman" w:eastAsia="Times New Roman" w:cs="Times New Roman"/>
          <w:b/>
          <w:bCs/>
          <w:color w:val="auto"/>
          <w:spacing w:val="-3"/>
          <w:sz w:val="24"/>
          <w:szCs w:val="24"/>
          <w:highlight w:val="none"/>
        </w:rPr>
        <w:t>”符合性分析</w:t>
      </w:r>
      <w:bookmarkEnd w:id="40"/>
    </w:p>
    <w:p w14:paraId="29B10A76">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根据《关于发布2023年生态环境分区管控动态更新成果的通知》（黑环发〔2024〕1号）</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rPr>
        <w:t>《黑龙江省人民政府关于实施“三线一单”生态环境分区管控的意见》（黑政发〔2020〕14号）、《双鸭山市人民政府关于实施“三线一单”生态环境分区管控的意见》（双政规〔2021〕2号）中要求，结合本项目生产工艺、排污状况和区域环境及环境质量现状进行调查的基础上，</w:t>
      </w:r>
      <w:r>
        <w:rPr>
          <w:rFonts w:hint="default" w:ascii="Times New Roman" w:hAnsi="Times New Roman" w:eastAsia="宋体" w:cs="Times New Roman"/>
          <w:color w:val="auto"/>
          <w:spacing w:val="-3"/>
          <w:sz w:val="24"/>
          <w:szCs w:val="24"/>
          <w:highlight w:val="none"/>
          <w:lang w:val="en-US" w:eastAsia="zh-CN"/>
        </w:rPr>
        <w:t>根据黑龙江省生态分区管控数据应用平台出具的《生态环境分区管控分析报告》可知，本项目环境管控单元编码为 ZH23052130002，属于一般管控单元。</w:t>
      </w:r>
    </w:p>
    <w:p w14:paraId="2BDAD29D">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lang w:val="en-US" w:eastAsia="zh-CN"/>
        </w:rPr>
        <w:t>双鸭山市永胜农机合作社肉牛养殖基地项目位置涉及双鸭山市集贤县；项目占地总面积0.10平方公里。与生态保护红线交集面积为0.00平方公里，占项目占地面积的0.00%。与自然保护地整合优化方案数据交集面积为0.00平方公里，占项目占地面积的0.00%。保护地涉及等类型。与自然保护地（现状管理数据）交集面积为0.00平方公里，占项目占地面积的0.00%。保护地涉及等类型。与饮用水水源保护区、国家级水产种质资源保护区无交集。与环境管控单元优先保护单元、重点管控单元交集无交集；一般管控单元交集面积为0.10平方公里，占项目占地面积的100.00%。与地下水环境优先保护区交集、地下水环境一般管控区无交集；与地下水环境重点管控区交集面积为0.10平方公里，占项目占地面积的100.00%。</w:t>
      </w:r>
    </w:p>
    <w:p w14:paraId="64547628">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（1）生态红线符合性</w:t>
      </w:r>
    </w:p>
    <w:p w14:paraId="3A5312B8">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lang w:eastAsia="zh-CN"/>
        </w:rPr>
        <w:t>根据</w:t>
      </w:r>
      <w:r>
        <w:rPr>
          <w:rFonts w:hint="default" w:ascii="Times New Roman" w:hAnsi="Times New Roman" w:eastAsia="宋体" w:cs="Times New Roman"/>
          <w:color w:val="auto"/>
          <w:spacing w:val="-3"/>
          <w:sz w:val="24"/>
          <w:szCs w:val="24"/>
          <w:highlight w:val="none"/>
        </w:rPr>
        <w:t>《双鸭山市人民政府关于实施“三线一单”生态环境分区管控的意见》（双政规〔2021〕2号）及黑龙江省生态环境分区管控数据应用平台出具的“生态环境分区管控分析报告”可知，本项目不在各类保护地中，不占用生态保护红线。符合生态保护红线要求。</w:t>
      </w:r>
    </w:p>
    <w:p w14:paraId="1F4B8BB0">
      <w:pPr>
        <w:keepNext w:val="0"/>
        <w:keepLines w:val="0"/>
        <w:pageBreakBefore w:val="0"/>
        <w:widowControl/>
        <w:kinsoku/>
        <w:wordWrap w:val="0"/>
        <w:overflowPunct/>
        <w:topLinePunct/>
        <w:autoSpaceDE/>
        <w:autoSpaceDN/>
        <w:bidi w:val="0"/>
        <w:adjustRightInd w:val="0"/>
        <w:snapToGrid w:val="0"/>
        <w:spacing w:line="360" w:lineRule="auto"/>
        <w:ind w:left="486"/>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2</w:t>
      </w:r>
      <w:r>
        <w:rPr>
          <w:rFonts w:hint="default" w:ascii="Times New Roman" w:hAnsi="Times New Roman" w:eastAsia="宋体" w:cs="Times New Roman"/>
          <w:color w:val="auto"/>
          <w:spacing w:val="-2"/>
          <w:sz w:val="24"/>
          <w:szCs w:val="24"/>
          <w:highlight w:val="none"/>
        </w:rPr>
        <w:t>）环境质量底线符合性</w:t>
      </w:r>
    </w:p>
    <w:p w14:paraId="0D188624">
      <w:pPr>
        <w:keepNext w:val="0"/>
        <w:keepLines w:val="0"/>
        <w:pageBreakBefore w:val="0"/>
        <w:widowControl/>
        <w:kinsoku/>
        <w:wordWrap w:val="0"/>
        <w:overflowPunct/>
        <w:topLinePunct/>
        <w:autoSpaceDE/>
        <w:autoSpaceDN/>
        <w:bidi w:val="0"/>
        <w:adjustRightInd w:val="0"/>
        <w:snapToGrid w:val="0"/>
        <w:spacing w:line="360" w:lineRule="auto"/>
        <w:ind w:left="6" w:right="68" w:firstLine="476"/>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本项目通过对牛舍加强通风，对牛舍、</w:t>
      </w:r>
      <w:r>
        <w:rPr>
          <w:rFonts w:hint="default" w:ascii="Times New Roman" w:hAnsi="Times New Roman" w:eastAsia="宋体" w:cs="Times New Roman"/>
          <w:color w:val="auto"/>
          <w:sz w:val="24"/>
          <w:szCs w:val="24"/>
          <w:highlight w:val="none"/>
          <w:lang w:val="en-US" w:eastAsia="zh-CN"/>
        </w:rPr>
        <w:t>粪污储存间</w:t>
      </w:r>
      <w:r>
        <w:rPr>
          <w:rFonts w:hint="default" w:ascii="Times New Roman" w:hAnsi="Times New Roman" w:eastAsia="宋体" w:cs="Times New Roman"/>
          <w:color w:val="auto"/>
          <w:sz w:val="24"/>
          <w:szCs w:val="24"/>
          <w:highlight w:val="none"/>
        </w:rPr>
        <w:t>定期喷洒除臭剂</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牛舍区拟采用干撒式发酵床工艺，其采用的干撒式发酵床发酵菌剂可将牛尿、牛粪一部分降解为水蒸气和二氧化碳，另一部分转化为粗蛋白、菌体蛋白和维生素等营养物质，从源头上消除了牛粪、牛尿产生的恶臭气体对周围环境的污染</w:t>
      </w:r>
      <w:r>
        <w:rPr>
          <w:rFonts w:hint="default" w:ascii="Times New Roman" w:hAnsi="Times New Roman" w:eastAsia="宋体" w:cs="Times New Roman"/>
          <w:color w:val="auto"/>
          <w:sz w:val="24"/>
          <w:szCs w:val="24"/>
          <w:highlight w:val="none"/>
          <w:lang w:eastAsia="zh-CN"/>
        </w:rPr>
        <w:t>。</w:t>
      </w:r>
    </w:p>
    <w:p w14:paraId="1304247E">
      <w:pPr>
        <w:keepNext w:val="0"/>
        <w:keepLines w:val="0"/>
        <w:pageBreakBefore w:val="0"/>
        <w:widowControl/>
        <w:kinsoku/>
        <w:wordWrap w:val="0"/>
        <w:overflowPunct/>
        <w:topLinePunct/>
        <w:autoSpaceDE/>
        <w:autoSpaceDN/>
        <w:bidi w:val="0"/>
        <w:adjustRightInd w:val="0"/>
        <w:snapToGrid w:val="0"/>
        <w:spacing w:line="360" w:lineRule="auto"/>
        <w:ind w:left="6" w:right="68" w:firstLine="476"/>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本项目位于大气环境</w:t>
      </w:r>
      <w:r>
        <w:rPr>
          <w:rFonts w:hint="default" w:ascii="Times New Roman" w:hAnsi="Times New Roman" w:eastAsia="宋体" w:cs="Times New Roman"/>
          <w:color w:val="auto"/>
          <w:spacing w:val="-3"/>
          <w:sz w:val="24"/>
          <w:szCs w:val="24"/>
          <w:highlight w:val="none"/>
          <w:lang w:val="en-US" w:eastAsia="zh-CN"/>
        </w:rPr>
        <w:t>一般</w:t>
      </w:r>
      <w:r>
        <w:rPr>
          <w:rFonts w:hint="default" w:ascii="Times New Roman" w:hAnsi="Times New Roman" w:eastAsia="宋体" w:cs="Times New Roman"/>
          <w:color w:val="auto"/>
          <w:spacing w:val="-3"/>
          <w:sz w:val="24"/>
          <w:szCs w:val="24"/>
          <w:highlight w:val="none"/>
        </w:rPr>
        <w:t>管控区以及水环境一般</w:t>
      </w:r>
      <w:r>
        <w:rPr>
          <w:rFonts w:hint="default" w:ascii="Times New Roman" w:hAnsi="Times New Roman" w:eastAsia="宋体" w:cs="Times New Roman"/>
          <w:color w:val="auto"/>
          <w:spacing w:val="-10"/>
          <w:sz w:val="24"/>
          <w:szCs w:val="24"/>
          <w:highlight w:val="none"/>
        </w:rPr>
        <w:t>管控区。</w:t>
      </w:r>
    </w:p>
    <w:p w14:paraId="43B69060">
      <w:pPr>
        <w:keepNext w:val="0"/>
        <w:keepLines w:val="0"/>
        <w:pageBreakBefore w:val="0"/>
        <w:widowControl/>
        <w:kinsoku/>
        <w:wordWrap w:val="0"/>
        <w:overflowPunct/>
        <w:topLinePunct/>
        <w:autoSpaceDE/>
        <w:autoSpaceDN/>
        <w:bidi w:val="0"/>
        <w:adjustRightInd w:val="0"/>
        <w:snapToGrid w:val="0"/>
        <w:spacing w:line="360" w:lineRule="auto"/>
        <w:ind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根据环境空气质量现状监测，项目选址区域环境空气质量能够满足《环境空气质</w:t>
      </w:r>
      <w:r>
        <w:rPr>
          <w:rFonts w:hint="default" w:ascii="Times New Roman" w:hAnsi="Times New Roman" w:eastAsia="宋体" w:cs="Times New Roman"/>
          <w:color w:val="auto"/>
          <w:spacing w:val="-1"/>
          <w:sz w:val="24"/>
          <w:szCs w:val="24"/>
          <w:highlight w:val="none"/>
        </w:rPr>
        <w:t>量标准》（</w:t>
      </w:r>
      <w:r>
        <w:rPr>
          <w:rFonts w:hint="default" w:ascii="Times New Roman" w:hAnsi="Times New Roman" w:eastAsia="Times New Roman" w:cs="Times New Roman"/>
          <w:color w:val="auto"/>
          <w:spacing w:val="-1"/>
          <w:sz w:val="24"/>
          <w:szCs w:val="24"/>
          <w:highlight w:val="none"/>
        </w:rPr>
        <w:t>GB3095-2012</w:t>
      </w:r>
      <w:r>
        <w:rPr>
          <w:rFonts w:hint="default" w:ascii="Times New Roman" w:hAnsi="Times New Roman" w:eastAsia="宋体" w:cs="Times New Roman"/>
          <w:color w:val="auto"/>
          <w:spacing w:val="-1"/>
          <w:sz w:val="24"/>
          <w:szCs w:val="24"/>
          <w:highlight w:val="none"/>
        </w:rPr>
        <w:t>）及修改单二级标准要求，项目建成后采取</w:t>
      </w:r>
      <w:r>
        <w:rPr>
          <w:rFonts w:hint="default" w:ascii="Times New Roman" w:hAnsi="Times New Roman" w:eastAsia="宋体" w:cs="Times New Roman"/>
          <w:color w:val="auto"/>
          <w:spacing w:val="-2"/>
          <w:sz w:val="24"/>
          <w:szCs w:val="24"/>
          <w:highlight w:val="none"/>
        </w:rPr>
        <w:t>防治措施能够有</w:t>
      </w:r>
      <w:r>
        <w:rPr>
          <w:rFonts w:hint="default" w:ascii="Times New Roman" w:hAnsi="Times New Roman" w:eastAsia="宋体" w:cs="Times New Roman"/>
          <w:color w:val="auto"/>
          <w:spacing w:val="-3"/>
          <w:sz w:val="24"/>
          <w:szCs w:val="24"/>
          <w:highlight w:val="none"/>
        </w:rPr>
        <w:t>效避免恶化环境，各项废气污染物均能达标排放；本项目所在区域最近的主要地表水体为安邦河，安邦河属双鸭山市和集贤县的</w:t>
      </w:r>
      <w:r>
        <w:rPr>
          <w:rFonts w:hint="default" w:ascii="Times New Roman" w:hAnsi="Times New Roman" w:eastAsia="宋体" w:cs="Times New Roman"/>
          <w:color w:val="auto"/>
          <w:spacing w:val="4"/>
          <w:sz w:val="24"/>
          <w:szCs w:val="24"/>
          <w:highlight w:val="none"/>
        </w:rPr>
        <w:t>生活污水纳污水体，属松花江右岸一级支流，根据</w:t>
      </w:r>
      <w:r>
        <w:rPr>
          <w:rFonts w:hint="default" w:ascii="Times New Roman" w:hAnsi="Times New Roman" w:eastAsia="宋体" w:cs="Times New Roman"/>
          <w:color w:val="auto"/>
          <w:spacing w:val="3"/>
          <w:sz w:val="24"/>
          <w:szCs w:val="24"/>
          <w:highlight w:val="none"/>
        </w:rPr>
        <w:t>《全国重要江河湖泊水功能区划</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2011-2030</w:t>
      </w:r>
      <w:r>
        <w:rPr>
          <w:rFonts w:hint="default" w:ascii="Times New Roman" w:hAnsi="Times New Roman" w:eastAsia="宋体" w:cs="Times New Roman"/>
          <w:color w:val="auto"/>
          <w:spacing w:val="1"/>
          <w:sz w:val="24"/>
          <w:szCs w:val="24"/>
          <w:highlight w:val="none"/>
        </w:rPr>
        <w:t>）》（黑龙江省）可知，长富村至入松花江河口段执</w:t>
      </w:r>
      <w:r>
        <w:rPr>
          <w:rFonts w:hint="default" w:ascii="Times New Roman" w:hAnsi="Times New Roman" w:eastAsia="宋体" w:cs="Times New Roman"/>
          <w:color w:val="auto"/>
          <w:sz w:val="24"/>
          <w:szCs w:val="24"/>
          <w:highlight w:val="none"/>
        </w:rPr>
        <w:t>行《地表水环境质</w:t>
      </w:r>
      <w:r>
        <w:rPr>
          <w:rFonts w:hint="default" w:ascii="Times New Roman" w:hAnsi="Times New Roman" w:eastAsia="宋体" w:cs="Times New Roman"/>
          <w:color w:val="auto"/>
          <w:spacing w:val="-1"/>
          <w:sz w:val="24"/>
          <w:szCs w:val="24"/>
          <w:highlight w:val="none"/>
        </w:rPr>
        <w:t>量标准》（</w:t>
      </w:r>
      <w:r>
        <w:rPr>
          <w:rFonts w:hint="default" w:ascii="Times New Roman" w:hAnsi="Times New Roman" w:eastAsia="Times New Roman" w:cs="Times New Roman"/>
          <w:color w:val="auto"/>
          <w:spacing w:val="-1"/>
          <w:sz w:val="24"/>
          <w:szCs w:val="24"/>
          <w:highlight w:val="none"/>
        </w:rPr>
        <w:t>GB3838-2002</w:t>
      </w:r>
      <w:r>
        <w:rPr>
          <w:rFonts w:hint="default" w:ascii="Times New Roman" w:hAnsi="Times New Roman" w:eastAsia="宋体" w:cs="Times New Roman"/>
          <w:color w:val="auto"/>
          <w:spacing w:val="-1"/>
          <w:sz w:val="24"/>
          <w:szCs w:val="24"/>
          <w:highlight w:val="none"/>
        </w:rPr>
        <w:t>）中的Ⅳ类水体标准，安邦河滚兔岭断面能够满足</w:t>
      </w:r>
      <w:r>
        <w:rPr>
          <w:rFonts w:hint="default" w:ascii="Times New Roman" w:hAnsi="Times New Roman" w:eastAsia="宋体" w:cs="Times New Roman"/>
          <w:color w:val="auto"/>
          <w:spacing w:val="-2"/>
          <w:sz w:val="24"/>
          <w:szCs w:val="24"/>
          <w:highlight w:val="none"/>
        </w:rPr>
        <w:t>《地表水</w:t>
      </w:r>
      <w:r>
        <w:rPr>
          <w:rFonts w:hint="default" w:ascii="Times New Roman" w:hAnsi="Times New Roman" w:eastAsia="宋体" w:cs="Times New Roman"/>
          <w:color w:val="auto"/>
          <w:spacing w:val="-1"/>
          <w:sz w:val="24"/>
          <w:szCs w:val="24"/>
          <w:highlight w:val="none"/>
        </w:rPr>
        <w:t>环境质量标准》（</w:t>
      </w:r>
      <w:r>
        <w:rPr>
          <w:rFonts w:hint="default" w:ascii="Times New Roman" w:hAnsi="Times New Roman" w:eastAsia="Times New Roman" w:cs="Times New Roman"/>
          <w:color w:val="auto"/>
          <w:spacing w:val="-1"/>
          <w:sz w:val="24"/>
          <w:szCs w:val="24"/>
          <w:highlight w:val="none"/>
        </w:rPr>
        <w:t>GB3838-2002</w:t>
      </w:r>
      <w:r>
        <w:rPr>
          <w:rFonts w:hint="default" w:ascii="Times New Roman" w:hAnsi="Times New Roman" w:eastAsia="宋体" w:cs="Times New Roman"/>
          <w:color w:val="auto"/>
          <w:spacing w:val="-1"/>
          <w:sz w:val="24"/>
          <w:szCs w:val="24"/>
          <w:highlight w:val="none"/>
        </w:rPr>
        <w:t>）Ⅳ类标准要求。本项目生活污水排入化粪池，定期清掏</w:t>
      </w:r>
      <w:r>
        <w:rPr>
          <w:rFonts w:hint="default" w:ascii="Times New Roman" w:hAnsi="Times New Roman" w:eastAsia="宋体" w:cs="Times New Roman"/>
          <w:color w:val="auto"/>
          <w:spacing w:val="-1"/>
          <w:sz w:val="24"/>
          <w:szCs w:val="24"/>
          <w:highlight w:val="none"/>
          <w:lang w:val="en-US" w:eastAsia="zh-CN"/>
        </w:rPr>
        <w:t>清运</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不外排</w:t>
      </w:r>
      <w:r>
        <w:rPr>
          <w:rFonts w:hint="default" w:ascii="Times New Roman" w:hAnsi="Times New Roman" w:eastAsia="宋体" w:cs="Times New Roman"/>
          <w:color w:val="auto"/>
          <w:spacing w:val="-2"/>
          <w:sz w:val="24"/>
          <w:szCs w:val="24"/>
          <w:highlight w:val="none"/>
        </w:rPr>
        <w:t>。</w:t>
      </w:r>
    </w:p>
    <w:p w14:paraId="643304F3">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项目所在区域</w:t>
      </w:r>
      <w:r>
        <w:rPr>
          <w:rFonts w:hint="default" w:ascii="Times New Roman" w:hAnsi="Times New Roman" w:eastAsia="宋体" w:cs="Times New Roman"/>
          <w:color w:val="FF0000"/>
          <w:spacing w:val="-3"/>
          <w:sz w:val="24"/>
          <w:szCs w:val="24"/>
          <w:highlight w:val="none"/>
        </w:rPr>
        <w:t>为</w:t>
      </w:r>
      <w:r>
        <w:rPr>
          <w:rFonts w:hint="default" w:ascii="Times New Roman" w:hAnsi="Times New Roman" w:eastAsia="宋体" w:cs="Times New Roman"/>
          <w:color w:val="FF0000"/>
          <w:spacing w:val="-3"/>
          <w:sz w:val="24"/>
          <w:szCs w:val="24"/>
          <w:highlight w:val="none"/>
          <w:lang w:val="en-US" w:eastAsia="zh-CN"/>
        </w:rPr>
        <w:t>1</w:t>
      </w:r>
      <w:r>
        <w:rPr>
          <w:rFonts w:hint="default" w:ascii="Times New Roman" w:hAnsi="Times New Roman" w:eastAsia="宋体" w:cs="Times New Roman"/>
          <w:color w:val="FF0000"/>
          <w:spacing w:val="-3"/>
          <w:sz w:val="24"/>
          <w:szCs w:val="24"/>
          <w:highlight w:val="none"/>
        </w:rPr>
        <w:t>类声</w:t>
      </w:r>
      <w:r>
        <w:rPr>
          <w:rFonts w:hint="default" w:ascii="Times New Roman" w:hAnsi="Times New Roman" w:eastAsia="宋体" w:cs="Times New Roman"/>
          <w:color w:val="auto"/>
          <w:spacing w:val="-3"/>
          <w:sz w:val="24"/>
          <w:szCs w:val="24"/>
          <w:highlight w:val="none"/>
        </w:rPr>
        <w:t>环境功能区，根据环境噪声现状监测结果，项目区域目前能够满足《声环境质量标准》（GB3096-2008</w:t>
      </w:r>
      <w:r>
        <w:rPr>
          <w:rFonts w:hint="default" w:ascii="Times New Roman" w:hAnsi="Times New Roman" w:eastAsia="宋体" w:cs="Times New Roman"/>
          <w:color w:val="FF0000"/>
          <w:spacing w:val="-3"/>
          <w:sz w:val="24"/>
          <w:szCs w:val="24"/>
          <w:highlight w:val="none"/>
        </w:rPr>
        <w:t>）</w:t>
      </w:r>
      <w:r>
        <w:rPr>
          <w:rFonts w:hint="default" w:ascii="Times New Roman" w:hAnsi="Times New Roman" w:eastAsia="宋体" w:cs="Times New Roman"/>
          <w:color w:val="FF0000"/>
          <w:spacing w:val="-3"/>
          <w:sz w:val="24"/>
          <w:szCs w:val="24"/>
          <w:highlight w:val="none"/>
          <w:lang w:val="en-US" w:eastAsia="zh-CN"/>
        </w:rPr>
        <w:t>1</w:t>
      </w:r>
      <w:r>
        <w:rPr>
          <w:rFonts w:hint="default" w:ascii="Times New Roman" w:hAnsi="Times New Roman" w:eastAsia="宋体" w:cs="Times New Roman"/>
          <w:color w:val="FF0000"/>
          <w:spacing w:val="-3"/>
          <w:sz w:val="24"/>
          <w:szCs w:val="24"/>
          <w:highlight w:val="none"/>
        </w:rPr>
        <w:t>类标</w:t>
      </w:r>
      <w:r>
        <w:rPr>
          <w:rFonts w:hint="default" w:ascii="Times New Roman" w:hAnsi="Times New Roman" w:eastAsia="宋体" w:cs="Times New Roman"/>
          <w:color w:val="auto"/>
          <w:spacing w:val="-3"/>
          <w:sz w:val="24"/>
          <w:szCs w:val="24"/>
          <w:highlight w:val="none"/>
        </w:rPr>
        <w:t>准要求，项目建成后噪声产生量小，不会改变项目所在区域的声环境功能；</w:t>
      </w:r>
    </w:p>
    <w:p w14:paraId="57F7BC12">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本项目产生的固体废物通过相应的处理措施后，处理效率可达到100%，实现了固体废物处理的无害化，减量化及资源化的目标。</w:t>
      </w:r>
    </w:p>
    <w:p w14:paraId="1AD356FB">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本项目运营期所排放的污染物经各类污染防治措施后，符合环境质量底线要求，对周围环境影响较小。</w:t>
      </w:r>
    </w:p>
    <w:p w14:paraId="53E40832">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（3）资源利用上线</w:t>
      </w:r>
    </w:p>
    <w:p w14:paraId="13B10AA7">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本项目位于自然资源一般管控区。本项目满足土地资源利用要求；本项目采用电取暖，符合原料资源利用要求；生产用主要为饮用水，项目的水资源循环使用，水资源利用不会突破区域的资源利用上线，符合水资源利用要求。因此本项目建设符合资源利用上线要求。</w:t>
      </w:r>
    </w:p>
    <w:p w14:paraId="05C3181E">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（4）环境准入负面清单符合性</w:t>
      </w:r>
    </w:p>
    <w:p w14:paraId="62107E25">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本项目位于黑龙江双鸭山市</w:t>
      </w:r>
      <w:r>
        <w:rPr>
          <w:rFonts w:hint="default" w:ascii="Times New Roman" w:hAnsi="Times New Roman" w:eastAsia="宋体" w:cs="Times New Roman"/>
          <w:color w:val="auto"/>
          <w:spacing w:val="-3"/>
          <w:sz w:val="24"/>
          <w:szCs w:val="24"/>
          <w:highlight w:val="none"/>
          <w:lang w:val="en-US" w:eastAsia="zh-CN"/>
        </w:rPr>
        <w:t>集贤县</w:t>
      </w:r>
      <w:r>
        <w:rPr>
          <w:rFonts w:hint="default" w:ascii="Times New Roman" w:hAnsi="Times New Roman" w:eastAsia="宋体" w:cs="Times New Roman"/>
          <w:color w:val="auto"/>
          <w:spacing w:val="-3"/>
          <w:sz w:val="24"/>
          <w:szCs w:val="24"/>
          <w:highlight w:val="none"/>
        </w:rPr>
        <w:t>，根据《双鸭山市人民政府关于实施“三线一单”生态环境分区管控的意见》，本项目与生态环境准入清单对照情况见下表。</w:t>
      </w:r>
    </w:p>
    <w:p w14:paraId="12145442">
      <w:pPr>
        <w:keepNext w:val="0"/>
        <w:keepLines w:val="0"/>
        <w:pageBreakBefore w:val="0"/>
        <w:kinsoku/>
        <w:wordWrap w:val="0"/>
        <w:overflowPunct/>
        <w:topLinePunct/>
        <w:autoSpaceDE/>
        <w:autoSpaceDN/>
        <w:bidi w:val="0"/>
        <w:adjustRightInd w:val="0"/>
        <w:snapToGrid w:val="0"/>
        <w:spacing w:line="233" w:lineRule="auto"/>
        <w:ind w:left="2519"/>
        <w:textAlignment w:val="baseline"/>
        <w:rPr>
          <w:rFonts w:hint="default" w:ascii="Times New Roman" w:hAnsi="Times New Roman" w:eastAsia="宋体" w:cs="Times New Roman"/>
          <w:b/>
          <w:bCs/>
          <w:color w:val="FF0000"/>
          <w:sz w:val="24"/>
          <w:szCs w:val="24"/>
          <w:highlight w:val="none"/>
        </w:rPr>
      </w:pPr>
      <w:r>
        <w:rPr>
          <w:rFonts w:hint="default" w:ascii="Times New Roman" w:hAnsi="Times New Roman" w:eastAsia="宋体" w:cs="Times New Roman"/>
          <w:b/>
          <w:bCs/>
          <w:color w:val="FF0000"/>
          <w:spacing w:val="-2"/>
          <w:sz w:val="24"/>
          <w:szCs w:val="24"/>
          <w:highlight w:val="none"/>
        </w:rPr>
        <w:t>表</w:t>
      </w:r>
      <w:r>
        <w:rPr>
          <w:rFonts w:hint="default" w:ascii="Times New Roman" w:hAnsi="Times New Roman" w:eastAsia="Times New Roman" w:cs="Times New Roman"/>
          <w:b/>
          <w:bCs/>
          <w:color w:val="FF0000"/>
          <w:spacing w:val="-2"/>
          <w:sz w:val="24"/>
          <w:szCs w:val="24"/>
          <w:highlight w:val="none"/>
        </w:rPr>
        <w:t>1.</w:t>
      </w:r>
      <w:r>
        <w:rPr>
          <w:rFonts w:hint="default" w:ascii="Times New Roman" w:hAnsi="Times New Roman" w:eastAsia="宋体" w:cs="Times New Roman"/>
          <w:b/>
          <w:bCs/>
          <w:color w:val="FF0000"/>
          <w:spacing w:val="-2"/>
          <w:sz w:val="24"/>
          <w:szCs w:val="24"/>
          <w:highlight w:val="none"/>
          <w:lang w:val="en-US" w:eastAsia="zh-CN"/>
        </w:rPr>
        <w:t>4</w:t>
      </w:r>
      <w:r>
        <w:rPr>
          <w:rFonts w:hint="default" w:ascii="Times New Roman" w:hAnsi="Times New Roman" w:eastAsia="Times New Roman" w:cs="Times New Roman"/>
          <w:b/>
          <w:bCs/>
          <w:color w:val="FF0000"/>
          <w:spacing w:val="-2"/>
          <w:sz w:val="24"/>
          <w:szCs w:val="24"/>
          <w:highlight w:val="none"/>
        </w:rPr>
        <w:t>-</w:t>
      </w:r>
      <w:r>
        <w:rPr>
          <w:rFonts w:hint="default" w:ascii="Times New Roman" w:hAnsi="Times New Roman" w:eastAsia="宋体" w:cs="Times New Roman"/>
          <w:b/>
          <w:bCs/>
          <w:color w:val="FF0000"/>
          <w:spacing w:val="-2"/>
          <w:sz w:val="24"/>
          <w:szCs w:val="24"/>
          <w:highlight w:val="none"/>
          <w:lang w:val="en-US" w:eastAsia="zh-CN"/>
        </w:rPr>
        <w:t>2</w:t>
      </w:r>
      <w:r>
        <w:rPr>
          <w:rFonts w:hint="default" w:ascii="Times New Roman" w:hAnsi="Times New Roman" w:eastAsia="宋体" w:cs="Times New Roman"/>
          <w:b/>
          <w:bCs/>
          <w:color w:val="FF0000"/>
          <w:spacing w:val="-2"/>
          <w:sz w:val="24"/>
          <w:szCs w:val="24"/>
          <w:highlight w:val="none"/>
        </w:rPr>
        <w:t>生态环境准入清单符合性分析</w:t>
      </w:r>
    </w:p>
    <w:p w14:paraId="15805926">
      <w:pPr>
        <w:keepNext w:val="0"/>
        <w:keepLines w:val="0"/>
        <w:pageBreakBefore w:val="0"/>
        <w:kinsoku/>
        <w:wordWrap w:val="0"/>
        <w:overflowPunct/>
        <w:topLinePunct/>
        <w:autoSpaceDE/>
        <w:autoSpaceDN/>
        <w:bidi w:val="0"/>
        <w:adjustRightInd w:val="0"/>
        <w:snapToGrid w:val="0"/>
        <w:spacing w:line="52" w:lineRule="exact"/>
        <w:textAlignment w:val="baseline"/>
        <w:rPr>
          <w:rFonts w:hint="default" w:ascii="Times New Roman" w:hAnsi="Times New Roman" w:cs="Times New Roman"/>
          <w:color w:val="FF0000"/>
          <w:highlight w:val="none"/>
        </w:rPr>
      </w:pPr>
    </w:p>
    <w:tbl>
      <w:tblPr>
        <w:tblStyle w:val="26"/>
        <w:tblW w:w="827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55"/>
        <w:gridCol w:w="3673"/>
        <w:gridCol w:w="3244"/>
      </w:tblGrid>
      <w:tr w14:paraId="45B0F3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72" w:type="dxa"/>
            <w:gridSpan w:val="3"/>
            <w:tcBorders>
              <w:tl2br w:val="nil"/>
              <w:tr2bl w:val="nil"/>
            </w:tcBorders>
            <w:noWrap w:val="0"/>
            <w:vAlign w:val="center"/>
          </w:tcPr>
          <w:p w14:paraId="04499C3C">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一、生态保护红线</w:t>
            </w:r>
          </w:p>
        </w:tc>
      </w:tr>
      <w:tr w14:paraId="6B85C6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3720EFFD">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管控单元类别</w:t>
            </w:r>
          </w:p>
        </w:tc>
        <w:tc>
          <w:tcPr>
            <w:tcW w:w="6917" w:type="dxa"/>
            <w:gridSpan w:val="2"/>
            <w:tcBorders>
              <w:tl2br w:val="nil"/>
              <w:tr2bl w:val="nil"/>
            </w:tcBorders>
            <w:noWrap w:val="0"/>
            <w:vAlign w:val="center"/>
          </w:tcPr>
          <w:p w14:paraId="300EA10B">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一般管控区</w:t>
            </w:r>
          </w:p>
        </w:tc>
      </w:tr>
      <w:tr w14:paraId="7FC961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3C4DA64F">
            <w:pPr>
              <w:keepNext w:val="0"/>
              <w:keepLines w:val="0"/>
              <w:suppressLineNumbers w:val="0"/>
              <w:adjustRightInd w:val="0"/>
              <w:spacing w:before="0" w:beforeAutospacing="0" w:after="0" w:afterAutospacing="0"/>
              <w:ind w:left="0" w:right="0"/>
              <w:jc w:val="left"/>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管控要求</w:t>
            </w:r>
          </w:p>
        </w:tc>
        <w:tc>
          <w:tcPr>
            <w:tcW w:w="6917" w:type="dxa"/>
            <w:gridSpan w:val="2"/>
            <w:tcBorders>
              <w:tl2br w:val="nil"/>
              <w:tr2bl w:val="nil"/>
            </w:tcBorders>
            <w:noWrap w:val="0"/>
            <w:vAlign w:val="center"/>
          </w:tcPr>
          <w:p w14:paraId="26564183">
            <w:pPr>
              <w:keepNext w:val="0"/>
              <w:keepLines w:val="0"/>
              <w:suppressLineNumbers w:val="0"/>
              <w:adjustRightInd w:val="0"/>
              <w:spacing w:before="0" w:beforeAutospacing="0" w:after="0" w:afterAutospacing="0"/>
              <w:ind w:left="0" w:right="0"/>
              <w:jc w:val="left"/>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生态空间包括生态保护红线和一般生态空间，生态保护红线及一般生态空间均属于优先保护区，其余区域属于一般管控区。</w:t>
            </w:r>
          </w:p>
        </w:tc>
      </w:tr>
      <w:tr w14:paraId="05534A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05D23C7D">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符合性分析</w:t>
            </w:r>
          </w:p>
        </w:tc>
        <w:tc>
          <w:tcPr>
            <w:tcW w:w="6917" w:type="dxa"/>
            <w:gridSpan w:val="2"/>
            <w:tcBorders>
              <w:tl2br w:val="nil"/>
              <w:tr2bl w:val="nil"/>
            </w:tcBorders>
            <w:noWrap w:val="0"/>
            <w:vAlign w:val="center"/>
          </w:tcPr>
          <w:p w14:paraId="61B96515">
            <w:pPr>
              <w:keepNext w:val="0"/>
              <w:keepLines w:val="0"/>
              <w:suppressLineNumbers w:val="0"/>
              <w:adjustRightInd w:val="0"/>
              <w:spacing w:before="0" w:beforeAutospacing="0" w:after="0" w:afterAutospacing="0"/>
              <w:ind w:left="0" w:right="0"/>
              <w:jc w:val="left"/>
              <w:textAlignment w:val="baseline"/>
              <w:rPr>
                <w:rFonts w:hint="default" w:ascii="Times New Roman" w:hAnsi="Times New Roman" w:cs="Times New Roman"/>
                <w:color w:val="FF0000"/>
                <w:sz w:val="21"/>
                <w:szCs w:val="21"/>
                <w:highlight w:val="none"/>
              </w:rPr>
            </w:pPr>
            <w:r>
              <w:rPr>
                <w:rFonts w:hint="default" w:ascii="Times New Roman" w:hAnsi="Times New Roman" w:eastAsia="宋体" w:cs="Times New Roman"/>
                <w:color w:val="FF0000"/>
                <w:sz w:val="21"/>
                <w:szCs w:val="21"/>
                <w:highlight w:val="none"/>
              </w:rPr>
              <w:t>本项目选址不在生态保护红线范围内，不在一般生态空间及各类保护地内，不涉及国家、省、市级自然保护区、自然文化遗产、风景名胜区、文物古迹、生态红线、饮用水水源保护区、重要湿地等区域；不在优先保护单元内，所在区域属于一般管控单元，符合生态保护红线要求</w:t>
            </w:r>
            <w:r>
              <w:rPr>
                <w:rFonts w:hint="default" w:ascii="Times New Roman" w:hAnsi="Times New Roman" w:cs="Times New Roman"/>
                <w:color w:val="FF0000"/>
                <w:sz w:val="21"/>
                <w:szCs w:val="21"/>
                <w:highlight w:val="none"/>
              </w:rPr>
              <w:t>。</w:t>
            </w:r>
          </w:p>
        </w:tc>
      </w:tr>
      <w:tr w14:paraId="2016CC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72" w:type="dxa"/>
            <w:gridSpan w:val="3"/>
            <w:tcBorders>
              <w:tl2br w:val="nil"/>
              <w:tr2bl w:val="nil"/>
            </w:tcBorders>
            <w:noWrap w:val="0"/>
            <w:vAlign w:val="center"/>
          </w:tcPr>
          <w:p w14:paraId="7CBF3A62">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二、环境质量底线</w:t>
            </w:r>
          </w:p>
        </w:tc>
      </w:tr>
      <w:tr w14:paraId="729AF1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72" w:type="dxa"/>
            <w:gridSpan w:val="3"/>
            <w:tcBorders>
              <w:tl2br w:val="nil"/>
              <w:tr2bl w:val="nil"/>
            </w:tcBorders>
            <w:noWrap w:val="0"/>
            <w:vAlign w:val="center"/>
          </w:tcPr>
          <w:p w14:paraId="79E072ED">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大气环境</w:t>
            </w:r>
          </w:p>
        </w:tc>
      </w:tr>
      <w:tr w14:paraId="498EDA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1355" w:type="dxa"/>
            <w:tcBorders>
              <w:tl2br w:val="nil"/>
              <w:tr2bl w:val="nil"/>
            </w:tcBorders>
            <w:noWrap w:val="0"/>
            <w:vAlign w:val="center"/>
          </w:tcPr>
          <w:p w14:paraId="77382838">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管控单元类别</w:t>
            </w:r>
          </w:p>
        </w:tc>
        <w:tc>
          <w:tcPr>
            <w:tcW w:w="6917" w:type="dxa"/>
            <w:gridSpan w:val="2"/>
            <w:tcBorders>
              <w:tl2br w:val="nil"/>
              <w:tr2bl w:val="nil"/>
            </w:tcBorders>
            <w:noWrap w:val="0"/>
            <w:vAlign w:val="center"/>
          </w:tcPr>
          <w:p w14:paraId="1BB276DE">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大气环境一般管控区</w:t>
            </w:r>
          </w:p>
        </w:tc>
      </w:tr>
      <w:tr w14:paraId="542753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28" w:type="dxa"/>
            <w:gridSpan w:val="2"/>
            <w:tcBorders>
              <w:tl2br w:val="nil"/>
              <w:tr2bl w:val="nil"/>
            </w:tcBorders>
            <w:noWrap w:val="0"/>
            <w:vAlign w:val="center"/>
          </w:tcPr>
          <w:p w14:paraId="43D5318F">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管控要求</w:t>
            </w:r>
          </w:p>
        </w:tc>
        <w:tc>
          <w:tcPr>
            <w:tcW w:w="3244" w:type="dxa"/>
            <w:tcBorders>
              <w:tl2br w:val="nil"/>
              <w:tr2bl w:val="nil"/>
            </w:tcBorders>
            <w:noWrap w:val="0"/>
            <w:vAlign w:val="center"/>
          </w:tcPr>
          <w:p w14:paraId="371249B3">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符合性分析</w:t>
            </w:r>
          </w:p>
        </w:tc>
      </w:tr>
      <w:tr w14:paraId="4CCA11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5B08FECC">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空间布局约束</w:t>
            </w:r>
          </w:p>
        </w:tc>
        <w:tc>
          <w:tcPr>
            <w:tcW w:w="3673" w:type="dxa"/>
            <w:tcBorders>
              <w:tl2br w:val="nil"/>
              <w:tr2bl w:val="nil"/>
            </w:tcBorders>
            <w:noWrap w:val="0"/>
            <w:vAlign w:val="center"/>
          </w:tcPr>
          <w:p w14:paraId="3754B7D4">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减少新增化工园区，除符合省政府产业布局调整政策外，减少新增钢铁、电解铝、水泥和平板玻璃等产能。减少建设生产和使用高VOCs含量的溶剂型涂料、油墨、胶粘剂等项目。</w:t>
            </w:r>
          </w:p>
        </w:tc>
        <w:tc>
          <w:tcPr>
            <w:tcW w:w="3244" w:type="dxa"/>
            <w:tcBorders>
              <w:tl2br w:val="nil"/>
              <w:tr2bl w:val="nil"/>
            </w:tcBorders>
            <w:noWrap w:val="0"/>
            <w:vAlign w:val="center"/>
          </w:tcPr>
          <w:p w14:paraId="3D2F1BCB">
            <w:pPr>
              <w:pStyle w:val="61"/>
              <w:spacing w:line="240" w:lineRule="auto"/>
              <w:ind w:left="0" w:leftChars="0" w:firstLine="0" w:firstLineChars="0"/>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lang w:eastAsia="zh-CN"/>
              </w:rPr>
              <w:t>本项目</w:t>
            </w:r>
            <w:r>
              <w:rPr>
                <w:rFonts w:hint="default" w:ascii="Times New Roman" w:hAnsi="Times New Roman" w:cs="Times New Roman"/>
                <w:color w:val="FF0000"/>
                <w:sz w:val="21"/>
                <w:szCs w:val="21"/>
                <w:highlight w:val="none"/>
              </w:rPr>
              <w:t>为畜禽标准化规模养殖技术开发与应用项目，不属于“两高”行业，</w:t>
            </w:r>
            <w:r>
              <w:rPr>
                <w:rFonts w:hint="default" w:ascii="Times New Roman" w:hAnsi="Times New Roman" w:cs="Times New Roman"/>
                <w:color w:val="FF0000"/>
                <w:sz w:val="21"/>
                <w:szCs w:val="21"/>
                <w:highlight w:val="none"/>
                <w:lang w:eastAsia="zh-CN"/>
              </w:rPr>
              <w:t>不使用</w:t>
            </w:r>
            <w:r>
              <w:rPr>
                <w:rFonts w:hint="default" w:ascii="Times New Roman" w:hAnsi="Times New Roman" w:cs="Times New Roman"/>
                <w:color w:val="FF0000"/>
                <w:sz w:val="21"/>
                <w:szCs w:val="21"/>
                <w:highlight w:val="none"/>
              </w:rPr>
              <w:t>高VOCs含量的溶剂型涂料、油墨、胶粘剂等</w:t>
            </w:r>
            <w:r>
              <w:rPr>
                <w:rFonts w:hint="default" w:ascii="Times New Roman" w:hAnsi="Times New Roman" w:cs="Times New Roman"/>
                <w:color w:val="FF0000"/>
                <w:sz w:val="21"/>
                <w:szCs w:val="21"/>
                <w:highlight w:val="none"/>
                <w:lang w:eastAsia="zh-CN"/>
              </w:rPr>
              <w:t>，</w:t>
            </w:r>
            <w:r>
              <w:rPr>
                <w:rFonts w:hint="default" w:ascii="Times New Roman" w:hAnsi="Times New Roman" w:cs="Times New Roman"/>
                <w:color w:val="FF0000"/>
                <w:spacing w:val="-3"/>
                <w:sz w:val="21"/>
                <w:szCs w:val="21"/>
                <w:highlight w:val="none"/>
              </w:rPr>
              <w:t>符合空间布局</w:t>
            </w:r>
            <w:r>
              <w:rPr>
                <w:rFonts w:hint="default" w:ascii="Times New Roman" w:hAnsi="Times New Roman" w:cs="Times New Roman"/>
                <w:color w:val="FF0000"/>
                <w:spacing w:val="-5"/>
                <w:sz w:val="21"/>
                <w:szCs w:val="21"/>
                <w:highlight w:val="none"/>
              </w:rPr>
              <w:t>约束管控要求</w:t>
            </w:r>
            <w:r>
              <w:rPr>
                <w:rFonts w:hint="default" w:ascii="Times New Roman" w:hAnsi="Times New Roman" w:cs="Times New Roman"/>
                <w:color w:val="FF0000"/>
                <w:sz w:val="21"/>
                <w:szCs w:val="21"/>
                <w:highlight w:val="none"/>
                <w:lang w:val="en-US" w:eastAsia="zh-CN"/>
              </w:rPr>
              <w:t>。</w:t>
            </w:r>
          </w:p>
        </w:tc>
      </w:tr>
      <w:tr w14:paraId="24BFEA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483C8D1B">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污染物排放管控</w:t>
            </w:r>
          </w:p>
        </w:tc>
        <w:tc>
          <w:tcPr>
            <w:tcW w:w="3673" w:type="dxa"/>
            <w:tcBorders>
              <w:tl2br w:val="nil"/>
              <w:tr2bl w:val="nil"/>
            </w:tcBorders>
            <w:noWrap w:val="0"/>
            <w:vAlign w:val="center"/>
          </w:tcPr>
          <w:p w14:paraId="71AF6390">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二氧化硫、氮氧化物、颗粒物、VOCs全面执行国家、省及各市下达的大气污染防治要求。新建钢铁、焦化等高污染项目要同时配置最先进的生产工艺和污染治理装备。</w:t>
            </w:r>
          </w:p>
        </w:tc>
        <w:tc>
          <w:tcPr>
            <w:tcW w:w="3244" w:type="dxa"/>
            <w:tcBorders>
              <w:tl2br w:val="nil"/>
              <w:tr2bl w:val="nil"/>
            </w:tcBorders>
            <w:noWrap w:val="0"/>
            <w:vAlign w:val="center"/>
          </w:tcPr>
          <w:p w14:paraId="1E7808A6">
            <w:pPr>
              <w:keepNext w:val="0"/>
              <w:keepLines w:val="0"/>
              <w:suppressLineNumbers w:val="0"/>
              <w:adjustRightInd w:val="0"/>
              <w:spacing w:before="0" w:beforeAutospacing="0" w:after="0" w:afterAutospacing="0" w:line="240" w:lineRule="atLeast"/>
              <w:ind w:left="0" w:leftChars="0" w:right="0" w:rightChars="0"/>
              <w:jc w:val="left"/>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本项目生产不用热，不产生</w:t>
            </w:r>
            <w:r>
              <w:rPr>
                <w:rFonts w:hint="default" w:ascii="Times New Roman" w:hAnsi="Times New Roman" w:cs="Times New Roman"/>
                <w:color w:val="FF0000"/>
                <w:sz w:val="21"/>
                <w:szCs w:val="21"/>
                <w:highlight w:val="none"/>
              </w:rPr>
              <w:t>二氧化硫、氮氧化物、颗粒物、VOCs</w:t>
            </w:r>
            <w:r>
              <w:rPr>
                <w:rFonts w:hint="default" w:ascii="Times New Roman" w:hAnsi="Times New Roman" w:eastAsia="宋体" w:cs="Times New Roman"/>
                <w:color w:val="FF0000"/>
                <w:sz w:val="21"/>
                <w:szCs w:val="21"/>
                <w:highlight w:val="none"/>
                <w:lang w:val="en-US" w:eastAsia="zh-CN"/>
              </w:rPr>
              <w:t>等。</w:t>
            </w:r>
          </w:p>
        </w:tc>
      </w:tr>
      <w:tr w14:paraId="415FD3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023DC200">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环境风险防控</w:t>
            </w:r>
          </w:p>
        </w:tc>
        <w:tc>
          <w:tcPr>
            <w:tcW w:w="3673" w:type="dxa"/>
            <w:tcBorders>
              <w:tl2br w:val="nil"/>
              <w:tr2bl w:val="nil"/>
            </w:tcBorders>
            <w:noWrap w:val="0"/>
            <w:vAlign w:val="center"/>
          </w:tcPr>
          <w:p w14:paraId="13D89AE1">
            <w:pPr>
              <w:keepNext w:val="0"/>
              <w:keepLines w:val="0"/>
              <w:suppressLineNumbers w:val="0"/>
              <w:adjustRightInd w:val="0"/>
              <w:spacing w:before="0" w:beforeAutospacing="0" w:after="0" w:afterAutospacing="0"/>
              <w:ind w:left="0" w:leftChars="0" w:right="0" w:rightChars="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编制区域内大气污染应急减排项目清单，做到可操作、可核查、可监测，当预测到区域将出现重污染天气时，根据预警发布，按级别启动应急响应措施。</w:t>
            </w:r>
          </w:p>
          <w:p w14:paraId="4C45F778">
            <w:pPr>
              <w:keepNext w:val="0"/>
              <w:keepLines w:val="0"/>
              <w:suppressLineNumbers w:val="0"/>
              <w:adjustRightInd w:val="0"/>
              <w:spacing w:before="0" w:beforeAutospacing="0" w:after="0" w:afterAutospacing="0"/>
              <w:ind w:left="0" w:leftChars="0" w:right="0" w:rightChars="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严格执行相关行业企业布局选址要求，禁止在商住、学校、医疗、养老机构、人口密集区和公共服务设施等周边新建有色金属冶炼、化工等行业企业</w:t>
            </w:r>
          </w:p>
        </w:tc>
        <w:tc>
          <w:tcPr>
            <w:tcW w:w="3244" w:type="dxa"/>
            <w:tcBorders>
              <w:tl2br w:val="nil"/>
              <w:tr2bl w:val="nil"/>
            </w:tcBorders>
            <w:noWrap w:val="0"/>
            <w:vAlign w:val="center"/>
          </w:tcPr>
          <w:p w14:paraId="39768C00">
            <w:pPr>
              <w:keepNext w:val="0"/>
              <w:keepLines w:val="0"/>
              <w:suppressLineNumbers w:val="0"/>
              <w:adjustRightInd w:val="0"/>
              <w:spacing w:before="0" w:beforeAutospacing="0" w:after="0" w:afterAutospacing="0" w:line="240" w:lineRule="atLeast"/>
              <w:ind w:left="0" w:leftChars="0" w:right="0" w:rightChars="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本项目为畜禽标准化规模养殖技术开发与应用项目</w:t>
            </w:r>
            <w:r>
              <w:rPr>
                <w:rFonts w:hint="default" w:ascii="Times New Roman" w:hAnsi="Times New Roman" w:cs="Times New Roman"/>
                <w:color w:val="FF0000"/>
                <w:sz w:val="21"/>
                <w:szCs w:val="21"/>
                <w:highlight w:val="none"/>
                <w:lang w:eastAsia="zh-CN"/>
              </w:rPr>
              <w:t>，</w:t>
            </w:r>
            <w:r>
              <w:rPr>
                <w:rFonts w:hint="default" w:ascii="Times New Roman" w:hAnsi="Times New Roman" w:cs="Times New Roman"/>
                <w:color w:val="FF0000"/>
                <w:sz w:val="21"/>
                <w:szCs w:val="21"/>
                <w:highlight w:val="none"/>
              </w:rPr>
              <w:t>当预测到区域将出现重污染天气时，根据预警发布，按级别</w:t>
            </w:r>
            <w:r>
              <w:rPr>
                <w:rFonts w:hint="default" w:ascii="Times New Roman" w:hAnsi="Times New Roman" w:cs="Times New Roman"/>
                <w:color w:val="FF0000"/>
                <w:sz w:val="21"/>
                <w:szCs w:val="21"/>
                <w:highlight w:val="none"/>
                <w:lang w:eastAsia="zh-CN"/>
              </w:rPr>
              <w:t>企业积极配合</w:t>
            </w:r>
            <w:r>
              <w:rPr>
                <w:rFonts w:hint="default" w:ascii="Times New Roman" w:hAnsi="Times New Roman" w:cs="Times New Roman"/>
                <w:color w:val="FF0000"/>
                <w:sz w:val="21"/>
                <w:szCs w:val="21"/>
                <w:highlight w:val="none"/>
              </w:rPr>
              <w:t>启动应急响应措施。</w:t>
            </w:r>
          </w:p>
        </w:tc>
      </w:tr>
      <w:tr w14:paraId="510C4A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0869E04B">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lang w:eastAsia="zh-CN"/>
              </w:rPr>
              <w:t>资源开发率要求</w:t>
            </w:r>
          </w:p>
        </w:tc>
        <w:tc>
          <w:tcPr>
            <w:tcW w:w="3673" w:type="dxa"/>
            <w:tcBorders>
              <w:tl2br w:val="nil"/>
              <w:tr2bl w:val="nil"/>
            </w:tcBorders>
            <w:noWrap w:val="0"/>
            <w:vAlign w:val="center"/>
          </w:tcPr>
          <w:p w14:paraId="36F7C6BC">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禁燃区禁止新建、扩建燃用高污染燃料的项目和设施，已建成的应逐步或依法限期改用天然气、电或者其他清洁能源新上耗煤项目实施煤炭减量替代，单位</w:t>
            </w:r>
            <w:r>
              <w:rPr>
                <w:rFonts w:hint="default" w:ascii="Times New Roman" w:hAnsi="Times New Roman" w:cs="Times New Roman"/>
                <w:color w:val="FF0000"/>
                <w:sz w:val="21"/>
                <w:szCs w:val="21"/>
                <w:highlight w:val="none"/>
                <w:lang w:val="en-US" w:eastAsia="zh-CN"/>
              </w:rPr>
              <w:t>产品（产值）能耗要达到国内先进水平。</w:t>
            </w:r>
          </w:p>
          <w:p w14:paraId="40FD6C36">
            <w:pPr>
              <w:keepNext w:val="0"/>
              <w:keepLines w:val="0"/>
              <w:suppressLineNumbers w:val="0"/>
              <w:adjustRightInd w:val="0"/>
              <w:spacing w:before="0" w:beforeAutospacing="0" w:after="0" w:afterAutospacing="0"/>
              <w:ind w:left="0" w:leftChars="0" w:right="0" w:rightChars="0"/>
              <w:textAlignment w:val="baseline"/>
              <w:rPr>
                <w:rFonts w:hint="default" w:ascii="Times New Roman" w:hAnsi="Times New Roman" w:cs="Times New Roman"/>
                <w:color w:val="FF0000"/>
                <w:sz w:val="21"/>
                <w:szCs w:val="21"/>
                <w:highlight w:val="none"/>
              </w:rPr>
            </w:pPr>
          </w:p>
        </w:tc>
        <w:tc>
          <w:tcPr>
            <w:tcW w:w="3244" w:type="dxa"/>
            <w:tcBorders>
              <w:tl2br w:val="nil"/>
              <w:tr2bl w:val="nil"/>
            </w:tcBorders>
            <w:noWrap w:val="0"/>
            <w:vAlign w:val="center"/>
          </w:tcPr>
          <w:p w14:paraId="6C1CD29A">
            <w:pPr>
              <w:keepNext w:val="0"/>
              <w:keepLines w:val="0"/>
              <w:suppressLineNumbers w:val="0"/>
              <w:adjustRightInd w:val="0"/>
              <w:spacing w:before="0" w:beforeAutospacing="0" w:after="0" w:afterAutospacing="0" w:line="240" w:lineRule="atLeast"/>
              <w:ind w:left="0" w:leftChars="0" w:right="0" w:rightChars="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lang w:eastAsia="zh-CN"/>
              </w:rPr>
              <w:t>本项目</w:t>
            </w:r>
            <w:r>
              <w:rPr>
                <w:rFonts w:hint="default" w:ascii="Times New Roman" w:hAnsi="Times New Roman" w:cs="Times New Roman"/>
                <w:color w:val="FF0000"/>
                <w:sz w:val="21"/>
                <w:szCs w:val="21"/>
                <w:highlight w:val="none"/>
                <w:lang w:val="en-US" w:eastAsia="zh-CN"/>
              </w:rPr>
              <w:t>不使用燃料</w:t>
            </w:r>
          </w:p>
        </w:tc>
      </w:tr>
      <w:tr w14:paraId="64D16A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72" w:type="dxa"/>
            <w:gridSpan w:val="3"/>
            <w:tcBorders>
              <w:tl2br w:val="nil"/>
              <w:tr2bl w:val="nil"/>
            </w:tcBorders>
            <w:noWrap w:val="0"/>
            <w:vAlign w:val="center"/>
          </w:tcPr>
          <w:p w14:paraId="0FA24414">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水环境</w:t>
            </w:r>
          </w:p>
        </w:tc>
      </w:tr>
      <w:tr w14:paraId="783F01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09C971E7">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管控单元类别</w:t>
            </w:r>
          </w:p>
        </w:tc>
        <w:tc>
          <w:tcPr>
            <w:tcW w:w="6917" w:type="dxa"/>
            <w:gridSpan w:val="2"/>
            <w:tcBorders>
              <w:tl2br w:val="nil"/>
              <w:tr2bl w:val="nil"/>
            </w:tcBorders>
            <w:noWrap w:val="0"/>
            <w:vAlign w:val="center"/>
          </w:tcPr>
          <w:p w14:paraId="4760E49B">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水环境一般管控区</w:t>
            </w:r>
          </w:p>
        </w:tc>
      </w:tr>
      <w:tr w14:paraId="2CF77A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28" w:type="dxa"/>
            <w:gridSpan w:val="2"/>
            <w:tcBorders>
              <w:tl2br w:val="nil"/>
              <w:tr2bl w:val="nil"/>
            </w:tcBorders>
            <w:noWrap w:val="0"/>
            <w:vAlign w:val="center"/>
          </w:tcPr>
          <w:p w14:paraId="53F9C3CE">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管控要求</w:t>
            </w:r>
          </w:p>
        </w:tc>
        <w:tc>
          <w:tcPr>
            <w:tcW w:w="3244" w:type="dxa"/>
            <w:tcBorders>
              <w:tl2br w:val="nil"/>
              <w:tr2bl w:val="nil"/>
            </w:tcBorders>
            <w:noWrap w:val="0"/>
            <w:vAlign w:val="center"/>
          </w:tcPr>
          <w:p w14:paraId="5168596D">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符合性分析</w:t>
            </w:r>
          </w:p>
        </w:tc>
      </w:tr>
      <w:tr w14:paraId="36CC08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7773BEE5">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空间布局约束</w:t>
            </w:r>
          </w:p>
        </w:tc>
        <w:tc>
          <w:tcPr>
            <w:tcW w:w="3673" w:type="dxa"/>
            <w:tcBorders>
              <w:tl2br w:val="nil"/>
              <w:tr2bl w:val="nil"/>
            </w:tcBorders>
            <w:noWrap w:val="0"/>
            <w:vAlign w:val="center"/>
          </w:tcPr>
          <w:p w14:paraId="27EA323D">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lang w:val="en-US" w:eastAsia="zh-CN"/>
              </w:rPr>
              <w:t>严格依法管控，严禁不符合主体功能定位的各类开发活动。加快市域内各城镇污水处理厂的建设。严格依法管控畜禽养殖企业，提高规模化养殖占比，优化种植业结构，坚持适区种植。坚持市场需求导向。</w:t>
            </w:r>
          </w:p>
        </w:tc>
        <w:tc>
          <w:tcPr>
            <w:tcW w:w="3244" w:type="dxa"/>
            <w:vMerge w:val="restart"/>
            <w:tcBorders>
              <w:tl2br w:val="nil"/>
              <w:tr2bl w:val="nil"/>
            </w:tcBorders>
            <w:noWrap w:val="0"/>
            <w:vAlign w:val="center"/>
          </w:tcPr>
          <w:p w14:paraId="74D494BB">
            <w:pPr>
              <w:keepNext w:val="0"/>
              <w:keepLines w:val="0"/>
              <w:suppressLineNumbers w:val="0"/>
              <w:adjustRightInd w:val="0"/>
              <w:spacing w:before="0" w:beforeAutospacing="0" w:after="0" w:afterAutospacing="0"/>
              <w:ind w:left="0" w:leftChars="0" w:right="0" w:rightChars="0"/>
              <w:textAlignment w:val="baseline"/>
              <w:rPr>
                <w:rFonts w:hint="default" w:ascii="Times New Roman" w:hAnsi="Times New Roman" w:cs="Times New Roman"/>
                <w:color w:val="FF0000"/>
                <w:kern w:val="2"/>
                <w:sz w:val="21"/>
                <w:szCs w:val="21"/>
                <w:highlight w:val="none"/>
                <w:lang w:val="en-US" w:eastAsia="zh-CN" w:bidi="ar-SA"/>
              </w:rPr>
            </w:pPr>
            <w:r>
              <w:rPr>
                <w:rFonts w:hint="default" w:ascii="Times New Roman" w:hAnsi="Times New Roman" w:cs="Times New Roman"/>
                <w:snapToGrid w:val="0"/>
                <w:color w:val="FF0000"/>
                <w:kern w:val="0"/>
                <w:sz w:val="21"/>
                <w:szCs w:val="21"/>
                <w:highlight w:val="none"/>
              </w:rPr>
              <w:t>本项目为</w:t>
            </w:r>
            <w:r>
              <w:rPr>
                <w:rFonts w:hint="default" w:ascii="Times New Roman" w:hAnsi="Times New Roman" w:cs="Times New Roman"/>
                <w:color w:val="FF0000"/>
                <w:sz w:val="21"/>
                <w:szCs w:val="21"/>
                <w:highlight w:val="none"/>
              </w:rPr>
              <w:t>畜禽标准化规模养殖技术开发与应用项目</w:t>
            </w:r>
            <w:r>
              <w:rPr>
                <w:rFonts w:hint="default" w:ascii="Times New Roman" w:hAnsi="Times New Roman" w:cs="Times New Roman"/>
                <w:snapToGrid w:val="0"/>
                <w:color w:val="FF0000"/>
                <w:kern w:val="0"/>
                <w:sz w:val="21"/>
                <w:szCs w:val="21"/>
                <w:highlight w:val="none"/>
              </w:rPr>
              <w:t>，不属于</w:t>
            </w:r>
            <w:r>
              <w:rPr>
                <w:rFonts w:hint="default" w:ascii="Times New Roman" w:hAnsi="Times New Roman" w:eastAsia="宋体" w:cs="Times New Roman"/>
                <w:color w:val="FF0000"/>
                <w:sz w:val="21"/>
                <w:szCs w:val="21"/>
                <w:highlight w:val="none"/>
                <w:lang w:val="en-US" w:eastAsia="zh-CN"/>
              </w:rPr>
              <w:t>“两高”项目</w:t>
            </w:r>
            <w:r>
              <w:rPr>
                <w:rFonts w:hint="default" w:ascii="Times New Roman" w:hAnsi="Times New Roman" w:cs="Times New Roman"/>
                <w:color w:val="FF0000"/>
                <w:sz w:val="21"/>
                <w:szCs w:val="21"/>
                <w:highlight w:val="none"/>
              </w:rPr>
              <w:t>；</w:t>
            </w:r>
            <w:r>
              <w:rPr>
                <w:rFonts w:hint="default" w:ascii="Times New Roman" w:hAnsi="Times New Roman" w:cs="Times New Roman"/>
                <w:color w:val="FF0000"/>
                <w:kern w:val="0"/>
                <w:sz w:val="21"/>
                <w:szCs w:val="21"/>
                <w:highlight w:val="none"/>
              </w:rPr>
              <w:t>项目无生产废水</w:t>
            </w:r>
            <w:r>
              <w:rPr>
                <w:rFonts w:hint="default" w:ascii="Times New Roman" w:hAnsi="Times New Roman" w:eastAsia="宋体" w:cs="Times New Roman"/>
                <w:color w:val="FF0000"/>
                <w:kern w:val="0"/>
                <w:sz w:val="21"/>
                <w:szCs w:val="21"/>
                <w:highlight w:val="none"/>
                <w:lang w:val="en-US" w:eastAsia="zh-CN"/>
              </w:rPr>
              <w:t>排放</w:t>
            </w:r>
            <w:r>
              <w:rPr>
                <w:rFonts w:hint="default" w:ascii="Times New Roman" w:hAnsi="Times New Roman" w:cs="Times New Roman"/>
                <w:color w:val="FF0000"/>
                <w:kern w:val="0"/>
                <w:sz w:val="21"/>
                <w:szCs w:val="21"/>
                <w:highlight w:val="none"/>
                <w:lang w:eastAsia="zh-CN"/>
              </w:rPr>
              <w:t>。</w:t>
            </w:r>
          </w:p>
        </w:tc>
      </w:tr>
      <w:tr w14:paraId="7E1372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1AF342AF">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污染物排放管控</w:t>
            </w:r>
          </w:p>
        </w:tc>
        <w:tc>
          <w:tcPr>
            <w:tcW w:w="3673" w:type="dxa"/>
            <w:tcBorders>
              <w:tl2br w:val="nil"/>
              <w:tr2bl w:val="nil"/>
            </w:tcBorders>
            <w:noWrap w:val="0"/>
            <w:vAlign w:val="center"/>
          </w:tcPr>
          <w:p w14:paraId="799D4528">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lang w:val="en-US" w:eastAsia="zh-CN"/>
              </w:rPr>
              <w:t>加强污水厂日常监管，确保达标排放。加强畜禽养殖、农业种植、农村生活污染管控。加强畜禽养殖企业环境管理；实施农村环境综合整治，减少农村污水、垃圾等面源污染物排放；加强农灌水排放管理。</w:t>
            </w:r>
          </w:p>
        </w:tc>
        <w:tc>
          <w:tcPr>
            <w:tcW w:w="3244" w:type="dxa"/>
            <w:vMerge w:val="continue"/>
            <w:tcBorders>
              <w:tl2br w:val="nil"/>
              <w:tr2bl w:val="nil"/>
            </w:tcBorders>
            <w:noWrap w:val="0"/>
            <w:vAlign w:val="center"/>
          </w:tcPr>
          <w:p w14:paraId="031CA843">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p>
        </w:tc>
      </w:tr>
      <w:tr w14:paraId="76CC88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5BC0399C">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环境风险防控</w:t>
            </w:r>
          </w:p>
        </w:tc>
        <w:tc>
          <w:tcPr>
            <w:tcW w:w="3673" w:type="dxa"/>
            <w:tcBorders>
              <w:tl2br w:val="nil"/>
              <w:tr2bl w:val="nil"/>
            </w:tcBorders>
            <w:noWrap w:val="0"/>
            <w:vAlign w:val="center"/>
          </w:tcPr>
          <w:p w14:paraId="020D40D0">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lang w:val="en-US" w:eastAsia="zh-CN"/>
              </w:rPr>
              <w:t>加强污水厂事故排放管控。对化肥、农药、除草剂及包装物等处理、处置加强风险防控。</w:t>
            </w:r>
          </w:p>
        </w:tc>
        <w:tc>
          <w:tcPr>
            <w:tcW w:w="3244" w:type="dxa"/>
            <w:vMerge w:val="continue"/>
            <w:tcBorders>
              <w:tl2br w:val="nil"/>
              <w:tr2bl w:val="nil"/>
            </w:tcBorders>
            <w:noWrap w:val="0"/>
            <w:vAlign w:val="center"/>
          </w:tcPr>
          <w:p w14:paraId="15DFCF73">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p>
        </w:tc>
      </w:tr>
      <w:tr w14:paraId="5B4298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1D5267A9">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资源开发效率要求</w:t>
            </w:r>
          </w:p>
        </w:tc>
        <w:tc>
          <w:tcPr>
            <w:tcW w:w="3673" w:type="dxa"/>
            <w:tcBorders>
              <w:tl2br w:val="nil"/>
              <w:tr2bl w:val="nil"/>
            </w:tcBorders>
            <w:noWrap w:val="0"/>
            <w:vAlign w:val="center"/>
          </w:tcPr>
          <w:p w14:paraId="2DE62D5B">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lang w:val="en-US" w:eastAsia="zh-CN"/>
              </w:rPr>
              <w:t>建议实施清洁生产、中水回用、循环利用。提高化肥、农药、除草剂及农业生产废弃物、畜禽粪便等资源综合利用水平。</w:t>
            </w:r>
          </w:p>
        </w:tc>
        <w:tc>
          <w:tcPr>
            <w:tcW w:w="3244" w:type="dxa"/>
            <w:vMerge w:val="continue"/>
            <w:tcBorders>
              <w:tl2br w:val="nil"/>
              <w:tr2bl w:val="nil"/>
            </w:tcBorders>
            <w:noWrap w:val="0"/>
            <w:vAlign w:val="center"/>
          </w:tcPr>
          <w:p w14:paraId="68AECC1D">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p>
        </w:tc>
      </w:tr>
      <w:tr w14:paraId="3BCB95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72" w:type="dxa"/>
            <w:gridSpan w:val="3"/>
            <w:tcBorders>
              <w:tl2br w:val="nil"/>
              <w:tr2bl w:val="nil"/>
            </w:tcBorders>
            <w:noWrap w:val="0"/>
            <w:vAlign w:val="center"/>
          </w:tcPr>
          <w:p w14:paraId="084B7969">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土壤环境</w:t>
            </w:r>
          </w:p>
        </w:tc>
      </w:tr>
      <w:tr w14:paraId="421BB4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028ED299">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管控单元类别</w:t>
            </w:r>
          </w:p>
        </w:tc>
        <w:tc>
          <w:tcPr>
            <w:tcW w:w="6917" w:type="dxa"/>
            <w:gridSpan w:val="2"/>
            <w:tcBorders>
              <w:tl2br w:val="nil"/>
              <w:tr2bl w:val="nil"/>
            </w:tcBorders>
            <w:noWrap w:val="0"/>
            <w:vAlign w:val="center"/>
          </w:tcPr>
          <w:p w14:paraId="2C7449DB">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土壤环境风险一般管控区</w:t>
            </w:r>
          </w:p>
        </w:tc>
      </w:tr>
      <w:tr w14:paraId="073E27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28" w:type="dxa"/>
            <w:gridSpan w:val="2"/>
            <w:tcBorders>
              <w:tl2br w:val="nil"/>
              <w:tr2bl w:val="nil"/>
            </w:tcBorders>
            <w:noWrap w:val="0"/>
            <w:vAlign w:val="center"/>
          </w:tcPr>
          <w:p w14:paraId="059BD14F">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管控要求</w:t>
            </w:r>
          </w:p>
        </w:tc>
        <w:tc>
          <w:tcPr>
            <w:tcW w:w="3244" w:type="dxa"/>
            <w:tcBorders>
              <w:tl2br w:val="nil"/>
              <w:tr2bl w:val="nil"/>
            </w:tcBorders>
            <w:noWrap w:val="0"/>
            <w:vAlign w:val="center"/>
          </w:tcPr>
          <w:p w14:paraId="5ACBC7CD">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符合性分析</w:t>
            </w:r>
          </w:p>
        </w:tc>
      </w:tr>
      <w:tr w14:paraId="1DE499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49084B17">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空间布局约束</w:t>
            </w:r>
          </w:p>
        </w:tc>
        <w:tc>
          <w:tcPr>
            <w:tcW w:w="3673" w:type="dxa"/>
            <w:tcBorders>
              <w:tl2br w:val="nil"/>
              <w:tr2bl w:val="nil"/>
            </w:tcBorders>
            <w:noWrap w:val="0"/>
            <w:vAlign w:val="center"/>
          </w:tcPr>
          <w:p w14:paraId="0FA7F510">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color w:val="FF0000"/>
                <w:sz w:val="21"/>
                <w:szCs w:val="21"/>
                <w:highlight w:val="none"/>
              </w:rPr>
              <w:t>1.严格建设项目环境准入。在规划和建设项目环评中，强化土壤环境调查，增加对土壤环境影响评价内容，明确防范土壤污染具体措施，纳入环保“三同时”管理。2.加强未利用地环境管理。未利用地的开发应符合土地整治规划，经科学论证与评估，依法批准后方可进行。拟开发为农用地的，有关县（市、区）政府要组织开展土壤环境质量状况评估，达不到相关标准的，不得种植食用农产品和饲草。拟开发为建设用地的未利用地，符合土壤环境质量要求的地块，方可进入用地程序。3.结合区域功能定位和土壤污染防治需要，科学布局城乡生活垃圾处理、危险废物处置、废旧资源再生利用等设施和场所，合理确定畜禽养殖布局和规模。</w:t>
            </w:r>
          </w:p>
        </w:tc>
        <w:tc>
          <w:tcPr>
            <w:tcW w:w="3244" w:type="dxa"/>
            <w:vMerge w:val="restart"/>
            <w:tcBorders>
              <w:tl2br w:val="nil"/>
              <w:tr2bl w:val="nil"/>
            </w:tcBorders>
            <w:noWrap w:val="0"/>
            <w:vAlign w:val="center"/>
          </w:tcPr>
          <w:p w14:paraId="0E7C7592">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lang w:eastAsia="zh-CN"/>
              </w:rPr>
              <w:t>本项目</w:t>
            </w:r>
            <w:r>
              <w:rPr>
                <w:rFonts w:hint="default" w:ascii="Times New Roman" w:hAnsi="Times New Roman" w:cs="Times New Roman"/>
                <w:color w:val="FF0000"/>
                <w:sz w:val="21"/>
                <w:szCs w:val="21"/>
                <w:highlight w:val="none"/>
                <w:lang w:val="en-US" w:eastAsia="zh-CN"/>
              </w:rPr>
              <w:t>使用</w:t>
            </w:r>
            <w:r>
              <w:rPr>
                <w:rFonts w:hint="default" w:ascii="Times New Roman" w:hAnsi="Times New Roman" w:cs="Times New Roman"/>
                <w:color w:val="FF0000"/>
                <w:sz w:val="21"/>
                <w:szCs w:val="21"/>
                <w:highlight w:val="none"/>
                <w:lang w:eastAsia="zh-CN"/>
              </w:rPr>
              <w:t>现有厂房</w:t>
            </w:r>
            <w:r>
              <w:rPr>
                <w:rFonts w:hint="default" w:ascii="Times New Roman" w:hAnsi="Times New Roman" w:cs="Times New Roman"/>
                <w:color w:val="FF0000"/>
                <w:sz w:val="21"/>
                <w:szCs w:val="21"/>
                <w:highlight w:val="none"/>
                <w:lang w:val="en-US" w:eastAsia="zh-CN"/>
              </w:rPr>
              <w:t>改建</w:t>
            </w:r>
            <w:r>
              <w:rPr>
                <w:rFonts w:hint="default" w:ascii="Times New Roman" w:hAnsi="Times New Roman" w:cs="Times New Roman"/>
                <w:color w:val="FF0000"/>
                <w:sz w:val="21"/>
                <w:szCs w:val="21"/>
                <w:highlight w:val="none"/>
                <w:lang w:eastAsia="zh-CN"/>
              </w:rPr>
              <w:t>，</w:t>
            </w:r>
            <w:r>
              <w:rPr>
                <w:rFonts w:hint="default" w:ascii="Times New Roman" w:hAnsi="Times New Roman" w:cs="Times New Roman"/>
                <w:color w:val="FF0000"/>
                <w:sz w:val="21"/>
                <w:szCs w:val="21"/>
                <w:highlight w:val="none"/>
              </w:rPr>
              <w:t>项目产生的固体废物进行合理处置，处置率100%。在对厂区地面要求进行防渗硬化后，可以有效防止各类废水下渗对土壤环境造成污染。</w:t>
            </w:r>
          </w:p>
        </w:tc>
      </w:tr>
      <w:tr w14:paraId="0D3D6F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2EC6B559">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环境风险防控</w:t>
            </w:r>
          </w:p>
        </w:tc>
        <w:tc>
          <w:tcPr>
            <w:tcW w:w="3673" w:type="dxa"/>
            <w:tcBorders>
              <w:tl2br w:val="nil"/>
              <w:tr2bl w:val="nil"/>
            </w:tcBorders>
            <w:noWrap w:val="0"/>
            <w:vAlign w:val="center"/>
          </w:tcPr>
          <w:p w14:paraId="6112BA9A">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color w:val="FF0000"/>
                <w:sz w:val="21"/>
                <w:szCs w:val="21"/>
                <w:highlight w:val="none"/>
              </w:rPr>
              <w:t>1.各类涉及土地利用的规划和可能造成土壤污染的建设项目，应当依法进行环评。环评文件应当包括对土壤可能造成的不良影响及应当采取的相应预防措施等内容。2.生产、使用、贮存、运输、回收、处置、排放有毒有害物质的单位和个人，应当采取有效措施，防止有毒有害物质渗漏、流失、扬散，避免土壤受到污染。3.开展建设用地调查评估。对已搬迁、关闭企业原址场地土壤污染状况进行排查，建立已搬迁、关闭企业原址场地的潜在污染地块清单，并及时更新。4.健全垃圾处理处置体系。</w:t>
            </w:r>
          </w:p>
        </w:tc>
        <w:tc>
          <w:tcPr>
            <w:tcW w:w="3244" w:type="dxa"/>
            <w:vMerge w:val="continue"/>
            <w:tcBorders>
              <w:tl2br w:val="nil"/>
              <w:tr2bl w:val="nil"/>
            </w:tcBorders>
            <w:noWrap w:val="0"/>
            <w:vAlign w:val="center"/>
          </w:tcPr>
          <w:p w14:paraId="4CEDA7D9">
            <w:pPr>
              <w:keepNext w:val="0"/>
              <w:keepLines w:val="0"/>
              <w:suppressLineNumbers w:val="0"/>
              <w:adjustRightInd w:val="0"/>
              <w:spacing w:before="0" w:beforeAutospacing="0" w:after="0" w:afterAutospacing="0"/>
              <w:ind w:left="0" w:right="0"/>
              <w:jc w:val="left"/>
              <w:textAlignment w:val="baseline"/>
              <w:rPr>
                <w:rFonts w:hint="default" w:ascii="Times New Roman" w:hAnsi="Times New Roman" w:cs="Times New Roman"/>
                <w:color w:val="FF0000"/>
                <w:sz w:val="21"/>
                <w:szCs w:val="21"/>
                <w:highlight w:val="none"/>
              </w:rPr>
            </w:pPr>
          </w:p>
        </w:tc>
      </w:tr>
      <w:tr w14:paraId="11FCCA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72" w:type="dxa"/>
            <w:gridSpan w:val="3"/>
            <w:tcBorders>
              <w:tl2br w:val="nil"/>
              <w:tr2bl w:val="nil"/>
            </w:tcBorders>
            <w:noWrap w:val="0"/>
            <w:vAlign w:val="center"/>
          </w:tcPr>
          <w:p w14:paraId="1D981C6A">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三、资源利用上线</w:t>
            </w:r>
          </w:p>
        </w:tc>
      </w:tr>
      <w:tr w14:paraId="1AF8DC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72" w:type="dxa"/>
            <w:gridSpan w:val="3"/>
            <w:tcBorders>
              <w:tl2br w:val="nil"/>
              <w:tr2bl w:val="nil"/>
            </w:tcBorders>
            <w:noWrap w:val="0"/>
            <w:vAlign w:val="center"/>
          </w:tcPr>
          <w:p w14:paraId="685BA09B">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lang w:eastAsia="zh-CN"/>
              </w:rPr>
              <w:t>自然资源一般管控</w:t>
            </w:r>
            <w:r>
              <w:rPr>
                <w:rFonts w:hint="default" w:ascii="Times New Roman" w:hAnsi="Times New Roman" w:cs="Times New Roman"/>
                <w:b/>
                <w:bCs/>
                <w:color w:val="FF0000"/>
                <w:sz w:val="21"/>
                <w:szCs w:val="21"/>
                <w:highlight w:val="none"/>
              </w:rPr>
              <w:t>区</w:t>
            </w:r>
          </w:p>
        </w:tc>
      </w:tr>
      <w:tr w14:paraId="1C3A43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19074DA6">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管控要求</w:t>
            </w:r>
          </w:p>
        </w:tc>
        <w:tc>
          <w:tcPr>
            <w:tcW w:w="6917" w:type="dxa"/>
            <w:gridSpan w:val="2"/>
            <w:tcBorders>
              <w:tl2br w:val="nil"/>
              <w:tr2bl w:val="nil"/>
            </w:tcBorders>
            <w:noWrap w:val="0"/>
            <w:vAlign w:val="center"/>
          </w:tcPr>
          <w:p w14:paraId="4B532A13">
            <w:pPr>
              <w:keepNext w:val="0"/>
              <w:keepLines w:val="0"/>
              <w:numPr>
                <w:ilvl w:val="0"/>
                <w:numId w:val="0"/>
              </w:numPr>
              <w:suppressLineNumbers w:val="0"/>
              <w:adjustRightInd w:val="0"/>
              <w:spacing w:before="0" w:beforeAutospacing="0" w:after="0" w:afterAutospacing="0"/>
              <w:ind w:right="0" w:rightChars="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lang w:val="en-US" w:eastAsia="zh-CN"/>
              </w:rPr>
              <w:t>1.</w:t>
            </w:r>
            <w:r>
              <w:rPr>
                <w:rFonts w:hint="default" w:ascii="Times New Roman" w:hAnsi="Times New Roman" w:cs="Times New Roman"/>
                <w:color w:val="FF0000"/>
                <w:sz w:val="21"/>
                <w:szCs w:val="21"/>
                <w:highlight w:val="none"/>
              </w:rPr>
              <w:t>水资源</w:t>
            </w:r>
            <w:r>
              <w:rPr>
                <w:rFonts w:hint="default" w:ascii="Times New Roman" w:hAnsi="Times New Roman" w:cs="Times New Roman"/>
                <w:color w:val="FF0000"/>
                <w:sz w:val="21"/>
                <w:szCs w:val="21"/>
                <w:highlight w:val="none"/>
                <w:lang w:eastAsia="zh-CN"/>
              </w:rPr>
              <w:t>：</w:t>
            </w:r>
            <w:r>
              <w:rPr>
                <w:rFonts w:hint="default" w:ascii="Times New Roman" w:hAnsi="Times New Roman" w:cs="Times New Roman"/>
                <w:color w:val="FF0000"/>
                <w:sz w:val="21"/>
                <w:szCs w:val="21"/>
                <w:highlight w:val="none"/>
              </w:rPr>
              <w:t>全市2025年用水总量不得超过23.25亿立方米，2030年用水总量控制指标不高于省政府确定的指标。2.土地资源</w:t>
            </w:r>
            <w:r>
              <w:rPr>
                <w:rFonts w:hint="default" w:ascii="Times New Roman" w:hAnsi="Times New Roman" w:cs="Times New Roman"/>
                <w:color w:val="FF0000"/>
                <w:sz w:val="21"/>
                <w:szCs w:val="21"/>
                <w:highlight w:val="none"/>
                <w:lang w:eastAsia="zh-CN"/>
              </w:rPr>
              <w:t>：</w:t>
            </w:r>
            <w:r>
              <w:rPr>
                <w:rFonts w:hint="default" w:ascii="Times New Roman" w:hAnsi="Times New Roman" w:cs="Times New Roman"/>
                <w:color w:val="FF0000"/>
                <w:sz w:val="21"/>
                <w:szCs w:val="21"/>
                <w:highlight w:val="none"/>
              </w:rPr>
              <w:t>全市2025年及2035年，耕地资源保护下线不低于省政府确定的指标3.能源</w:t>
            </w:r>
            <w:r>
              <w:rPr>
                <w:rFonts w:hint="default" w:ascii="Times New Roman" w:hAnsi="Times New Roman" w:cs="Times New Roman"/>
                <w:color w:val="FF0000"/>
                <w:sz w:val="21"/>
                <w:szCs w:val="21"/>
                <w:highlight w:val="none"/>
                <w:lang w:eastAsia="zh-CN"/>
              </w:rPr>
              <w:t>：</w:t>
            </w:r>
            <w:r>
              <w:rPr>
                <w:rFonts w:hint="default" w:ascii="Times New Roman" w:hAnsi="Times New Roman" w:cs="Times New Roman"/>
                <w:color w:val="FF0000"/>
                <w:sz w:val="21"/>
                <w:szCs w:val="21"/>
                <w:highlight w:val="none"/>
              </w:rPr>
              <w:t>2025年和2035年，全市煤炭消费上线不高于省政府确定的指标。</w:t>
            </w:r>
          </w:p>
        </w:tc>
      </w:tr>
      <w:tr w14:paraId="4EDBE1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3B55C791">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项目符合性分析</w:t>
            </w:r>
          </w:p>
        </w:tc>
        <w:tc>
          <w:tcPr>
            <w:tcW w:w="6917" w:type="dxa"/>
            <w:gridSpan w:val="2"/>
            <w:tcBorders>
              <w:tl2br w:val="nil"/>
              <w:tr2bl w:val="nil"/>
            </w:tcBorders>
            <w:noWrap w:val="0"/>
            <w:vAlign w:val="center"/>
          </w:tcPr>
          <w:p w14:paraId="0886BEAE">
            <w:pPr>
              <w:keepNext w:val="0"/>
              <w:keepLines w:val="0"/>
              <w:suppressLineNumbers w:val="0"/>
              <w:adjustRightInd w:val="0"/>
              <w:spacing w:before="0" w:beforeAutospacing="0" w:after="0" w:afterAutospacing="0"/>
              <w:ind w:left="0" w:right="0"/>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color w:val="FF0000"/>
                <w:sz w:val="21"/>
                <w:szCs w:val="21"/>
                <w:highlight w:val="none"/>
              </w:rPr>
              <w:t>项目使用的能源为水、电，使用量较小，不会突破资源能源消耗上线，因此不会突破能源消耗上线。</w:t>
            </w:r>
          </w:p>
        </w:tc>
      </w:tr>
      <w:tr w14:paraId="402E5B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72" w:type="dxa"/>
            <w:gridSpan w:val="3"/>
            <w:tcBorders>
              <w:tl2br w:val="nil"/>
              <w:tr2bl w:val="nil"/>
            </w:tcBorders>
            <w:noWrap w:val="0"/>
            <w:vAlign w:val="center"/>
          </w:tcPr>
          <w:p w14:paraId="02B60824">
            <w:pPr>
              <w:keepNext w:val="0"/>
              <w:keepLines w:val="0"/>
              <w:suppressLineNumbers w:val="0"/>
              <w:adjustRightInd w:val="0"/>
              <w:spacing w:before="0" w:beforeAutospacing="0" w:after="0" w:afterAutospacing="0"/>
              <w:ind w:left="0" w:right="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cs="Times New Roman"/>
                <w:b/>
                <w:bCs/>
                <w:color w:val="FF0000"/>
                <w:sz w:val="21"/>
                <w:szCs w:val="21"/>
                <w:highlight w:val="none"/>
              </w:rPr>
              <w:t>四、环境准入清单</w:t>
            </w:r>
          </w:p>
        </w:tc>
      </w:tr>
      <w:tr w14:paraId="2E210D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05D665DB">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环境管控单元名称</w:t>
            </w:r>
          </w:p>
        </w:tc>
        <w:tc>
          <w:tcPr>
            <w:tcW w:w="6917" w:type="dxa"/>
            <w:gridSpan w:val="2"/>
            <w:tcBorders>
              <w:tl2br w:val="nil"/>
              <w:tr2bl w:val="nil"/>
            </w:tcBorders>
            <w:noWrap w:val="0"/>
            <w:vAlign w:val="center"/>
          </w:tcPr>
          <w:p w14:paraId="5FAABFA2">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集贤县城镇空间</w:t>
            </w:r>
          </w:p>
        </w:tc>
      </w:tr>
      <w:tr w14:paraId="101354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3347AA19">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环境管控单元编码</w:t>
            </w:r>
          </w:p>
        </w:tc>
        <w:tc>
          <w:tcPr>
            <w:tcW w:w="6917" w:type="dxa"/>
            <w:gridSpan w:val="2"/>
            <w:tcBorders>
              <w:tl2br w:val="nil"/>
              <w:tr2bl w:val="nil"/>
            </w:tcBorders>
            <w:noWrap w:val="0"/>
            <w:vAlign w:val="center"/>
          </w:tcPr>
          <w:p w14:paraId="798569F2">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cs="Times New Roman"/>
                <w:color w:val="FF0000"/>
                <w:sz w:val="21"/>
                <w:szCs w:val="21"/>
                <w:highlight w:val="none"/>
              </w:rPr>
              <w:t>ZH230</w:t>
            </w:r>
            <w:r>
              <w:rPr>
                <w:rFonts w:hint="default" w:ascii="Times New Roman" w:hAnsi="Times New Roman" w:cs="Times New Roman"/>
                <w:color w:val="FF0000"/>
                <w:sz w:val="21"/>
                <w:szCs w:val="21"/>
                <w:highlight w:val="none"/>
                <w:lang w:val="en-US" w:eastAsia="zh-CN"/>
              </w:rPr>
              <w:t>52120002</w:t>
            </w:r>
          </w:p>
        </w:tc>
      </w:tr>
      <w:tr w14:paraId="099900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335799B5">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管控单元类别</w:t>
            </w:r>
          </w:p>
        </w:tc>
        <w:tc>
          <w:tcPr>
            <w:tcW w:w="6917" w:type="dxa"/>
            <w:gridSpan w:val="2"/>
            <w:tcBorders>
              <w:tl2br w:val="nil"/>
              <w:tr2bl w:val="nil"/>
            </w:tcBorders>
            <w:noWrap w:val="0"/>
            <w:vAlign w:val="center"/>
          </w:tcPr>
          <w:p w14:paraId="5B626350">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重点</w:t>
            </w:r>
            <w:r>
              <w:rPr>
                <w:rFonts w:hint="default" w:ascii="Times New Roman" w:hAnsi="Times New Roman" w:eastAsia="宋体" w:cs="Times New Roman"/>
                <w:color w:val="FF0000"/>
                <w:sz w:val="21"/>
                <w:szCs w:val="21"/>
                <w:highlight w:val="none"/>
              </w:rPr>
              <w:t>管控单元</w:t>
            </w:r>
          </w:p>
        </w:tc>
      </w:tr>
      <w:tr w14:paraId="2412F0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28" w:type="dxa"/>
            <w:gridSpan w:val="2"/>
            <w:tcBorders>
              <w:tl2br w:val="nil"/>
              <w:tr2bl w:val="nil"/>
            </w:tcBorders>
            <w:noWrap w:val="0"/>
            <w:vAlign w:val="center"/>
          </w:tcPr>
          <w:p w14:paraId="6A5C3141">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cs="Times New Roman"/>
                <w:b/>
                <w:bCs/>
                <w:color w:val="FF0000"/>
                <w:sz w:val="21"/>
                <w:szCs w:val="21"/>
                <w:highlight w:val="none"/>
              </w:rPr>
              <w:t>管控要求</w:t>
            </w:r>
          </w:p>
        </w:tc>
        <w:tc>
          <w:tcPr>
            <w:tcW w:w="3244" w:type="dxa"/>
            <w:tcBorders>
              <w:tl2br w:val="nil"/>
              <w:tr2bl w:val="nil"/>
            </w:tcBorders>
            <w:noWrap w:val="0"/>
            <w:vAlign w:val="center"/>
          </w:tcPr>
          <w:p w14:paraId="54CCC52E">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cs="Times New Roman"/>
                <w:b/>
                <w:bCs/>
                <w:color w:val="FF0000"/>
                <w:sz w:val="21"/>
                <w:szCs w:val="21"/>
                <w:highlight w:val="none"/>
              </w:rPr>
              <w:t>符合性分析</w:t>
            </w:r>
          </w:p>
        </w:tc>
      </w:tr>
      <w:tr w14:paraId="646CFC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92" w:hRule="atLeast"/>
          <w:jc w:val="center"/>
        </w:trPr>
        <w:tc>
          <w:tcPr>
            <w:tcW w:w="1355" w:type="dxa"/>
            <w:tcBorders>
              <w:tl2br w:val="nil"/>
              <w:tr2bl w:val="nil"/>
            </w:tcBorders>
            <w:noWrap w:val="0"/>
            <w:vAlign w:val="center"/>
          </w:tcPr>
          <w:p w14:paraId="0B087255">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空间布局约束</w:t>
            </w:r>
          </w:p>
        </w:tc>
        <w:tc>
          <w:tcPr>
            <w:tcW w:w="3673" w:type="dxa"/>
            <w:tcBorders>
              <w:tl2br w:val="nil"/>
              <w:tr2bl w:val="nil"/>
            </w:tcBorders>
            <w:noWrap w:val="0"/>
            <w:vAlign w:val="center"/>
          </w:tcPr>
          <w:p w14:paraId="7E32D823">
            <w:pPr>
              <w:keepNext w:val="0"/>
              <w:keepLines w:val="0"/>
              <w:widowControl/>
              <w:suppressLineNumbers w:val="0"/>
              <w:jc w:val="left"/>
              <w:rPr>
                <w:rFonts w:hint="default" w:ascii="Times New Roman" w:hAnsi="Times New Roman" w:eastAsia="宋体" w:cs="Times New Roman"/>
                <w:color w:val="FF0000"/>
                <w:sz w:val="21"/>
                <w:szCs w:val="21"/>
                <w:highlight w:val="none"/>
                <w:lang w:val="en-US"/>
              </w:rPr>
            </w:pPr>
            <w:r>
              <w:rPr>
                <w:rFonts w:hint="default" w:ascii="Times New Roman" w:hAnsi="Times New Roman" w:eastAsia="宋体" w:cs="Times New Roman"/>
                <w:color w:val="FF0000"/>
                <w:sz w:val="21"/>
                <w:szCs w:val="21"/>
                <w:highlight w:val="none"/>
                <w:lang w:val="en-US" w:eastAsia="zh-CN"/>
              </w:rPr>
              <w:t>1、执行“1)严禁在人口密集区新建危险化学品生产项目，城镇人口密集区危险化学品生产企业应搬迁改造。2)禁止在城镇居民区、文化教育科学研究区等人口集中区域建设畜禽养殖场、养殖小区。”2.大气环境布局敏感重点管控区同时执行“1)严控“两高”行业产能。严格执行钢铁、水泥、平板玻璃等行业产能置换实施办法。2)利用水泥窑协同处置城市生活垃圾、危险废弃物、电石渣等固废伴生水泥项目，必须依托现有新型干法水泥熟料生产线进行不扩产能改造。</w:t>
            </w:r>
          </w:p>
        </w:tc>
        <w:tc>
          <w:tcPr>
            <w:tcW w:w="3244" w:type="dxa"/>
            <w:tcBorders>
              <w:tl2br w:val="nil"/>
              <w:tr2bl w:val="nil"/>
            </w:tcBorders>
            <w:noWrap w:val="0"/>
            <w:vAlign w:val="center"/>
          </w:tcPr>
          <w:p w14:paraId="3225B251">
            <w:pPr>
              <w:keepNext w:val="0"/>
              <w:keepLines w:val="0"/>
              <w:widowControl/>
              <w:suppressLineNumbers w:val="0"/>
              <w:tabs>
                <w:tab w:val="left" w:pos="265"/>
              </w:tabs>
              <w:spacing w:before="0" w:beforeAutospacing="0" w:after="0" w:afterAutospacing="0"/>
              <w:ind w:left="0" w:leftChars="0" w:right="0" w:rightChars="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本项目为</w:t>
            </w:r>
            <w:r>
              <w:rPr>
                <w:rFonts w:hint="default" w:ascii="Times New Roman" w:hAnsi="Times New Roman" w:cs="Times New Roman"/>
                <w:color w:val="FF0000"/>
                <w:sz w:val="21"/>
                <w:szCs w:val="21"/>
                <w:highlight w:val="none"/>
              </w:rPr>
              <w:t>畜禽标准化规模养殖技术开发与应用项目</w:t>
            </w:r>
            <w:r>
              <w:rPr>
                <w:rFonts w:hint="default" w:ascii="Times New Roman" w:hAnsi="Times New Roman" w:eastAsia="宋体" w:cs="Times New Roman"/>
                <w:color w:val="FF0000"/>
                <w:sz w:val="21"/>
                <w:szCs w:val="21"/>
                <w:highlight w:val="none"/>
                <w:lang w:eastAsia="zh-CN"/>
              </w:rPr>
              <w:t>，</w:t>
            </w:r>
            <w:r>
              <w:rPr>
                <w:rFonts w:hint="default" w:ascii="Times New Roman" w:hAnsi="Times New Roman" w:eastAsia="宋体" w:cs="Times New Roman"/>
                <w:color w:val="FF0000"/>
                <w:sz w:val="21"/>
                <w:szCs w:val="21"/>
                <w:highlight w:val="none"/>
                <w:lang w:val="en-US" w:eastAsia="zh-CN"/>
              </w:rPr>
              <w:t>位于</w:t>
            </w:r>
            <w:r>
              <w:rPr>
                <w:rFonts w:hint="default" w:ascii="Times New Roman" w:hAnsi="Times New Roman" w:cs="Times New Roman"/>
                <w:color w:val="FF0000"/>
                <w:sz w:val="21"/>
                <w:szCs w:val="21"/>
                <w:highlight w:val="none"/>
                <w:lang w:val="en-US" w:eastAsia="zh-CN"/>
              </w:rPr>
              <w:t>黑龙江省双鸭山市集贤县集贤镇，不属于城镇居民区、文化教育科学研究区等人口集中区域。</w:t>
            </w:r>
            <w:r>
              <w:rPr>
                <w:rFonts w:hint="default" w:ascii="Times New Roman" w:hAnsi="Times New Roman" w:eastAsia="宋体" w:cs="Times New Roman"/>
                <w:color w:val="FF0000"/>
                <w:sz w:val="21"/>
                <w:szCs w:val="21"/>
                <w:highlight w:val="none"/>
                <w:lang w:val="en-US" w:eastAsia="zh-CN"/>
              </w:rPr>
              <w:t>不属于“两高行业”，不涉及处置垃圾、危险废弃物等，符合空间布局约束要求。</w:t>
            </w:r>
          </w:p>
        </w:tc>
      </w:tr>
      <w:tr w14:paraId="41C7A3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6E30F527">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污染物排放管控</w:t>
            </w:r>
          </w:p>
        </w:tc>
        <w:tc>
          <w:tcPr>
            <w:tcW w:w="3673" w:type="dxa"/>
            <w:tcBorders>
              <w:tl2br w:val="nil"/>
              <w:tr2bl w:val="nil"/>
            </w:tcBorders>
            <w:noWrap w:val="0"/>
            <w:vAlign w:val="center"/>
          </w:tcPr>
          <w:p w14:paraId="17E4EF67">
            <w:pPr>
              <w:keepNext w:val="0"/>
              <w:keepLines w:val="0"/>
              <w:widowControl/>
              <w:suppressLineNumbers w:val="0"/>
              <w:jc w:val="both"/>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执行“加快 65t /h以上燃煤锅炉(含电力)超低排放改造。”2.大气环境布局敏感重点管控区同时执行“1)对以煤、石焦油、渣油、重油等为燃料的锅炉和工业炉窑，加快使用清洁低碳能源以及工厂余热、电力热力等进行替代。2)到2025年，在用65蒸吨/小时以上的燃煤锅炉(含电力)实现超低排放，钢铁企业基本实现超低排放。”(含电力)实现超低排放，钢铁企业基本实现超低排放。”</w:t>
            </w:r>
          </w:p>
        </w:tc>
        <w:tc>
          <w:tcPr>
            <w:tcW w:w="3244" w:type="dxa"/>
            <w:tcBorders>
              <w:tl2br w:val="nil"/>
              <w:tr2bl w:val="nil"/>
            </w:tcBorders>
            <w:noWrap w:val="0"/>
            <w:vAlign w:val="center"/>
          </w:tcPr>
          <w:p w14:paraId="2AE9EE26">
            <w:pPr>
              <w:keepNext w:val="0"/>
              <w:keepLines w:val="0"/>
              <w:widowControl/>
              <w:suppressLineNumbers w:val="0"/>
              <w:tabs>
                <w:tab w:val="left" w:pos="265"/>
              </w:tabs>
              <w:spacing w:before="0" w:beforeAutospacing="0" w:after="0" w:afterAutospacing="0"/>
              <w:ind w:left="0" w:leftChars="0" w:right="0" w:rightChars="0"/>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本项目为</w:t>
            </w:r>
            <w:r>
              <w:rPr>
                <w:rFonts w:hint="default" w:ascii="Times New Roman" w:hAnsi="Times New Roman" w:cs="Times New Roman"/>
                <w:color w:val="FF0000"/>
                <w:sz w:val="21"/>
                <w:szCs w:val="21"/>
                <w:highlight w:val="none"/>
              </w:rPr>
              <w:t>畜禽标准化规模养殖技术开发与应用项目</w:t>
            </w:r>
            <w:r>
              <w:rPr>
                <w:rFonts w:hint="default" w:ascii="Times New Roman" w:hAnsi="Times New Roman" w:eastAsia="宋体" w:cs="Times New Roman"/>
                <w:color w:val="FF0000"/>
                <w:sz w:val="21"/>
                <w:szCs w:val="21"/>
                <w:highlight w:val="none"/>
                <w:lang w:val="en-US" w:eastAsia="zh-CN"/>
              </w:rPr>
              <w:t>，养殖过程中不使用锅炉，符合污染物排放管控要求。</w:t>
            </w:r>
          </w:p>
        </w:tc>
      </w:tr>
      <w:tr w14:paraId="2EDA9D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09D3E9DE">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b/>
                <w:bCs/>
                <w:color w:val="FF0000"/>
                <w:sz w:val="21"/>
                <w:szCs w:val="21"/>
                <w:highlight w:val="none"/>
              </w:rPr>
            </w:pPr>
            <w:r>
              <w:rPr>
                <w:rFonts w:hint="default" w:ascii="Times New Roman" w:hAnsi="Times New Roman" w:cs="Times New Roman"/>
                <w:b/>
                <w:bCs/>
                <w:color w:val="FF0000"/>
                <w:sz w:val="21"/>
                <w:szCs w:val="21"/>
                <w:highlight w:val="none"/>
              </w:rPr>
              <w:t>环境风险防控</w:t>
            </w:r>
          </w:p>
        </w:tc>
        <w:tc>
          <w:tcPr>
            <w:tcW w:w="3673" w:type="dxa"/>
            <w:tcBorders>
              <w:tl2br w:val="nil"/>
              <w:tr2bl w:val="nil"/>
            </w:tcBorders>
            <w:noWrap w:val="0"/>
            <w:vAlign w:val="center"/>
          </w:tcPr>
          <w:p w14:paraId="0EC135C5">
            <w:pPr>
              <w:keepNext w:val="0"/>
              <w:keepLines w:val="0"/>
              <w:widowControl/>
              <w:suppressLineNumbers w:val="0"/>
              <w:jc w:val="both"/>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执行“化工园区与城市建成区、人员密集场所、重要设施、敏感目标等应当保持规定的安全距离，相对封闭，不应保留常住居民，非关联企业和产业要逐步搬迁或退出，妥善防范化解“邻避”问题。严禁在松花江干流及一级支流沿岸1公里范围内布局化工园区。”2.大气环境布局敏感重点管控区同时执行“禁止在居民区、学校、医疗和养老机构等周边新建有色金属冶炼、焦化等行业企业。</w:t>
            </w:r>
          </w:p>
        </w:tc>
        <w:tc>
          <w:tcPr>
            <w:tcW w:w="3244" w:type="dxa"/>
            <w:tcBorders>
              <w:tl2br w:val="nil"/>
              <w:tr2bl w:val="nil"/>
            </w:tcBorders>
            <w:noWrap w:val="0"/>
            <w:vAlign w:val="center"/>
          </w:tcPr>
          <w:p w14:paraId="6371B1DC">
            <w:pPr>
              <w:keepNext w:val="0"/>
              <w:keepLines w:val="0"/>
              <w:widowControl/>
              <w:suppressLineNumbers w:val="0"/>
              <w:tabs>
                <w:tab w:val="left" w:pos="265"/>
              </w:tabs>
              <w:spacing w:before="0" w:beforeAutospacing="0" w:after="0" w:afterAutospacing="0"/>
              <w:ind w:left="0" w:leftChars="0" w:right="0" w:rightChars="0"/>
              <w:jc w:val="center"/>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val="en-US" w:eastAsia="zh-CN"/>
              </w:rPr>
              <w:t>本项目为</w:t>
            </w:r>
            <w:r>
              <w:rPr>
                <w:rFonts w:hint="default" w:ascii="Times New Roman" w:hAnsi="Times New Roman" w:cs="Times New Roman"/>
                <w:color w:val="FF0000"/>
                <w:sz w:val="21"/>
                <w:szCs w:val="21"/>
                <w:highlight w:val="none"/>
              </w:rPr>
              <w:t>畜禽标准化规模养殖技术开发与应用项目</w:t>
            </w:r>
            <w:r>
              <w:rPr>
                <w:rFonts w:hint="default" w:ascii="Times New Roman" w:hAnsi="Times New Roman" w:eastAsia="宋体" w:cs="Times New Roman"/>
                <w:color w:val="FF0000"/>
                <w:sz w:val="21"/>
                <w:szCs w:val="21"/>
                <w:highlight w:val="none"/>
                <w:lang w:val="en-US" w:eastAsia="zh-CN"/>
              </w:rPr>
              <w:t>，位于</w:t>
            </w:r>
            <w:r>
              <w:rPr>
                <w:rFonts w:hint="default" w:ascii="Times New Roman" w:hAnsi="Times New Roman" w:cs="Times New Roman"/>
                <w:color w:val="FF0000"/>
                <w:sz w:val="21"/>
                <w:szCs w:val="21"/>
                <w:highlight w:val="none"/>
                <w:lang w:val="en-US" w:eastAsia="zh-CN"/>
              </w:rPr>
              <w:t>黑龙江省双鸭山市集贤县集贤镇，不在化工园园区与城市建成区，不在居民区、学校、医疗和养老机构周边。</w:t>
            </w:r>
          </w:p>
        </w:tc>
      </w:tr>
      <w:tr w14:paraId="5A1AED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55" w:type="dxa"/>
            <w:tcBorders>
              <w:tl2br w:val="nil"/>
              <w:tr2bl w:val="nil"/>
            </w:tcBorders>
            <w:noWrap w:val="0"/>
            <w:vAlign w:val="center"/>
          </w:tcPr>
          <w:p w14:paraId="759C5CE4">
            <w:pPr>
              <w:keepNext w:val="0"/>
              <w:keepLines w:val="0"/>
              <w:suppressLineNumbers w:val="0"/>
              <w:adjustRightInd w:val="0"/>
              <w:spacing w:before="0" w:beforeAutospacing="0" w:after="0" w:afterAutospacing="0"/>
              <w:ind w:left="0" w:leftChars="0" w:right="0" w:rightChars="0"/>
              <w:jc w:val="center"/>
              <w:textAlignment w:val="baseline"/>
              <w:rPr>
                <w:rFonts w:hint="default" w:ascii="Times New Roman" w:hAnsi="Times New Roman" w:cs="Times New Roman"/>
                <w:color w:val="FF0000"/>
                <w:sz w:val="21"/>
                <w:szCs w:val="21"/>
                <w:highlight w:val="none"/>
              </w:rPr>
            </w:pPr>
            <w:r>
              <w:rPr>
                <w:rFonts w:hint="default" w:ascii="Times New Roman" w:hAnsi="Times New Roman" w:eastAsia="宋体" w:cs="Times New Roman"/>
                <w:b/>
                <w:bCs/>
                <w:color w:val="FF0000"/>
                <w:sz w:val="21"/>
                <w:szCs w:val="21"/>
                <w:highlight w:val="none"/>
              </w:rPr>
              <w:t>资源开发效率要求</w:t>
            </w:r>
          </w:p>
        </w:tc>
        <w:tc>
          <w:tcPr>
            <w:tcW w:w="3673" w:type="dxa"/>
            <w:tcBorders>
              <w:tl2br w:val="nil"/>
              <w:tr2bl w:val="nil"/>
            </w:tcBorders>
            <w:noWrap w:val="0"/>
            <w:vAlign w:val="center"/>
          </w:tcPr>
          <w:p w14:paraId="26AF1DEC">
            <w:pPr>
              <w:keepNext w:val="0"/>
              <w:keepLines w:val="0"/>
              <w:widowControl/>
              <w:suppressLineNumbers w:val="0"/>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执行“1)推进污水再生利用设施建设。2)公共建筑必须采用节水器具，限期淘汰公共建筑中不符合节水标准的水嘴、便器水箱等生活用水器具。”</w:t>
            </w:r>
          </w:p>
        </w:tc>
        <w:tc>
          <w:tcPr>
            <w:tcW w:w="3244" w:type="dxa"/>
            <w:tcBorders>
              <w:tl2br w:val="nil"/>
              <w:tr2bl w:val="nil"/>
            </w:tcBorders>
            <w:noWrap w:val="0"/>
            <w:vAlign w:val="center"/>
          </w:tcPr>
          <w:p w14:paraId="74DDA7AE">
            <w:pPr>
              <w:keepNext w:val="0"/>
              <w:keepLines w:val="0"/>
              <w:widowControl/>
              <w:suppressLineNumbers w:val="0"/>
              <w:tabs>
                <w:tab w:val="left" w:pos="265"/>
              </w:tabs>
              <w:spacing w:before="0" w:beforeAutospacing="0" w:after="0" w:afterAutospacing="0"/>
              <w:ind w:left="0" w:leftChars="0" w:right="0" w:rightChars="0"/>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本项目生产废水不外排，生活污水定期清掏。</w:t>
            </w:r>
          </w:p>
        </w:tc>
      </w:tr>
    </w:tbl>
    <w:p w14:paraId="32B8A3D3">
      <w:pPr>
        <w:keepNext w:val="0"/>
        <w:keepLines w:val="0"/>
        <w:pageBreakBefore w:val="0"/>
        <w:widowControl/>
        <w:kinsoku/>
        <w:wordWrap w:val="0"/>
        <w:overflowPunct/>
        <w:topLinePunct/>
        <w:autoSpaceDE/>
        <w:autoSpaceDN/>
        <w:bidi w:val="0"/>
        <w:adjustRightInd w:val="0"/>
        <w:snapToGrid w:val="0"/>
        <w:spacing w:before="113" w:line="365" w:lineRule="auto"/>
        <w:ind w:left="130" w:right="108" w:firstLine="482"/>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0"/>
          <w:sz w:val="24"/>
          <w:szCs w:val="24"/>
          <w:highlight w:val="none"/>
        </w:rPr>
        <w:t>本项目选址合理，采取了有效、可行的污染治理措施，各项污染物均可达标排放，</w:t>
      </w:r>
      <w:r>
        <w:rPr>
          <w:rFonts w:hint="default" w:ascii="Times New Roman" w:hAnsi="Times New Roman" w:eastAsia="宋体" w:cs="Times New Roman"/>
          <w:color w:val="auto"/>
          <w:spacing w:val="-3"/>
          <w:sz w:val="24"/>
          <w:szCs w:val="24"/>
          <w:highlight w:val="none"/>
        </w:rPr>
        <w:t>本项目建设对周围环境影响较小，因此本项目符合《黑龙江省人民政府关于实施“三</w:t>
      </w:r>
      <w:r>
        <w:rPr>
          <w:rFonts w:hint="default" w:ascii="Times New Roman" w:hAnsi="Times New Roman" w:eastAsia="宋体" w:cs="Times New Roman"/>
          <w:color w:val="auto"/>
          <w:sz w:val="24"/>
          <w:szCs w:val="24"/>
          <w:highlight w:val="none"/>
        </w:rPr>
        <w:t>线一单”生态环境分区管控的意见》（黑政发〔</w:t>
      </w:r>
      <w:r>
        <w:rPr>
          <w:rFonts w:hint="default" w:ascii="Times New Roman" w:hAnsi="Times New Roman" w:eastAsia="Times New Roman" w:cs="Times New Roman"/>
          <w:color w:val="auto"/>
          <w:sz w:val="24"/>
          <w:szCs w:val="24"/>
          <w:highlight w:val="none"/>
        </w:rPr>
        <w:t>2020</w:t>
      </w: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14</w:t>
      </w:r>
      <w:r>
        <w:rPr>
          <w:rFonts w:hint="default" w:ascii="Times New Roman" w:hAnsi="Times New Roman" w:eastAsia="宋体" w:cs="Times New Roman"/>
          <w:color w:val="auto"/>
          <w:sz w:val="24"/>
          <w:szCs w:val="24"/>
          <w:highlight w:val="none"/>
        </w:rPr>
        <w:t>号）、《双鸭山市人民政</w:t>
      </w:r>
      <w:r>
        <w:rPr>
          <w:rFonts w:hint="default" w:ascii="Times New Roman" w:hAnsi="Times New Roman" w:eastAsia="宋体" w:cs="Times New Roman"/>
          <w:color w:val="auto"/>
          <w:spacing w:val="-8"/>
          <w:sz w:val="24"/>
          <w:szCs w:val="24"/>
          <w:highlight w:val="none"/>
        </w:rPr>
        <w:t>府关于实施“三线一单”生态环境分区管控的意见》（双政规〔</w:t>
      </w:r>
      <w:r>
        <w:rPr>
          <w:rFonts w:hint="default" w:ascii="Times New Roman" w:hAnsi="Times New Roman" w:eastAsia="Times New Roman" w:cs="Times New Roman"/>
          <w:color w:val="auto"/>
          <w:spacing w:val="-8"/>
          <w:sz w:val="24"/>
          <w:szCs w:val="24"/>
          <w:highlight w:val="none"/>
        </w:rPr>
        <w:t>2021</w:t>
      </w: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Times New Roman" w:cs="Times New Roman"/>
          <w:color w:val="auto"/>
          <w:spacing w:val="-8"/>
          <w:sz w:val="24"/>
          <w:szCs w:val="24"/>
          <w:highlight w:val="none"/>
        </w:rPr>
        <w:t>2</w:t>
      </w:r>
      <w:r>
        <w:rPr>
          <w:rFonts w:hint="default" w:ascii="Times New Roman" w:hAnsi="Times New Roman" w:eastAsia="宋体" w:cs="Times New Roman"/>
          <w:color w:val="auto"/>
          <w:spacing w:val="-8"/>
          <w:sz w:val="24"/>
          <w:szCs w:val="24"/>
          <w:highlight w:val="none"/>
        </w:rPr>
        <w:t>号）中要求。</w:t>
      </w:r>
    </w:p>
    <w:p w14:paraId="1495E17F">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Times New Roman" w:cs="Times New Roman"/>
          <w:b/>
          <w:bCs/>
          <w:color w:val="auto"/>
          <w:spacing w:val="-3"/>
          <w:sz w:val="24"/>
          <w:szCs w:val="24"/>
          <w:highlight w:val="none"/>
        </w:rPr>
      </w:pPr>
      <w:bookmarkStart w:id="41" w:name="_Toc18063"/>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宋体" w:cs="Times New Roman"/>
          <w:b/>
          <w:bCs/>
          <w:color w:val="auto"/>
          <w:spacing w:val="-3"/>
          <w:sz w:val="24"/>
          <w:szCs w:val="24"/>
          <w:highlight w:val="none"/>
          <w:lang w:val="en-US" w:eastAsia="zh-CN"/>
        </w:rPr>
        <w:t>4</w:t>
      </w:r>
      <w:r>
        <w:rPr>
          <w:rFonts w:hint="default" w:ascii="Times New Roman" w:hAnsi="Times New Roman" w:eastAsia="Times New Roman" w:cs="Times New Roman"/>
          <w:b/>
          <w:bCs/>
          <w:color w:val="auto"/>
          <w:spacing w:val="-3"/>
          <w:sz w:val="24"/>
          <w:szCs w:val="24"/>
          <w:highlight w:val="none"/>
        </w:rPr>
        <w:t>.</w:t>
      </w:r>
      <w:r>
        <w:rPr>
          <w:rFonts w:hint="default" w:ascii="Times New Roman" w:hAnsi="Times New Roman" w:eastAsia="Times New Roman" w:cs="Times New Roman"/>
          <w:b/>
          <w:bCs/>
          <w:color w:val="auto"/>
          <w:spacing w:val="-3"/>
          <w:sz w:val="24"/>
          <w:szCs w:val="24"/>
          <w:highlight w:val="none"/>
          <w:lang w:val="en-US" w:eastAsia="zh-CN"/>
        </w:rPr>
        <w:t>4</w:t>
      </w:r>
      <w:r>
        <w:rPr>
          <w:rFonts w:hint="default" w:ascii="Times New Roman" w:hAnsi="Times New Roman" w:eastAsia="Times New Roman" w:cs="Times New Roman"/>
          <w:b/>
          <w:bCs/>
          <w:color w:val="auto"/>
          <w:spacing w:val="-3"/>
          <w:sz w:val="24"/>
          <w:szCs w:val="24"/>
          <w:highlight w:val="none"/>
        </w:rPr>
        <w:t>选址合理性分析</w:t>
      </w:r>
      <w:bookmarkEnd w:id="41"/>
    </w:p>
    <w:p w14:paraId="7C30E2C4">
      <w:pPr>
        <w:keepNext w:val="0"/>
        <w:keepLines w:val="0"/>
        <w:pageBreakBefore w:val="0"/>
        <w:widowControl/>
        <w:kinsoku/>
        <w:wordWrap w:val="0"/>
        <w:overflowPunct/>
        <w:topLinePunct/>
        <w:autoSpaceDE/>
        <w:autoSpaceDN/>
        <w:bidi w:val="0"/>
        <w:adjustRightInd w:val="0"/>
        <w:snapToGrid w:val="0"/>
        <w:spacing w:line="360" w:lineRule="auto"/>
        <w:ind w:left="0" w:right="0" w:firstLine="482"/>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lang w:val="en-US" w:eastAsia="zh-CN"/>
        </w:rPr>
        <w:t>1</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rPr>
        <w:t>本项目</w:t>
      </w:r>
      <w:r>
        <w:rPr>
          <w:rFonts w:hint="default" w:ascii="Times New Roman" w:hAnsi="Times New Roman" w:eastAsia="宋体" w:cs="Times New Roman"/>
          <w:color w:val="auto"/>
          <w:spacing w:val="-4"/>
          <w:sz w:val="24"/>
          <w:szCs w:val="24"/>
          <w:highlight w:val="none"/>
        </w:rPr>
        <w:t>占地范围与《畜禽规模养殖污</w:t>
      </w:r>
      <w:r>
        <w:rPr>
          <w:rFonts w:hint="default" w:ascii="Times New Roman" w:hAnsi="Times New Roman" w:eastAsia="宋体" w:cs="Times New Roman"/>
          <w:color w:val="auto"/>
          <w:spacing w:val="-16"/>
          <w:sz w:val="24"/>
          <w:szCs w:val="24"/>
          <w:highlight w:val="none"/>
        </w:rPr>
        <w:t>染防治条例》、《畜禽养殖业污染防治技术规范》、《畜禽养殖业污染防治技术政策》、</w:t>
      </w:r>
      <w:r>
        <w:rPr>
          <w:rFonts w:hint="default" w:ascii="Times New Roman" w:hAnsi="Times New Roman" w:eastAsia="宋体" w:cs="Times New Roman"/>
          <w:color w:val="auto"/>
          <w:spacing w:val="-3"/>
          <w:sz w:val="24"/>
          <w:szCs w:val="24"/>
          <w:highlight w:val="none"/>
        </w:rPr>
        <w:t>《双鸭山市畜禽养殖禁养区划定方案》</w:t>
      </w:r>
      <w:r>
        <w:rPr>
          <w:rFonts w:hint="default" w:ascii="Times New Roman" w:hAnsi="Times New Roman" w:eastAsia="宋体" w:cs="Times New Roman"/>
          <w:color w:val="auto"/>
          <w:spacing w:val="-4"/>
          <w:sz w:val="24"/>
          <w:szCs w:val="24"/>
          <w:highlight w:val="none"/>
        </w:rPr>
        <w:t>中相关规定进行对照，本项目占地范围不属于禁养区和限养区</w:t>
      </w:r>
      <w:r>
        <w:rPr>
          <w:rFonts w:hint="default" w:ascii="Times New Roman" w:hAnsi="Times New Roman" w:eastAsia="宋体" w:cs="Times New Roman"/>
          <w:color w:val="auto"/>
          <w:spacing w:val="-5"/>
          <w:sz w:val="24"/>
          <w:szCs w:val="24"/>
          <w:highlight w:val="none"/>
        </w:rPr>
        <w:t>以及饮</w:t>
      </w:r>
      <w:r>
        <w:rPr>
          <w:rFonts w:hint="default" w:ascii="Times New Roman" w:hAnsi="Times New Roman" w:eastAsia="宋体" w:cs="Times New Roman"/>
          <w:color w:val="auto"/>
          <w:spacing w:val="-3"/>
          <w:sz w:val="24"/>
          <w:szCs w:val="24"/>
          <w:highlight w:val="none"/>
        </w:rPr>
        <w:t>用水源保护区范围之内。距离本项目最近的人口集中区域位于本项目北侧</w:t>
      </w:r>
      <w:r>
        <w:rPr>
          <w:rFonts w:hint="default" w:ascii="Times New Roman" w:hAnsi="Times New Roman" w:eastAsia="宋体" w:cs="Times New Roman"/>
          <w:color w:val="auto"/>
          <w:spacing w:val="-3"/>
          <w:sz w:val="24"/>
          <w:szCs w:val="24"/>
          <w:highlight w:val="none"/>
          <w:lang w:val="en-US" w:eastAsia="zh-CN"/>
        </w:rPr>
        <w:t>720</w:t>
      </w:r>
      <w:r>
        <w:rPr>
          <w:rFonts w:hint="default" w:ascii="Times New Roman" w:hAnsi="Times New Roman" w:eastAsia="Times New Roman" w:cs="Times New Roman"/>
          <w:color w:val="auto"/>
          <w:spacing w:val="-4"/>
          <w:sz w:val="24"/>
          <w:szCs w:val="24"/>
          <w:highlight w:val="none"/>
        </w:rPr>
        <w:t>m</w:t>
      </w:r>
      <w:r>
        <w:rPr>
          <w:rFonts w:hint="default" w:ascii="Times New Roman" w:hAnsi="Times New Roman" w:eastAsia="宋体" w:cs="Times New Roman"/>
          <w:color w:val="auto"/>
          <w:spacing w:val="-4"/>
          <w:sz w:val="24"/>
          <w:szCs w:val="24"/>
          <w:highlight w:val="none"/>
        </w:rPr>
        <w:t>处</w:t>
      </w:r>
      <w:r>
        <w:rPr>
          <w:rFonts w:hint="default" w:ascii="Times New Roman" w:hAnsi="Times New Roman" w:eastAsia="宋体" w:cs="Times New Roman"/>
          <w:color w:val="auto"/>
          <w:spacing w:val="-1"/>
          <w:sz w:val="24"/>
          <w:szCs w:val="24"/>
          <w:highlight w:val="none"/>
        </w:rPr>
        <w:t>为</w:t>
      </w:r>
      <w:r>
        <w:rPr>
          <w:rFonts w:hint="default" w:ascii="Times New Roman" w:hAnsi="Times New Roman" w:eastAsia="宋体" w:cs="Times New Roman"/>
          <w:color w:val="auto"/>
          <w:spacing w:val="-1"/>
          <w:sz w:val="24"/>
          <w:szCs w:val="24"/>
          <w:highlight w:val="none"/>
          <w:lang w:val="en-US" w:eastAsia="zh-CN"/>
        </w:rPr>
        <w:t>康家屯</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3"/>
          <w:sz w:val="24"/>
          <w:szCs w:val="24"/>
          <w:highlight w:val="none"/>
        </w:rPr>
        <w:t>对本项目选址无影响。</w:t>
      </w:r>
    </w:p>
    <w:p w14:paraId="3AA6EF8B">
      <w:pPr>
        <w:keepNext w:val="0"/>
        <w:keepLines w:val="0"/>
        <w:pageBreakBefore w:val="0"/>
        <w:kinsoku/>
        <w:wordWrap w:val="0"/>
        <w:overflowPunct/>
        <w:topLinePunct/>
        <w:autoSpaceDE/>
        <w:autoSpaceDN/>
        <w:bidi w:val="0"/>
        <w:adjustRightInd w:val="0"/>
        <w:snapToGrid w:val="0"/>
        <w:spacing w:before="1" w:line="213" w:lineRule="auto"/>
        <w:ind w:left="325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3"/>
          <w:sz w:val="24"/>
          <w:szCs w:val="24"/>
          <w:highlight w:val="none"/>
        </w:rPr>
        <w:t>表</w:t>
      </w:r>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宋体" w:cs="Times New Roman"/>
          <w:b/>
          <w:bCs/>
          <w:color w:val="auto"/>
          <w:spacing w:val="-3"/>
          <w:sz w:val="24"/>
          <w:szCs w:val="24"/>
          <w:highlight w:val="none"/>
          <w:lang w:val="en-US" w:eastAsia="zh-CN"/>
        </w:rPr>
        <w:t>4</w:t>
      </w:r>
      <w:r>
        <w:rPr>
          <w:rFonts w:hint="default" w:ascii="Times New Roman" w:hAnsi="Times New Roman" w:eastAsia="Times New Roman" w:cs="Times New Roman"/>
          <w:b/>
          <w:bCs/>
          <w:color w:val="auto"/>
          <w:spacing w:val="-3"/>
          <w:sz w:val="24"/>
          <w:szCs w:val="24"/>
          <w:highlight w:val="none"/>
        </w:rPr>
        <w:t>-</w:t>
      </w:r>
      <w:r>
        <w:rPr>
          <w:rFonts w:hint="default" w:ascii="Times New Roman" w:hAnsi="Times New Roman" w:eastAsia="宋体" w:cs="Times New Roman"/>
          <w:b/>
          <w:bCs/>
          <w:color w:val="auto"/>
          <w:spacing w:val="-3"/>
          <w:sz w:val="24"/>
          <w:szCs w:val="24"/>
          <w:highlight w:val="none"/>
          <w:lang w:val="en-US" w:eastAsia="zh-CN"/>
        </w:rPr>
        <w:t>3</w:t>
      </w:r>
      <w:r>
        <w:rPr>
          <w:rFonts w:hint="default" w:ascii="Times New Roman" w:hAnsi="Times New Roman" w:eastAsia="宋体" w:cs="Times New Roman"/>
          <w:b/>
          <w:bCs/>
          <w:color w:val="auto"/>
          <w:spacing w:val="-3"/>
          <w:sz w:val="24"/>
          <w:szCs w:val="24"/>
          <w:highlight w:val="none"/>
        </w:rPr>
        <w:t>选址合理性分析</w:t>
      </w:r>
    </w:p>
    <w:tbl>
      <w:tblPr>
        <w:tblStyle w:val="34"/>
        <w:tblW w:w="901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9"/>
        <w:gridCol w:w="3906"/>
        <w:gridCol w:w="2618"/>
        <w:gridCol w:w="795"/>
      </w:tblGrid>
      <w:tr w14:paraId="7D014F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699" w:type="dxa"/>
            <w:tcBorders>
              <w:top w:val="single" w:color="000000" w:sz="10" w:space="0"/>
              <w:left w:val="nil"/>
            </w:tcBorders>
            <w:vAlign w:val="center"/>
          </w:tcPr>
          <w:p w14:paraId="57BBCFB1">
            <w:pPr>
              <w:pStyle w:val="35"/>
              <w:keepNext w:val="0"/>
              <w:keepLines w:val="0"/>
              <w:pageBreakBefore w:val="0"/>
              <w:widowControl/>
              <w:kinsoku/>
              <w:wordWrap w:val="0"/>
              <w:overflowPunct/>
              <w:topLinePunct/>
              <w:autoSpaceDE/>
              <w:autoSpaceDN/>
              <w:bidi w:val="0"/>
              <w:adjustRightInd w:val="0"/>
              <w:snapToGrid w:val="0"/>
              <w:spacing w:line="240" w:lineRule="auto"/>
              <w:ind w:left="0" w:right="39"/>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
                <w:bCs/>
                <w:color w:val="auto"/>
                <w:spacing w:val="-2"/>
                <w:sz w:val="21"/>
                <w:szCs w:val="21"/>
                <w:highlight w:val="none"/>
              </w:rPr>
              <w:t>相关政策、条例、</w:t>
            </w:r>
            <w:r>
              <w:rPr>
                <w:rFonts w:hint="default" w:ascii="Times New Roman" w:hAnsi="Times New Roman" w:eastAsia="宋体" w:cs="Times New Roman"/>
                <w:b/>
                <w:bCs/>
                <w:color w:val="auto"/>
                <w:spacing w:val="4"/>
                <w:sz w:val="21"/>
                <w:szCs w:val="21"/>
                <w:highlight w:val="none"/>
              </w:rPr>
              <w:t>规范</w:t>
            </w:r>
          </w:p>
        </w:tc>
        <w:tc>
          <w:tcPr>
            <w:tcW w:w="3906" w:type="dxa"/>
            <w:tcBorders>
              <w:top w:val="single" w:color="000000" w:sz="10" w:space="0"/>
            </w:tcBorders>
            <w:vAlign w:val="center"/>
          </w:tcPr>
          <w:p w14:paraId="0CD95B2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
                <w:bCs/>
                <w:color w:val="auto"/>
                <w:spacing w:val="4"/>
                <w:sz w:val="21"/>
                <w:szCs w:val="21"/>
                <w:highlight w:val="none"/>
              </w:rPr>
              <w:t>要求</w:t>
            </w:r>
          </w:p>
        </w:tc>
        <w:tc>
          <w:tcPr>
            <w:tcW w:w="2618" w:type="dxa"/>
            <w:tcBorders>
              <w:top w:val="single" w:color="000000" w:sz="10" w:space="0"/>
            </w:tcBorders>
            <w:vAlign w:val="center"/>
          </w:tcPr>
          <w:p w14:paraId="30C3BFC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
                <w:bCs/>
                <w:color w:val="auto"/>
                <w:spacing w:val="6"/>
                <w:sz w:val="21"/>
                <w:szCs w:val="21"/>
                <w:highlight w:val="none"/>
              </w:rPr>
              <w:t>符合性分析</w:t>
            </w:r>
          </w:p>
        </w:tc>
        <w:tc>
          <w:tcPr>
            <w:tcW w:w="795" w:type="dxa"/>
            <w:tcBorders>
              <w:top w:val="single" w:color="000000" w:sz="10" w:space="0"/>
              <w:right w:val="nil"/>
            </w:tcBorders>
            <w:vAlign w:val="center"/>
          </w:tcPr>
          <w:p w14:paraId="114B1EA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
                <w:bCs/>
                <w:color w:val="auto"/>
                <w:spacing w:val="2"/>
                <w:sz w:val="21"/>
                <w:szCs w:val="21"/>
                <w:highlight w:val="none"/>
              </w:rPr>
              <w:t>是否</w:t>
            </w:r>
            <w:r>
              <w:rPr>
                <w:rFonts w:hint="default" w:ascii="Times New Roman" w:hAnsi="Times New Roman" w:eastAsia="宋体" w:cs="Times New Roman"/>
                <w:b/>
                <w:bCs/>
                <w:color w:val="auto"/>
                <w:spacing w:val="3"/>
                <w:sz w:val="21"/>
                <w:szCs w:val="21"/>
                <w:highlight w:val="none"/>
              </w:rPr>
              <w:t>符合</w:t>
            </w:r>
          </w:p>
        </w:tc>
      </w:tr>
      <w:tr w14:paraId="23792E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699" w:type="dxa"/>
            <w:tcBorders>
              <w:left w:val="nil"/>
            </w:tcBorders>
            <w:vAlign w:val="center"/>
          </w:tcPr>
          <w:p w14:paraId="07D0566E">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1"/>
                <w:sz w:val="21"/>
                <w:szCs w:val="21"/>
                <w:highlight w:val="none"/>
              </w:rPr>
              <w:t>《畜禽规模养殖污染防治条例》（国务院令第643号）第二章第十一条</w:t>
            </w:r>
          </w:p>
        </w:tc>
        <w:tc>
          <w:tcPr>
            <w:tcW w:w="3906" w:type="dxa"/>
            <w:vAlign w:val="center"/>
          </w:tcPr>
          <w:p w14:paraId="26F03D88">
            <w:pPr>
              <w:pStyle w:val="35"/>
              <w:keepNext w:val="0"/>
              <w:keepLines w:val="0"/>
              <w:pageBreakBefore w:val="0"/>
              <w:widowControl/>
              <w:kinsoku/>
              <w:wordWrap w:val="0"/>
              <w:overflowPunct/>
              <w:topLinePunct/>
              <w:autoSpaceDE/>
              <w:autoSpaceDN/>
              <w:bidi w:val="0"/>
              <w:adjustRightInd w:val="0"/>
              <w:snapToGrid w:val="0"/>
              <w:spacing w:line="240" w:lineRule="auto"/>
              <w:ind w:left="0"/>
              <w:jc w:val="both"/>
              <w:textAlignment w:val="baseline"/>
              <w:rPr>
                <w:rFonts w:hint="default" w:ascii="Times New Roman" w:hAnsi="Times New Roman" w:eastAsia="宋体" w:cs="Times New Roman"/>
                <w:color w:val="auto"/>
                <w:spacing w:val="-11"/>
                <w:sz w:val="21"/>
                <w:szCs w:val="21"/>
                <w:highlight w:val="none"/>
              </w:rPr>
            </w:pPr>
            <w:r>
              <w:rPr>
                <w:rFonts w:hint="default" w:ascii="Times New Roman" w:hAnsi="Times New Roman" w:eastAsia="宋体" w:cs="Times New Roman"/>
                <w:color w:val="auto"/>
                <w:spacing w:val="-11"/>
                <w:sz w:val="21"/>
                <w:szCs w:val="21"/>
                <w:highlight w:val="none"/>
              </w:rPr>
              <w:t>禁止在下列区域内建设畜禽养殖场、养殖小区：</w:t>
            </w:r>
          </w:p>
          <w:p w14:paraId="7915AF26">
            <w:pPr>
              <w:pStyle w:val="35"/>
              <w:keepNext w:val="0"/>
              <w:keepLines w:val="0"/>
              <w:pageBreakBefore w:val="0"/>
              <w:widowControl/>
              <w:kinsoku/>
              <w:wordWrap w:val="0"/>
              <w:overflowPunct/>
              <w:topLinePunct/>
              <w:autoSpaceDE/>
              <w:autoSpaceDN/>
              <w:bidi w:val="0"/>
              <w:adjustRightInd w:val="0"/>
              <w:snapToGrid w:val="0"/>
              <w:spacing w:line="240" w:lineRule="auto"/>
              <w:ind w:left="0"/>
              <w:jc w:val="both"/>
              <w:textAlignment w:val="baseline"/>
              <w:rPr>
                <w:rFonts w:hint="default" w:ascii="Times New Roman" w:hAnsi="Times New Roman" w:eastAsia="宋体" w:cs="Times New Roman"/>
                <w:color w:val="auto"/>
                <w:spacing w:val="-11"/>
                <w:sz w:val="21"/>
                <w:szCs w:val="21"/>
                <w:highlight w:val="none"/>
              </w:rPr>
            </w:pPr>
            <w:r>
              <w:rPr>
                <w:rFonts w:hint="default" w:ascii="Times New Roman" w:hAnsi="Times New Roman" w:eastAsia="宋体" w:cs="Times New Roman"/>
                <w:color w:val="auto"/>
                <w:spacing w:val="-11"/>
                <w:sz w:val="21"/>
                <w:szCs w:val="21"/>
                <w:highlight w:val="none"/>
              </w:rPr>
              <w:t>①饮用水水源保护区，风景名胜区；</w:t>
            </w:r>
          </w:p>
          <w:p w14:paraId="5CEFAA21">
            <w:pPr>
              <w:pStyle w:val="35"/>
              <w:keepNext w:val="0"/>
              <w:keepLines w:val="0"/>
              <w:pageBreakBefore w:val="0"/>
              <w:widowControl/>
              <w:kinsoku/>
              <w:wordWrap w:val="0"/>
              <w:overflowPunct/>
              <w:topLinePunct/>
              <w:autoSpaceDE/>
              <w:autoSpaceDN/>
              <w:bidi w:val="0"/>
              <w:adjustRightInd w:val="0"/>
              <w:snapToGrid w:val="0"/>
              <w:spacing w:line="240" w:lineRule="auto"/>
              <w:ind w:left="0"/>
              <w:jc w:val="both"/>
              <w:textAlignment w:val="baseline"/>
              <w:rPr>
                <w:rFonts w:hint="default" w:ascii="Times New Roman" w:hAnsi="Times New Roman" w:eastAsia="宋体" w:cs="Times New Roman"/>
                <w:color w:val="auto"/>
                <w:spacing w:val="-11"/>
                <w:sz w:val="21"/>
                <w:szCs w:val="21"/>
                <w:highlight w:val="none"/>
              </w:rPr>
            </w:pPr>
            <w:r>
              <w:rPr>
                <w:rFonts w:hint="default" w:ascii="Times New Roman" w:hAnsi="Times New Roman" w:eastAsia="宋体" w:cs="Times New Roman"/>
                <w:color w:val="auto"/>
                <w:spacing w:val="-11"/>
                <w:sz w:val="21"/>
                <w:szCs w:val="21"/>
                <w:highlight w:val="none"/>
              </w:rPr>
              <w:t>②自然保护区的核心区和缓冲区；</w:t>
            </w:r>
          </w:p>
          <w:p w14:paraId="46BF99B8">
            <w:pPr>
              <w:pStyle w:val="35"/>
              <w:keepNext w:val="0"/>
              <w:keepLines w:val="0"/>
              <w:pageBreakBefore w:val="0"/>
              <w:widowControl/>
              <w:kinsoku/>
              <w:wordWrap w:val="0"/>
              <w:overflowPunct/>
              <w:topLinePunct/>
              <w:autoSpaceDE/>
              <w:autoSpaceDN/>
              <w:bidi w:val="0"/>
              <w:adjustRightInd w:val="0"/>
              <w:snapToGrid w:val="0"/>
              <w:spacing w:line="240" w:lineRule="auto"/>
              <w:ind w:left="0"/>
              <w:jc w:val="both"/>
              <w:textAlignment w:val="baseline"/>
              <w:rPr>
                <w:rFonts w:hint="default" w:ascii="Times New Roman" w:hAnsi="Times New Roman" w:eastAsia="宋体" w:cs="Times New Roman"/>
                <w:color w:val="auto"/>
                <w:spacing w:val="-11"/>
                <w:sz w:val="21"/>
                <w:szCs w:val="21"/>
                <w:highlight w:val="none"/>
              </w:rPr>
            </w:pPr>
            <w:r>
              <w:rPr>
                <w:rFonts w:hint="default" w:ascii="Times New Roman" w:hAnsi="Times New Roman" w:eastAsia="宋体" w:cs="Times New Roman"/>
                <w:color w:val="auto"/>
                <w:spacing w:val="-11"/>
                <w:sz w:val="21"/>
                <w:szCs w:val="21"/>
                <w:highlight w:val="none"/>
              </w:rPr>
              <w:t>③城镇居民区、文化教育科学研究区等人口集中区域；</w:t>
            </w:r>
          </w:p>
          <w:p w14:paraId="154A7DC4">
            <w:pPr>
              <w:pStyle w:val="35"/>
              <w:keepNext w:val="0"/>
              <w:keepLines w:val="0"/>
              <w:pageBreakBefore w:val="0"/>
              <w:widowControl/>
              <w:kinsoku/>
              <w:wordWrap w:val="0"/>
              <w:overflowPunct/>
              <w:topLinePunct/>
              <w:autoSpaceDE/>
              <w:autoSpaceDN/>
              <w:bidi w:val="0"/>
              <w:adjustRightInd w:val="0"/>
              <w:snapToGrid w:val="0"/>
              <w:spacing w:line="240" w:lineRule="auto"/>
              <w:ind w:left="0"/>
              <w:jc w:val="both"/>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④法律、法规规定的其他禁止养殖区域。</w:t>
            </w:r>
          </w:p>
        </w:tc>
        <w:tc>
          <w:tcPr>
            <w:tcW w:w="2618" w:type="dxa"/>
            <w:vAlign w:val="center"/>
          </w:tcPr>
          <w:p w14:paraId="6BCCECF8">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color w:val="auto"/>
                <w:spacing w:val="-11"/>
                <w:sz w:val="21"/>
                <w:szCs w:val="21"/>
                <w:highlight w:val="none"/>
              </w:rPr>
              <w:t>本项目的选址不属于当地政府划定的“敏感区”和“禁养区”，不涉及自然保护区、风景名胜区等环境敏感区域项目的建设符合《畜禽规模养殖污染防治条例》的相关规</w:t>
            </w:r>
            <w:r>
              <w:rPr>
                <w:rFonts w:hint="default" w:ascii="Times New Roman" w:hAnsi="Times New Roman" w:eastAsia="宋体" w:cs="Times New Roman"/>
                <w:snapToGrid w:val="0"/>
                <w:color w:val="auto"/>
                <w:spacing w:val="-11"/>
                <w:kern w:val="0"/>
                <w:sz w:val="21"/>
                <w:szCs w:val="21"/>
                <w:highlight w:val="none"/>
                <w:lang w:val="en-US" w:eastAsia="en-US" w:bidi="ar-SA"/>
              </w:rPr>
              <w:t>定，因此项目选址可行。</w:t>
            </w:r>
          </w:p>
        </w:tc>
        <w:tc>
          <w:tcPr>
            <w:tcW w:w="795" w:type="dxa"/>
            <w:tcBorders>
              <w:right w:val="nil"/>
            </w:tcBorders>
            <w:vAlign w:val="center"/>
          </w:tcPr>
          <w:p w14:paraId="0CDA51D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rPr>
              <w:t>符合</w:t>
            </w:r>
          </w:p>
        </w:tc>
      </w:tr>
      <w:tr w14:paraId="7CB4B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699" w:type="dxa"/>
            <w:tcBorders>
              <w:left w:val="nil"/>
            </w:tcBorders>
            <w:vAlign w:val="center"/>
          </w:tcPr>
          <w:p w14:paraId="21D7786A">
            <w:pPr>
              <w:pStyle w:val="35"/>
              <w:keepNext w:val="0"/>
              <w:keepLines w:val="0"/>
              <w:pageBreakBefore w:val="0"/>
              <w:widowControl/>
              <w:kinsoku/>
              <w:wordWrap w:val="0"/>
              <w:overflowPunct/>
              <w:topLinePunct/>
              <w:autoSpaceDE/>
              <w:autoSpaceDN/>
              <w:bidi w:val="0"/>
              <w:adjustRightInd w:val="0"/>
              <w:snapToGrid w:val="0"/>
              <w:spacing w:line="240" w:lineRule="auto"/>
              <w:ind w:left="0" w:right="154"/>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bookmarkStart w:id="42" w:name="bookmark54"/>
            <w:bookmarkEnd w:id="42"/>
            <w:r>
              <w:rPr>
                <w:rFonts w:hint="default" w:ascii="Times New Roman" w:hAnsi="Times New Roman" w:eastAsia="宋体" w:cs="Times New Roman"/>
                <w:snapToGrid w:val="0"/>
                <w:color w:val="auto"/>
                <w:spacing w:val="-11"/>
                <w:kern w:val="0"/>
                <w:sz w:val="21"/>
                <w:szCs w:val="21"/>
                <w:highlight w:val="none"/>
                <w:lang w:val="en-US" w:eastAsia="en-US" w:bidi="ar-SA"/>
              </w:rPr>
              <w:t>《畜禽养殖业污染防治技术规范》（HJ/T81-2001）</w:t>
            </w:r>
          </w:p>
        </w:tc>
        <w:tc>
          <w:tcPr>
            <w:tcW w:w="3906" w:type="dxa"/>
            <w:vAlign w:val="center"/>
          </w:tcPr>
          <w:p w14:paraId="23D817A6">
            <w:pPr>
              <w:pStyle w:val="35"/>
              <w:keepNext w:val="0"/>
              <w:keepLines w:val="0"/>
              <w:pageBreakBefore w:val="0"/>
              <w:widowControl/>
              <w:kinsoku/>
              <w:wordWrap w:val="0"/>
              <w:overflowPunct/>
              <w:topLinePunct/>
              <w:autoSpaceDE/>
              <w:autoSpaceDN/>
              <w:bidi w:val="0"/>
              <w:adjustRightInd w:val="0"/>
              <w:snapToGrid w:val="0"/>
              <w:spacing w:line="240" w:lineRule="auto"/>
              <w:ind w:left="0" w:right="114"/>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3.1禁止在下列区域内建设畜禽养殖场：a生活饮用水水源保护区，风景名胜区、自然保护区的核心区和缓冲区；b城市和城镇居民区，包括文教科研区、医疗区、商业区、工业区、游览区等人口集中地区；c县级人民政府依法划定的禁养区域；d国家或地方法律、法规规定需特殊保护的其他区域。</w:t>
            </w:r>
          </w:p>
          <w:p w14:paraId="2E9B6770">
            <w:pPr>
              <w:pStyle w:val="35"/>
              <w:keepNext w:val="0"/>
              <w:keepLines w:val="0"/>
              <w:pageBreakBefore w:val="0"/>
              <w:widowControl/>
              <w:kinsoku/>
              <w:wordWrap w:val="0"/>
              <w:overflowPunct/>
              <w:topLinePunct/>
              <w:autoSpaceDE/>
              <w:autoSpaceDN/>
              <w:bidi w:val="0"/>
              <w:adjustRightInd w:val="0"/>
              <w:snapToGrid w:val="0"/>
              <w:spacing w:line="240" w:lineRule="auto"/>
              <w:ind w:left="0" w:right="114"/>
              <w:jc w:val="center"/>
              <w:textAlignment w:val="baseline"/>
              <w:rPr>
                <w:rFonts w:hint="default" w:ascii="Times New Roman" w:hAnsi="Times New Roman" w:eastAsia="宋体" w:cs="Times New Roman"/>
                <w:snapToGrid w:val="0"/>
                <w:color w:val="auto"/>
                <w:spacing w:val="-11"/>
                <w:kern w:val="0"/>
                <w:sz w:val="21"/>
                <w:szCs w:val="21"/>
                <w:highlight w:val="none"/>
                <w:lang w:val="en-US" w:eastAsia="zh-CN"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3.2新建改建、扩建的畜禽养殖场选址应避开3.1规定的禁建区域。在禁建区域附近建设的，应设在禁建区域常年主导风向的下风向或侧风向处，</w:t>
            </w:r>
            <w:r>
              <w:rPr>
                <w:rFonts w:hint="default" w:ascii="Times New Roman" w:hAnsi="Times New Roman" w:cs="Times New Roman"/>
                <w:snapToGrid w:val="0"/>
                <w:color w:val="auto"/>
                <w:spacing w:val="-11"/>
                <w:kern w:val="0"/>
                <w:sz w:val="21"/>
                <w:szCs w:val="21"/>
                <w:highlight w:val="none"/>
                <w:lang w:val="en-US" w:eastAsia="zh-CN" w:bidi="ar-SA"/>
              </w:rPr>
              <w:t>厂界</w:t>
            </w:r>
            <w:r>
              <w:rPr>
                <w:rFonts w:hint="default" w:ascii="Times New Roman" w:hAnsi="Times New Roman" w:eastAsia="宋体" w:cs="Times New Roman"/>
                <w:snapToGrid w:val="0"/>
                <w:color w:val="auto"/>
                <w:spacing w:val="-11"/>
                <w:kern w:val="0"/>
                <w:sz w:val="21"/>
                <w:szCs w:val="21"/>
                <w:highlight w:val="none"/>
                <w:lang w:val="en-US" w:eastAsia="en-US" w:bidi="ar-SA"/>
              </w:rPr>
              <w:t>与禁建区域边界的最小距离不得小于500m</w:t>
            </w:r>
            <w:r>
              <w:rPr>
                <w:rFonts w:hint="default" w:ascii="Times New Roman" w:hAnsi="Times New Roman" w:eastAsia="宋体" w:cs="Times New Roman"/>
                <w:snapToGrid w:val="0"/>
                <w:color w:val="auto"/>
                <w:spacing w:val="-11"/>
                <w:kern w:val="0"/>
                <w:sz w:val="21"/>
                <w:szCs w:val="21"/>
                <w:highlight w:val="none"/>
                <w:lang w:val="en-US" w:eastAsia="zh-CN" w:bidi="ar-SA"/>
              </w:rPr>
              <w:t>；</w:t>
            </w:r>
          </w:p>
          <w:p w14:paraId="4583231E">
            <w:pPr>
              <w:pStyle w:val="35"/>
              <w:keepNext w:val="0"/>
              <w:keepLines w:val="0"/>
              <w:pageBreakBefore w:val="0"/>
              <w:widowControl/>
              <w:kinsoku/>
              <w:wordWrap w:val="0"/>
              <w:overflowPunct/>
              <w:topLinePunct/>
              <w:autoSpaceDE/>
              <w:autoSpaceDN/>
              <w:bidi w:val="0"/>
              <w:adjustRightInd w:val="0"/>
              <w:snapToGrid w:val="0"/>
              <w:spacing w:line="240" w:lineRule="auto"/>
              <w:ind w:left="0" w:right="114" w:firstLine="22"/>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5.2贮存设施的位置必须远离各类功能地表水体（距离不得小于400m），并应设在养殖场生产及生活管理区的常年主导风向的下风向或侧风向处。</w:t>
            </w:r>
          </w:p>
        </w:tc>
        <w:tc>
          <w:tcPr>
            <w:tcW w:w="2618" w:type="dxa"/>
            <w:vAlign w:val="center"/>
          </w:tcPr>
          <w:p w14:paraId="09FD53AA">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23"/>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项目位于双鸭山市</w:t>
            </w:r>
            <w:r>
              <w:rPr>
                <w:rFonts w:hint="default" w:ascii="Times New Roman" w:hAnsi="Times New Roman" w:cs="Times New Roman"/>
                <w:snapToGrid w:val="0"/>
                <w:color w:val="auto"/>
                <w:spacing w:val="-11"/>
                <w:kern w:val="0"/>
                <w:sz w:val="21"/>
                <w:szCs w:val="21"/>
                <w:highlight w:val="none"/>
                <w:lang w:val="en-US" w:eastAsia="zh-CN" w:bidi="ar-SA"/>
              </w:rPr>
              <w:t>集贤县</w:t>
            </w:r>
            <w:r>
              <w:rPr>
                <w:rFonts w:hint="default" w:ascii="Times New Roman" w:hAnsi="Times New Roman" w:eastAsia="宋体" w:cs="Times New Roman"/>
                <w:snapToGrid w:val="0"/>
                <w:color w:val="auto"/>
                <w:spacing w:val="-11"/>
                <w:kern w:val="0"/>
                <w:sz w:val="21"/>
                <w:szCs w:val="21"/>
                <w:highlight w:val="none"/>
                <w:lang w:val="en-US" w:eastAsia="en-US" w:bidi="ar-SA"/>
              </w:rPr>
              <w:t>，其最近居民区为</w:t>
            </w:r>
            <w:r>
              <w:rPr>
                <w:rFonts w:hint="default" w:ascii="Times New Roman" w:hAnsi="Times New Roman" w:cs="Times New Roman"/>
                <w:snapToGrid w:val="0"/>
                <w:color w:val="auto"/>
                <w:spacing w:val="-11"/>
                <w:kern w:val="0"/>
                <w:sz w:val="21"/>
                <w:szCs w:val="21"/>
                <w:highlight w:val="none"/>
                <w:lang w:val="en-US" w:eastAsia="zh-CN" w:bidi="ar-SA"/>
              </w:rPr>
              <w:t>厂界</w:t>
            </w:r>
            <w:r>
              <w:rPr>
                <w:rFonts w:hint="default" w:ascii="Times New Roman" w:hAnsi="Times New Roman" w:eastAsia="宋体" w:cs="Times New Roman"/>
                <w:snapToGrid w:val="0"/>
                <w:color w:val="auto"/>
                <w:spacing w:val="-11"/>
                <w:kern w:val="0"/>
                <w:sz w:val="21"/>
                <w:szCs w:val="21"/>
                <w:highlight w:val="none"/>
                <w:lang w:val="en-US" w:eastAsia="en-US" w:bidi="ar-SA"/>
              </w:rPr>
              <w:t>北侧</w:t>
            </w:r>
            <w:r>
              <w:rPr>
                <w:rFonts w:hint="default" w:ascii="Times New Roman" w:hAnsi="Times New Roman" w:eastAsia="宋体" w:cs="Times New Roman"/>
                <w:snapToGrid w:val="0"/>
                <w:color w:val="auto"/>
                <w:spacing w:val="-11"/>
                <w:kern w:val="0"/>
                <w:sz w:val="21"/>
                <w:szCs w:val="21"/>
                <w:highlight w:val="none"/>
                <w:lang w:val="en-US" w:eastAsia="zh-CN" w:bidi="ar-SA"/>
              </w:rPr>
              <w:t>72</w:t>
            </w:r>
            <w:r>
              <w:rPr>
                <w:rFonts w:hint="default" w:ascii="Times New Roman" w:hAnsi="Times New Roman" w:cs="Times New Roman"/>
                <w:snapToGrid w:val="0"/>
                <w:color w:val="auto"/>
                <w:spacing w:val="-11"/>
                <w:kern w:val="0"/>
                <w:sz w:val="21"/>
                <w:szCs w:val="21"/>
                <w:highlight w:val="none"/>
                <w:lang w:val="en-US" w:eastAsia="zh-CN" w:bidi="ar-SA"/>
              </w:rPr>
              <w:t>0</w:t>
            </w:r>
            <w:r>
              <w:rPr>
                <w:rFonts w:hint="default" w:ascii="Times New Roman" w:hAnsi="Times New Roman" w:eastAsia="宋体" w:cs="Times New Roman"/>
                <w:snapToGrid w:val="0"/>
                <w:color w:val="auto"/>
                <w:spacing w:val="-11"/>
                <w:kern w:val="0"/>
                <w:sz w:val="21"/>
                <w:szCs w:val="21"/>
                <w:highlight w:val="none"/>
                <w:lang w:val="en-US" w:eastAsia="en-US" w:bidi="ar-SA"/>
              </w:rPr>
              <w:t>m外的</w:t>
            </w:r>
            <w:r>
              <w:rPr>
                <w:rFonts w:hint="default" w:ascii="Times New Roman" w:hAnsi="Times New Roman" w:eastAsia="宋体" w:cs="Times New Roman"/>
                <w:snapToGrid w:val="0"/>
                <w:color w:val="auto"/>
                <w:spacing w:val="-11"/>
                <w:kern w:val="0"/>
                <w:sz w:val="21"/>
                <w:szCs w:val="21"/>
                <w:highlight w:val="none"/>
                <w:lang w:val="en-US" w:eastAsia="zh-CN" w:bidi="ar-SA"/>
              </w:rPr>
              <w:t>康家屯</w:t>
            </w:r>
            <w:r>
              <w:rPr>
                <w:rFonts w:hint="default" w:ascii="Times New Roman" w:hAnsi="Times New Roman" w:eastAsia="宋体" w:cs="Times New Roman"/>
                <w:snapToGrid w:val="0"/>
                <w:color w:val="auto"/>
                <w:spacing w:val="-11"/>
                <w:kern w:val="0"/>
                <w:sz w:val="21"/>
                <w:szCs w:val="21"/>
                <w:highlight w:val="none"/>
                <w:lang w:val="en-US" w:eastAsia="en-US" w:bidi="ar-SA"/>
              </w:rPr>
              <w:t>，本项目周围40</w:t>
            </w:r>
            <w:r>
              <w:rPr>
                <w:rFonts w:hint="default" w:ascii="Times New Roman" w:hAnsi="Times New Roman" w:cs="Times New Roman"/>
                <w:snapToGrid w:val="0"/>
                <w:color w:val="auto"/>
                <w:spacing w:val="-11"/>
                <w:kern w:val="0"/>
                <w:sz w:val="21"/>
                <w:szCs w:val="21"/>
                <w:highlight w:val="none"/>
                <w:lang w:val="en-US" w:eastAsia="zh-CN" w:bidi="ar-SA"/>
              </w:rPr>
              <w:t>0</w:t>
            </w:r>
            <w:r>
              <w:rPr>
                <w:rFonts w:hint="default" w:ascii="Times New Roman" w:hAnsi="Times New Roman" w:eastAsia="宋体" w:cs="Times New Roman"/>
                <w:snapToGrid w:val="0"/>
                <w:color w:val="auto"/>
                <w:spacing w:val="-11"/>
                <w:kern w:val="0"/>
                <w:sz w:val="21"/>
                <w:szCs w:val="21"/>
                <w:highlight w:val="none"/>
                <w:lang w:val="en-US" w:eastAsia="en-US" w:bidi="ar-SA"/>
              </w:rPr>
              <w:t>m范围内无各类功能地表水体。所在区域地表水水体为</w:t>
            </w:r>
            <w:r>
              <w:rPr>
                <w:rFonts w:hint="default" w:ascii="Times New Roman" w:hAnsi="Times New Roman" w:cs="Times New Roman"/>
                <w:snapToGrid w:val="0"/>
                <w:color w:val="auto"/>
                <w:spacing w:val="-11"/>
                <w:kern w:val="0"/>
                <w:sz w:val="21"/>
                <w:szCs w:val="21"/>
                <w:highlight w:val="none"/>
                <w:lang w:val="en-US" w:eastAsia="zh-CN" w:bidi="ar-SA"/>
              </w:rPr>
              <w:t>距</w:t>
            </w:r>
            <w:r>
              <w:rPr>
                <w:rFonts w:hint="default" w:ascii="Times New Roman" w:hAnsi="Times New Roman" w:eastAsia="宋体" w:cs="Times New Roman"/>
                <w:snapToGrid w:val="0"/>
                <w:color w:val="auto"/>
                <w:spacing w:val="-11"/>
                <w:kern w:val="0"/>
                <w:sz w:val="21"/>
                <w:szCs w:val="21"/>
                <w:highlight w:val="none"/>
                <w:lang w:val="en-US" w:eastAsia="en-US" w:bidi="ar-SA"/>
              </w:rPr>
              <w:t xml:space="preserve">离本项目 </w:t>
            </w:r>
            <w:r>
              <w:rPr>
                <w:rFonts w:hint="default" w:ascii="Times New Roman" w:hAnsi="Times New Roman" w:cs="Times New Roman"/>
                <w:snapToGrid w:val="0"/>
                <w:color w:val="auto"/>
                <w:spacing w:val="-11"/>
                <w:kern w:val="0"/>
                <w:sz w:val="21"/>
                <w:szCs w:val="21"/>
                <w:highlight w:val="none"/>
                <w:lang w:val="en-US" w:eastAsia="zh-CN" w:bidi="ar-SA"/>
              </w:rPr>
              <w:t>3300</w:t>
            </w:r>
            <w:r>
              <w:rPr>
                <w:rFonts w:hint="default" w:ascii="Times New Roman" w:hAnsi="Times New Roman" w:eastAsia="宋体" w:cs="Times New Roman"/>
                <w:snapToGrid w:val="0"/>
                <w:color w:val="auto"/>
                <w:spacing w:val="-11"/>
                <w:kern w:val="0"/>
                <w:sz w:val="21"/>
                <w:szCs w:val="21"/>
                <w:highlight w:val="none"/>
                <w:lang w:val="en-US" w:eastAsia="en-US" w:bidi="ar-SA"/>
              </w:rPr>
              <w:t>m的</w:t>
            </w:r>
            <w:r>
              <w:rPr>
                <w:rFonts w:hint="default" w:ascii="Times New Roman" w:hAnsi="Times New Roman" w:cs="Times New Roman"/>
                <w:snapToGrid w:val="0"/>
                <w:color w:val="auto"/>
                <w:spacing w:val="-11"/>
                <w:kern w:val="0"/>
                <w:sz w:val="21"/>
                <w:szCs w:val="21"/>
                <w:highlight w:val="none"/>
                <w:lang w:val="en-US" w:eastAsia="zh-CN" w:bidi="ar-SA"/>
              </w:rPr>
              <w:t>安邦</w:t>
            </w:r>
            <w:r>
              <w:rPr>
                <w:rFonts w:hint="default" w:ascii="Times New Roman" w:hAnsi="Times New Roman" w:eastAsia="宋体" w:cs="Times New Roman"/>
                <w:snapToGrid w:val="0"/>
                <w:color w:val="auto"/>
                <w:spacing w:val="-11"/>
                <w:kern w:val="0"/>
                <w:sz w:val="21"/>
                <w:szCs w:val="21"/>
                <w:highlight w:val="none"/>
                <w:lang w:val="en-US" w:eastAsia="en-US" w:bidi="ar-SA"/>
              </w:rPr>
              <w:t>河。项目远离居民区，远离人员流动较大的道路和村庄；项目周边有足够农田，便于养殖粪</w:t>
            </w:r>
            <w:r>
              <w:rPr>
                <w:rFonts w:hint="default" w:ascii="Times New Roman" w:hAnsi="Times New Roman" w:eastAsia="宋体" w:cs="Times New Roman"/>
                <w:snapToGrid w:val="0"/>
                <w:color w:val="auto"/>
                <w:spacing w:val="-11"/>
                <w:kern w:val="0"/>
                <w:sz w:val="21"/>
                <w:szCs w:val="21"/>
                <w:highlight w:val="none"/>
                <w:lang w:val="en-US" w:eastAsia="zh-CN" w:bidi="ar-SA"/>
              </w:rPr>
              <w:t>外售</w:t>
            </w:r>
            <w:r>
              <w:rPr>
                <w:rFonts w:hint="default" w:ascii="Times New Roman" w:hAnsi="Times New Roman" w:eastAsia="宋体" w:cs="Times New Roman"/>
                <w:snapToGrid w:val="0"/>
                <w:color w:val="auto"/>
                <w:spacing w:val="-11"/>
                <w:kern w:val="0"/>
                <w:sz w:val="21"/>
                <w:szCs w:val="21"/>
                <w:highlight w:val="none"/>
                <w:lang w:val="en-US" w:eastAsia="en-US" w:bidi="ar-SA"/>
              </w:rPr>
              <w:t>处理，有利于该项目污水资源化利用，实现种养结合，发展生态农业。项目周边</w:t>
            </w:r>
            <w:r>
              <w:rPr>
                <w:rFonts w:hint="default" w:ascii="Times New Roman" w:hAnsi="Times New Roman" w:cs="Times New Roman"/>
                <w:snapToGrid w:val="0"/>
                <w:color w:val="auto"/>
                <w:spacing w:val="-11"/>
                <w:kern w:val="0"/>
                <w:sz w:val="21"/>
                <w:szCs w:val="21"/>
                <w:highlight w:val="none"/>
                <w:lang w:val="en-US" w:eastAsia="zh-CN" w:bidi="ar-SA"/>
              </w:rPr>
              <w:t>500</w:t>
            </w:r>
            <w:r>
              <w:rPr>
                <w:rFonts w:hint="default" w:ascii="Times New Roman" w:hAnsi="Times New Roman" w:eastAsia="宋体" w:cs="Times New Roman"/>
                <w:snapToGrid w:val="0"/>
                <w:color w:val="auto"/>
                <w:spacing w:val="-11"/>
                <w:kern w:val="0"/>
                <w:sz w:val="21"/>
                <w:szCs w:val="21"/>
                <w:highlight w:val="none"/>
                <w:lang w:val="en-US" w:eastAsia="en-US" w:bidi="ar-SA"/>
              </w:rPr>
              <w:t>米范围内无地表水体。</w:t>
            </w:r>
          </w:p>
        </w:tc>
        <w:tc>
          <w:tcPr>
            <w:tcW w:w="795" w:type="dxa"/>
            <w:tcBorders>
              <w:right w:val="nil"/>
            </w:tcBorders>
            <w:vAlign w:val="center"/>
          </w:tcPr>
          <w:p w14:paraId="72356EA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符合</w:t>
            </w:r>
          </w:p>
        </w:tc>
      </w:tr>
      <w:tr w14:paraId="39262A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699" w:type="dxa"/>
            <w:tcBorders>
              <w:left w:val="nil"/>
            </w:tcBorders>
            <w:vAlign w:val="center"/>
          </w:tcPr>
          <w:p w14:paraId="4D794A2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《畜禽养殖业污染防治技术政策》（环发[2010]151号）</w:t>
            </w:r>
          </w:p>
        </w:tc>
        <w:tc>
          <w:tcPr>
            <w:tcW w:w="3906" w:type="dxa"/>
            <w:vAlign w:val="center"/>
          </w:tcPr>
          <w:p w14:paraId="57A4CB84">
            <w:pPr>
              <w:pStyle w:val="35"/>
              <w:keepNext w:val="0"/>
              <w:keepLines w:val="0"/>
              <w:pageBreakBefore w:val="0"/>
              <w:widowControl/>
              <w:kinsoku/>
              <w:wordWrap w:val="0"/>
              <w:overflowPunct/>
              <w:topLinePunct/>
              <w:autoSpaceDE/>
              <w:autoSpaceDN/>
              <w:bidi w:val="0"/>
              <w:adjustRightInd w:val="0"/>
              <w:snapToGrid w:val="0"/>
              <w:spacing w:line="240" w:lineRule="auto"/>
              <w:ind w:left="0" w:right="144"/>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畜禽养殖污染防治应遵循以下技术原则：</w:t>
            </w:r>
            <w:r>
              <w:rPr>
                <w:rFonts w:hint="default" w:ascii="Times New Roman" w:hAnsi="Times New Roman" w:eastAsia="宋体" w:cs="Times New Roman"/>
                <w:snapToGrid w:val="0"/>
                <w:color w:val="auto"/>
                <w:spacing w:val="-11"/>
                <w:kern w:val="0"/>
                <w:sz w:val="21"/>
                <w:szCs w:val="21"/>
                <w:highlight w:val="none"/>
                <w:lang w:val="en-US" w:eastAsia="zh-CN" w:bidi="ar-SA"/>
              </w:rPr>
              <w:t>“</w:t>
            </w:r>
            <w:r>
              <w:rPr>
                <w:rFonts w:hint="default" w:ascii="Times New Roman" w:hAnsi="Times New Roman" w:eastAsia="宋体" w:cs="Times New Roman"/>
                <w:snapToGrid w:val="0"/>
                <w:color w:val="auto"/>
                <w:spacing w:val="-11"/>
                <w:kern w:val="0"/>
                <w:sz w:val="21"/>
                <w:szCs w:val="21"/>
                <w:highlight w:val="none"/>
                <w:lang w:val="en-US" w:eastAsia="en-US" w:bidi="ar-SA"/>
              </w:rPr>
              <w:t>全面规划、合理布局，贯彻执行当地人民政府颁布的畜禽养殖区划，严格遵守</w:t>
            </w:r>
            <w:r>
              <w:rPr>
                <w:rFonts w:hint="default" w:ascii="Times New Roman" w:hAnsi="Times New Roman" w:eastAsia="宋体" w:cs="Times New Roman"/>
                <w:snapToGrid w:val="0"/>
                <w:color w:val="auto"/>
                <w:spacing w:val="-11"/>
                <w:kern w:val="0"/>
                <w:sz w:val="21"/>
                <w:szCs w:val="21"/>
                <w:highlight w:val="none"/>
                <w:lang w:val="en-US" w:eastAsia="zh-CN" w:bidi="ar-SA"/>
              </w:rPr>
              <w:t>“</w:t>
            </w:r>
            <w:r>
              <w:rPr>
                <w:rFonts w:hint="default" w:ascii="Times New Roman" w:hAnsi="Times New Roman" w:eastAsia="宋体" w:cs="Times New Roman"/>
                <w:snapToGrid w:val="0"/>
                <w:color w:val="auto"/>
                <w:spacing w:val="-11"/>
                <w:kern w:val="0"/>
                <w:sz w:val="21"/>
                <w:szCs w:val="21"/>
                <w:highlight w:val="none"/>
                <w:lang w:val="en-US" w:eastAsia="en-US" w:bidi="ar-SA"/>
              </w:rPr>
              <w:t>禁养区</w:t>
            </w:r>
            <w:r>
              <w:rPr>
                <w:rFonts w:hint="default" w:ascii="Times New Roman" w:hAnsi="Times New Roman" w:eastAsia="宋体" w:cs="Times New Roman"/>
                <w:snapToGrid w:val="0"/>
                <w:color w:val="auto"/>
                <w:spacing w:val="-11"/>
                <w:kern w:val="0"/>
                <w:sz w:val="21"/>
                <w:szCs w:val="21"/>
                <w:highlight w:val="none"/>
                <w:lang w:val="en-US" w:eastAsia="zh-CN" w:bidi="ar-SA"/>
              </w:rPr>
              <w:t>”</w:t>
            </w:r>
            <w:r>
              <w:rPr>
                <w:rFonts w:hint="default" w:ascii="Times New Roman" w:hAnsi="Times New Roman" w:eastAsia="宋体" w:cs="Times New Roman"/>
                <w:snapToGrid w:val="0"/>
                <w:color w:val="auto"/>
                <w:spacing w:val="-11"/>
                <w:kern w:val="0"/>
                <w:sz w:val="21"/>
                <w:szCs w:val="21"/>
                <w:highlight w:val="none"/>
                <w:lang w:val="en-US" w:eastAsia="en-US" w:bidi="ar-SA"/>
              </w:rPr>
              <w:t>和</w:t>
            </w:r>
            <w:r>
              <w:rPr>
                <w:rFonts w:hint="default" w:ascii="Times New Roman" w:hAnsi="Times New Roman" w:eastAsia="宋体" w:cs="Times New Roman"/>
                <w:snapToGrid w:val="0"/>
                <w:color w:val="auto"/>
                <w:spacing w:val="-11"/>
                <w:kern w:val="0"/>
                <w:sz w:val="21"/>
                <w:szCs w:val="21"/>
                <w:highlight w:val="none"/>
                <w:lang w:val="en-US" w:eastAsia="zh-CN" w:bidi="ar-SA"/>
              </w:rPr>
              <w:t>“</w:t>
            </w:r>
            <w:r>
              <w:rPr>
                <w:rFonts w:hint="default" w:ascii="Times New Roman" w:hAnsi="Times New Roman" w:eastAsia="宋体" w:cs="Times New Roman"/>
                <w:snapToGrid w:val="0"/>
                <w:color w:val="auto"/>
                <w:spacing w:val="-11"/>
                <w:kern w:val="0"/>
                <w:sz w:val="21"/>
                <w:szCs w:val="21"/>
                <w:highlight w:val="none"/>
                <w:lang w:val="en-US" w:eastAsia="en-US" w:bidi="ar-SA"/>
              </w:rPr>
              <w:t>限养区</w:t>
            </w:r>
            <w:r>
              <w:rPr>
                <w:rFonts w:hint="default" w:ascii="Times New Roman" w:hAnsi="Times New Roman" w:eastAsia="宋体" w:cs="Times New Roman"/>
                <w:snapToGrid w:val="0"/>
                <w:color w:val="auto"/>
                <w:spacing w:val="-11"/>
                <w:kern w:val="0"/>
                <w:sz w:val="21"/>
                <w:szCs w:val="21"/>
                <w:highlight w:val="none"/>
                <w:lang w:val="en-US" w:eastAsia="zh-CN" w:bidi="ar-SA"/>
              </w:rPr>
              <w:t>”</w:t>
            </w:r>
            <w:r>
              <w:rPr>
                <w:rFonts w:hint="default" w:ascii="Times New Roman" w:hAnsi="Times New Roman" w:eastAsia="宋体" w:cs="Times New Roman"/>
                <w:snapToGrid w:val="0"/>
                <w:color w:val="auto"/>
                <w:spacing w:val="-11"/>
                <w:kern w:val="0"/>
                <w:sz w:val="21"/>
                <w:szCs w:val="21"/>
                <w:highlight w:val="none"/>
                <w:lang w:val="en-US" w:eastAsia="en-US" w:bidi="ar-SA"/>
              </w:rPr>
              <w:t>的规定，已有的畜禽养殖场（小区）应限期搬迁；结合当地城乡总体规划、环境保护规划和畜牧业发展规划，做好畜禽养殖污染防治规划，优化规模化畜禽养殖场（小区）及其污染防治设施的布局，避开饮用水水源地等环境敏感区域</w:t>
            </w:r>
            <w:r>
              <w:rPr>
                <w:rFonts w:hint="default" w:ascii="Times New Roman" w:hAnsi="Times New Roman" w:eastAsia="宋体" w:cs="Times New Roman"/>
                <w:snapToGrid w:val="0"/>
                <w:color w:val="auto"/>
                <w:spacing w:val="-11"/>
                <w:kern w:val="0"/>
                <w:sz w:val="21"/>
                <w:szCs w:val="21"/>
                <w:highlight w:val="none"/>
                <w:lang w:val="en-US" w:eastAsia="zh-CN" w:bidi="ar-SA"/>
              </w:rPr>
              <w:t>”</w:t>
            </w:r>
            <w:r>
              <w:rPr>
                <w:rFonts w:hint="default" w:ascii="Times New Roman" w:hAnsi="Times New Roman" w:eastAsia="宋体" w:cs="Times New Roman"/>
                <w:snapToGrid w:val="0"/>
                <w:color w:val="auto"/>
                <w:spacing w:val="-11"/>
                <w:kern w:val="0"/>
                <w:sz w:val="21"/>
                <w:szCs w:val="21"/>
                <w:highlight w:val="none"/>
                <w:lang w:val="en-US" w:eastAsia="en-US" w:bidi="ar-SA"/>
              </w:rPr>
              <w:t>。</w:t>
            </w:r>
          </w:p>
        </w:tc>
        <w:tc>
          <w:tcPr>
            <w:tcW w:w="2618" w:type="dxa"/>
            <w:vAlign w:val="center"/>
          </w:tcPr>
          <w:p w14:paraId="0B664A67">
            <w:pPr>
              <w:pStyle w:val="35"/>
              <w:keepNext w:val="0"/>
              <w:keepLines w:val="0"/>
              <w:pageBreakBefore w:val="0"/>
              <w:widowControl/>
              <w:kinsoku/>
              <w:wordWrap w:val="0"/>
              <w:overflowPunct/>
              <w:topLinePunct/>
              <w:autoSpaceDE/>
              <w:autoSpaceDN/>
              <w:bidi w:val="0"/>
              <w:adjustRightInd w:val="0"/>
              <w:snapToGrid w:val="0"/>
              <w:spacing w:line="240" w:lineRule="auto"/>
              <w:ind w:left="0" w:right="142"/>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本项目的建设布局在设计阶段进行了合理规划和布局，不涉及饮用水水源保护区等环境敏感区域；本项目不属于当地政府所划定的</w:t>
            </w:r>
            <w:r>
              <w:rPr>
                <w:rFonts w:hint="default" w:ascii="Times New Roman" w:hAnsi="Times New Roman" w:eastAsia="宋体" w:cs="Times New Roman"/>
                <w:snapToGrid w:val="0"/>
                <w:color w:val="auto"/>
                <w:spacing w:val="-11"/>
                <w:kern w:val="0"/>
                <w:sz w:val="21"/>
                <w:szCs w:val="21"/>
                <w:highlight w:val="none"/>
                <w:lang w:val="en-US" w:eastAsia="zh-CN" w:bidi="ar-SA"/>
              </w:rPr>
              <w:t>“</w:t>
            </w:r>
            <w:r>
              <w:rPr>
                <w:rFonts w:hint="default" w:ascii="Times New Roman" w:hAnsi="Times New Roman" w:eastAsia="宋体" w:cs="Times New Roman"/>
                <w:snapToGrid w:val="0"/>
                <w:color w:val="auto"/>
                <w:spacing w:val="-11"/>
                <w:kern w:val="0"/>
                <w:sz w:val="21"/>
                <w:szCs w:val="21"/>
                <w:highlight w:val="none"/>
                <w:lang w:val="en-US" w:eastAsia="en-US" w:bidi="ar-SA"/>
              </w:rPr>
              <w:t>禁养区</w:t>
            </w:r>
            <w:r>
              <w:rPr>
                <w:rFonts w:hint="default" w:ascii="Times New Roman" w:hAnsi="Times New Roman" w:eastAsia="宋体" w:cs="Times New Roman"/>
                <w:snapToGrid w:val="0"/>
                <w:color w:val="auto"/>
                <w:spacing w:val="-11"/>
                <w:kern w:val="0"/>
                <w:sz w:val="21"/>
                <w:szCs w:val="21"/>
                <w:highlight w:val="none"/>
                <w:lang w:val="en-US" w:eastAsia="zh-CN" w:bidi="ar-SA"/>
              </w:rPr>
              <w:t>”</w:t>
            </w:r>
            <w:r>
              <w:rPr>
                <w:rFonts w:hint="default" w:ascii="Times New Roman" w:hAnsi="Times New Roman" w:eastAsia="宋体" w:cs="Times New Roman"/>
                <w:snapToGrid w:val="0"/>
                <w:color w:val="auto"/>
                <w:spacing w:val="-11"/>
                <w:kern w:val="0"/>
                <w:sz w:val="21"/>
                <w:szCs w:val="21"/>
                <w:highlight w:val="none"/>
                <w:lang w:val="en-US" w:eastAsia="en-US" w:bidi="ar-SA"/>
              </w:rPr>
              <w:t>范围，因此本项目符合《畜禽养殖业污染防治技术政策》（环发[2010]151号）中的相关规定。</w:t>
            </w:r>
          </w:p>
        </w:tc>
        <w:tc>
          <w:tcPr>
            <w:tcW w:w="795" w:type="dxa"/>
            <w:tcBorders>
              <w:right w:val="nil"/>
            </w:tcBorders>
            <w:vAlign w:val="center"/>
          </w:tcPr>
          <w:p w14:paraId="23B05934">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符合</w:t>
            </w:r>
          </w:p>
        </w:tc>
      </w:tr>
      <w:tr w14:paraId="1EB266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699" w:type="dxa"/>
            <w:tcBorders>
              <w:left w:val="nil"/>
            </w:tcBorders>
            <w:vAlign w:val="center"/>
          </w:tcPr>
          <w:p w14:paraId="792CD78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《双鸭山市畜禽养殖禁养区划定方案》</w:t>
            </w:r>
          </w:p>
        </w:tc>
        <w:tc>
          <w:tcPr>
            <w:tcW w:w="3906" w:type="dxa"/>
            <w:vAlign w:val="center"/>
          </w:tcPr>
          <w:p w14:paraId="0F79E503">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《双鸭山市畜禽养殖禁养区划定方案》划定范围主要包括饮用水源地保护区、城镇居民区、自然保护区、其他确需划定的禁养区。</w:t>
            </w:r>
          </w:p>
        </w:tc>
        <w:tc>
          <w:tcPr>
            <w:tcW w:w="2618" w:type="dxa"/>
            <w:vAlign w:val="center"/>
          </w:tcPr>
          <w:p w14:paraId="4EE515B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本项目不属于当地政府划定的禁养区区域。</w:t>
            </w:r>
          </w:p>
        </w:tc>
        <w:tc>
          <w:tcPr>
            <w:tcW w:w="795" w:type="dxa"/>
            <w:tcBorders>
              <w:right w:val="nil"/>
            </w:tcBorders>
            <w:vAlign w:val="center"/>
          </w:tcPr>
          <w:p w14:paraId="72B093A4">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符合</w:t>
            </w:r>
          </w:p>
        </w:tc>
      </w:tr>
      <w:tr w14:paraId="29C81F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699" w:type="dxa"/>
            <w:tcBorders>
              <w:left w:val="nil"/>
            </w:tcBorders>
            <w:vAlign w:val="center"/>
          </w:tcPr>
          <w:p w14:paraId="51D1215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zh-CN" w:bidi="ar-SA"/>
              </w:rPr>
            </w:pPr>
            <w:r>
              <w:rPr>
                <w:rFonts w:hint="default" w:ascii="Times New Roman" w:hAnsi="Times New Roman" w:eastAsia="宋体" w:cs="Times New Roman"/>
                <w:snapToGrid w:val="0"/>
                <w:color w:val="auto"/>
                <w:spacing w:val="-11"/>
                <w:kern w:val="0"/>
                <w:sz w:val="21"/>
                <w:szCs w:val="21"/>
                <w:highlight w:val="none"/>
                <w:lang w:val="en-US" w:eastAsia="zh-CN" w:bidi="ar-SA"/>
              </w:rPr>
              <w:t>《集贤县畜禽禁养区方案》</w:t>
            </w:r>
          </w:p>
        </w:tc>
        <w:tc>
          <w:tcPr>
            <w:tcW w:w="3906" w:type="dxa"/>
            <w:vAlign w:val="center"/>
          </w:tcPr>
          <w:p w14:paraId="120E2743">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zh-CN" w:bidi="ar-SA"/>
              </w:rPr>
              <w:t>《集贤县畜禽禁养区方案》划定范围主要包括饮用水水源保护区禁养区、自然保护区禁养区、风景名胜区禁养区、城镇居民区禁养区、其他确需纳入禁养区范围进行特殊保护的区域。</w:t>
            </w:r>
          </w:p>
        </w:tc>
        <w:tc>
          <w:tcPr>
            <w:tcW w:w="2618" w:type="dxa"/>
            <w:vAlign w:val="center"/>
          </w:tcPr>
          <w:p w14:paraId="5E81412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本项目不属于当地政府划定的禁养区区域。</w:t>
            </w:r>
          </w:p>
        </w:tc>
        <w:tc>
          <w:tcPr>
            <w:tcW w:w="795" w:type="dxa"/>
            <w:tcBorders>
              <w:right w:val="nil"/>
            </w:tcBorders>
            <w:vAlign w:val="center"/>
          </w:tcPr>
          <w:p w14:paraId="6CA0ABF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11"/>
                <w:kern w:val="0"/>
                <w:sz w:val="21"/>
                <w:szCs w:val="21"/>
                <w:highlight w:val="none"/>
                <w:lang w:val="en-US" w:eastAsia="en-US" w:bidi="ar-SA"/>
              </w:rPr>
            </w:pPr>
            <w:r>
              <w:rPr>
                <w:rFonts w:hint="default" w:ascii="Times New Roman" w:hAnsi="Times New Roman" w:eastAsia="宋体" w:cs="Times New Roman"/>
                <w:snapToGrid w:val="0"/>
                <w:color w:val="auto"/>
                <w:spacing w:val="-11"/>
                <w:kern w:val="0"/>
                <w:sz w:val="21"/>
                <w:szCs w:val="21"/>
                <w:highlight w:val="none"/>
                <w:lang w:val="en-US" w:eastAsia="en-US" w:bidi="ar-SA"/>
              </w:rPr>
              <w:t>符合</w:t>
            </w:r>
          </w:p>
        </w:tc>
      </w:tr>
    </w:tbl>
    <w:p w14:paraId="62FC7BF1">
      <w:pPr>
        <w:pStyle w:val="18"/>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FF0000"/>
          <w:kern w:val="2"/>
          <w:sz w:val="24"/>
          <w:szCs w:val="24"/>
        </w:rPr>
      </w:pPr>
      <w:bookmarkStart w:id="43" w:name="_Toc10474"/>
      <w:r>
        <w:rPr>
          <w:rFonts w:hint="default" w:ascii="Times New Roman" w:hAnsi="Times New Roman" w:eastAsia="宋体" w:cs="Times New Roman"/>
          <w:b w:val="0"/>
          <w:bCs w:val="0"/>
          <w:color w:val="FF0000"/>
          <w:kern w:val="2"/>
          <w:sz w:val="24"/>
          <w:szCs w:val="24"/>
          <w:lang w:val="en-US" w:eastAsia="zh-CN" w:bidi="ar-SA"/>
        </w:rPr>
        <w:t>（2）</w:t>
      </w:r>
      <w:r>
        <w:rPr>
          <w:rFonts w:hint="default" w:ascii="Times New Roman" w:hAnsi="Times New Roman" w:eastAsia="宋体" w:cs="Times New Roman"/>
          <w:b w:val="0"/>
          <w:bCs w:val="0"/>
          <w:color w:val="FF0000"/>
          <w:kern w:val="2"/>
          <w:sz w:val="24"/>
          <w:szCs w:val="24"/>
        </w:rPr>
        <w:t>结合我国的相关法律法规及前述分析内容，本项目选址环境可行性补充分析如下：</w:t>
      </w:r>
    </w:p>
    <w:p w14:paraId="03639D86">
      <w:pPr>
        <w:keepNext w:val="0"/>
        <w:keepLines w:val="0"/>
        <w:pageBreakBefore w:val="0"/>
        <w:widowControl/>
        <w:kinsoku/>
        <w:wordWrap w:val="0"/>
        <w:overflowPunct/>
        <w:topLinePunct/>
        <w:autoSpaceDE/>
        <w:autoSpaceDN/>
        <w:bidi w:val="0"/>
        <w:adjustRightInd w:val="0"/>
        <w:snapToGrid w:val="0"/>
        <w:spacing w:line="360" w:lineRule="auto"/>
        <w:ind w:left="0" w:right="0" w:firstLine="476"/>
        <w:textAlignment w:val="baseline"/>
        <w:rPr>
          <w:rFonts w:hint="default" w:ascii="Times New Roman" w:hAnsi="Times New Roman" w:cs="Times New Roman"/>
          <w:color w:val="FF0000"/>
        </w:rPr>
      </w:pPr>
      <w:r>
        <w:rPr>
          <w:rFonts w:hint="default" w:ascii="Times New Roman" w:hAnsi="Times New Roman" w:eastAsia="宋体" w:cs="Times New Roman"/>
          <w:color w:val="FF0000"/>
          <w:spacing w:val="-11"/>
          <w:sz w:val="24"/>
          <w:szCs w:val="24"/>
          <w:highlight w:val="none"/>
          <w:lang w:val="en-US" w:eastAsia="zh-CN"/>
        </w:rPr>
        <w:t>①</w:t>
      </w:r>
      <w:r>
        <w:rPr>
          <w:rFonts w:hint="default" w:ascii="Times New Roman" w:hAnsi="Times New Roman" w:eastAsia="宋体" w:cs="Times New Roman"/>
          <w:color w:val="FF0000"/>
          <w:spacing w:val="-11"/>
          <w:sz w:val="24"/>
          <w:szCs w:val="24"/>
          <w:highlight w:val="none"/>
        </w:rPr>
        <w:t>本项目位于</w:t>
      </w:r>
      <w:r>
        <w:rPr>
          <w:rFonts w:hint="default" w:ascii="Times New Roman" w:hAnsi="Times New Roman" w:eastAsia="宋体" w:cs="Times New Roman"/>
          <w:color w:val="FF0000"/>
          <w:sz w:val="24"/>
          <w:szCs w:val="24"/>
          <w:highlight w:val="none"/>
          <w:lang w:val="en-US" w:eastAsia="zh-CN"/>
        </w:rPr>
        <w:t>双鸭山市集贤县集贤镇种畜场（康家屯），</w:t>
      </w:r>
      <w:r>
        <w:rPr>
          <w:rFonts w:hint="default" w:ascii="Times New Roman" w:hAnsi="Times New Roman" w:eastAsia="宋体" w:cs="Times New Roman"/>
          <w:color w:val="FF0000"/>
          <w:spacing w:val="-11"/>
          <w:sz w:val="24"/>
          <w:szCs w:val="24"/>
          <w:highlight w:val="none"/>
        </w:rPr>
        <w:t>本项目周边东侧、南侧</w:t>
      </w:r>
      <w:r>
        <w:rPr>
          <w:rFonts w:hint="default" w:ascii="Times New Roman" w:hAnsi="Times New Roman" w:eastAsia="宋体" w:cs="Times New Roman"/>
          <w:color w:val="FF0000"/>
          <w:spacing w:val="-11"/>
          <w:sz w:val="24"/>
          <w:szCs w:val="24"/>
          <w:highlight w:val="none"/>
          <w:lang w:eastAsia="zh-CN"/>
        </w:rPr>
        <w:t>、</w:t>
      </w:r>
      <w:r>
        <w:rPr>
          <w:rFonts w:hint="default" w:ascii="Times New Roman" w:hAnsi="Times New Roman" w:eastAsia="宋体" w:cs="Times New Roman"/>
          <w:color w:val="FF0000"/>
          <w:spacing w:val="-11"/>
          <w:sz w:val="24"/>
          <w:szCs w:val="24"/>
          <w:highlight w:val="none"/>
        </w:rPr>
        <w:t>西侧、北侧</w:t>
      </w:r>
      <w:r>
        <w:rPr>
          <w:rFonts w:hint="default" w:ascii="Times New Roman" w:hAnsi="Times New Roman" w:eastAsia="宋体" w:cs="Times New Roman"/>
          <w:color w:val="FF0000"/>
          <w:spacing w:val="-11"/>
          <w:sz w:val="24"/>
          <w:szCs w:val="24"/>
          <w:highlight w:val="none"/>
          <w:lang w:val="en-US" w:eastAsia="zh-CN"/>
        </w:rPr>
        <w:t>均</w:t>
      </w:r>
      <w:r>
        <w:rPr>
          <w:rFonts w:hint="default" w:ascii="Times New Roman" w:hAnsi="Times New Roman" w:eastAsia="宋体" w:cs="Times New Roman"/>
          <w:color w:val="FF0000"/>
          <w:spacing w:val="-11"/>
          <w:sz w:val="24"/>
          <w:szCs w:val="24"/>
          <w:highlight w:val="none"/>
        </w:rPr>
        <w:t>为耕地。</w:t>
      </w:r>
      <w:r>
        <w:rPr>
          <w:rFonts w:hint="default" w:ascii="Times New Roman" w:hAnsi="Times New Roman" w:eastAsia="宋体" w:cs="Times New Roman"/>
          <w:color w:val="FF0000"/>
          <w:spacing w:val="-3"/>
          <w:sz w:val="24"/>
          <w:szCs w:val="24"/>
          <w:highlight w:val="none"/>
        </w:rPr>
        <w:t>项目红线范围内的土地性质分别为设施农用地</w:t>
      </w:r>
      <w:r>
        <w:rPr>
          <w:rFonts w:hint="default" w:ascii="Times New Roman" w:hAnsi="Times New Roman" w:eastAsia="宋体" w:cs="Times New Roman"/>
          <w:color w:val="FF0000"/>
          <w:spacing w:val="-3"/>
          <w:sz w:val="24"/>
          <w:szCs w:val="24"/>
          <w:highlight w:val="none"/>
          <w:lang w:eastAsia="zh-CN"/>
        </w:rPr>
        <w:t>、</w:t>
      </w:r>
      <w:r>
        <w:rPr>
          <w:rFonts w:hint="default" w:ascii="Times New Roman" w:hAnsi="Times New Roman" w:eastAsia="宋体" w:cs="Times New Roman"/>
          <w:color w:val="FF0000"/>
          <w:spacing w:val="-3"/>
          <w:sz w:val="24"/>
          <w:szCs w:val="24"/>
          <w:highlight w:val="none"/>
        </w:rPr>
        <w:t>农村道路，本项目建设不占用基本农田及林地，土地性质不改变。</w:t>
      </w:r>
    </w:p>
    <w:p w14:paraId="34D30B07">
      <w:pPr>
        <w:keepNext w:val="0"/>
        <w:keepLines w:val="0"/>
        <w:pageBreakBefore w:val="0"/>
        <w:widowControl/>
        <w:kinsoku/>
        <w:wordWrap w:val="0"/>
        <w:overflowPunct/>
        <w:topLinePunct/>
        <w:autoSpaceDE/>
        <w:autoSpaceDN/>
        <w:bidi w:val="0"/>
        <w:adjustRightInd w:val="0"/>
        <w:snapToGrid w:val="0"/>
        <w:spacing w:line="360" w:lineRule="auto"/>
        <w:ind w:left="0" w:right="0" w:firstLine="476"/>
        <w:textAlignment w:val="baseline"/>
        <w:rPr>
          <w:rFonts w:hint="default" w:ascii="Times New Roman" w:hAnsi="Times New Roman" w:eastAsia="宋体" w:cs="Times New Roman"/>
          <w:color w:val="FF0000"/>
          <w:spacing w:val="-3"/>
          <w:sz w:val="24"/>
          <w:szCs w:val="24"/>
          <w:highlight w:val="none"/>
        </w:rPr>
      </w:pPr>
      <w:r>
        <w:rPr>
          <w:rFonts w:hint="default" w:ascii="Times New Roman" w:hAnsi="Times New Roman" w:eastAsia="宋体" w:cs="Times New Roman"/>
          <w:color w:val="FF0000"/>
          <w:spacing w:val="-11"/>
          <w:sz w:val="24"/>
          <w:szCs w:val="24"/>
          <w:highlight w:val="none"/>
          <w:lang w:val="en-US" w:eastAsia="zh-CN"/>
        </w:rPr>
        <w:t>②</w:t>
      </w:r>
      <w:r>
        <w:rPr>
          <w:rFonts w:hint="default" w:ascii="Times New Roman" w:hAnsi="Times New Roman" w:eastAsia="宋体" w:cs="Times New Roman"/>
          <w:color w:val="FF0000"/>
          <w:spacing w:val="-11"/>
          <w:sz w:val="24"/>
          <w:szCs w:val="24"/>
          <w:highlight w:val="none"/>
        </w:rPr>
        <w:t>拟建厂址周围环境良好，路网工程、供电工程都有保证，可满足本项目建设</w:t>
      </w:r>
      <w:r>
        <w:rPr>
          <w:rFonts w:hint="default" w:ascii="Times New Roman" w:hAnsi="Times New Roman" w:eastAsia="宋体" w:cs="Times New Roman"/>
          <w:color w:val="FF0000"/>
          <w:spacing w:val="-3"/>
          <w:sz w:val="24"/>
          <w:szCs w:val="24"/>
          <w:highlight w:val="none"/>
        </w:rPr>
        <w:t>需要。</w:t>
      </w:r>
    </w:p>
    <w:p w14:paraId="1A20924B">
      <w:pPr>
        <w:keepNext w:val="0"/>
        <w:keepLines w:val="0"/>
        <w:pageBreakBefore w:val="0"/>
        <w:widowControl/>
        <w:kinsoku/>
        <w:wordWrap w:val="0"/>
        <w:overflowPunct/>
        <w:topLinePunct/>
        <w:autoSpaceDE/>
        <w:autoSpaceDN/>
        <w:bidi w:val="0"/>
        <w:adjustRightInd w:val="0"/>
        <w:snapToGrid w:val="0"/>
        <w:spacing w:line="360" w:lineRule="auto"/>
        <w:ind w:left="0" w:right="0" w:firstLine="476"/>
        <w:textAlignment w:val="baseline"/>
        <w:rPr>
          <w:rFonts w:hint="default" w:ascii="Times New Roman" w:hAnsi="Times New Roman" w:eastAsia="宋体" w:cs="Times New Roman"/>
          <w:color w:val="FF0000"/>
          <w:spacing w:val="-3"/>
          <w:sz w:val="24"/>
          <w:szCs w:val="24"/>
          <w:highlight w:val="none"/>
          <w:lang w:eastAsia="zh-CN"/>
        </w:rPr>
      </w:pPr>
      <w:r>
        <w:rPr>
          <w:rFonts w:hint="default" w:ascii="Times New Roman" w:hAnsi="Times New Roman" w:eastAsia="宋体" w:cs="Times New Roman"/>
          <w:color w:val="FF0000"/>
          <w:spacing w:val="-3"/>
          <w:sz w:val="24"/>
          <w:szCs w:val="24"/>
          <w:highlight w:val="none"/>
          <w:lang w:val="en-US" w:eastAsia="zh-CN"/>
        </w:rPr>
        <w:t>③</w:t>
      </w:r>
      <w:r>
        <w:rPr>
          <w:rFonts w:hint="default" w:ascii="Times New Roman" w:hAnsi="Times New Roman" w:eastAsia="宋体" w:cs="Times New Roman"/>
          <w:color w:val="FF0000"/>
          <w:spacing w:val="-3"/>
          <w:sz w:val="24"/>
          <w:szCs w:val="24"/>
          <w:highlight w:val="none"/>
        </w:rPr>
        <w:t>从地质条件分析，本项目所在地地质条件较好，崩塌、滑坡、泥石流、地面塌陷、地裂缝、地面沉降等地质灾害的发生可能性不大</w:t>
      </w:r>
      <w:r>
        <w:rPr>
          <w:rFonts w:hint="default" w:ascii="Times New Roman" w:hAnsi="Times New Roman" w:eastAsia="宋体" w:cs="Times New Roman"/>
          <w:color w:val="FF0000"/>
          <w:spacing w:val="-3"/>
          <w:sz w:val="24"/>
          <w:szCs w:val="24"/>
          <w:highlight w:val="none"/>
          <w:lang w:eastAsia="zh-CN"/>
        </w:rPr>
        <w:t>。</w:t>
      </w:r>
    </w:p>
    <w:p w14:paraId="45C78030">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FF0000"/>
          <w:kern w:val="2"/>
          <w:sz w:val="24"/>
          <w:szCs w:val="24"/>
        </w:rPr>
      </w:pPr>
      <w:r>
        <w:rPr>
          <w:rFonts w:hint="default" w:ascii="Times New Roman" w:hAnsi="Times New Roman" w:cs="Times New Roman"/>
          <w:color w:val="FF0000"/>
          <w:lang w:val="en-US" w:eastAsia="zh-CN"/>
        </w:rPr>
        <w:t>④</w:t>
      </w:r>
      <w:r>
        <w:rPr>
          <w:rFonts w:hint="default" w:ascii="Times New Roman" w:hAnsi="Times New Roman" w:eastAsia="宋体" w:cs="Times New Roman"/>
          <w:b w:val="0"/>
          <w:bCs w:val="0"/>
          <w:color w:val="FF0000"/>
          <w:kern w:val="2"/>
          <w:sz w:val="24"/>
          <w:szCs w:val="24"/>
        </w:rPr>
        <w:t>从卫生条件分析，该场址地势平坦、向阳、通风条件好，远离主干公路、铁路等交通要道，有利于防疫卫生，减少疾病感染机会，减少汽车、拖拉机等废气、噪声及灰尘对</w:t>
      </w:r>
      <w:r>
        <w:rPr>
          <w:rFonts w:hint="default" w:ascii="Times New Roman" w:hAnsi="Times New Roman" w:eastAsia="宋体" w:cs="Times New Roman"/>
          <w:b w:val="0"/>
          <w:bCs w:val="0"/>
          <w:color w:val="FF0000"/>
          <w:kern w:val="2"/>
          <w:sz w:val="24"/>
          <w:szCs w:val="24"/>
          <w:lang w:val="en-US" w:eastAsia="zh-CN"/>
        </w:rPr>
        <w:t>牛</w:t>
      </w:r>
      <w:r>
        <w:rPr>
          <w:rFonts w:hint="default" w:ascii="Times New Roman" w:hAnsi="Times New Roman" w:eastAsia="宋体" w:cs="Times New Roman"/>
          <w:b w:val="0"/>
          <w:bCs w:val="0"/>
          <w:color w:val="FF0000"/>
          <w:kern w:val="2"/>
          <w:sz w:val="24"/>
          <w:szCs w:val="24"/>
        </w:rPr>
        <w:t>的侵扰。</w:t>
      </w:r>
    </w:p>
    <w:p w14:paraId="0D5F8109">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FF0000"/>
          <w:kern w:val="2"/>
          <w:sz w:val="24"/>
          <w:szCs w:val="24"/>
        </w:rPr>
      </w:pPr>
      <w:r>
        <w:rPr>
          <w:rFonts w:hint="default" w:ascii="Times New Roman" w:hAnsi="Times New Roman" w:eastAsia="宋体" w:cs="Times New Roman"/>
          <w:b w:val="0"/>
          <w:bCs w:val="0"/>
          <w:color w:val="FF0000"/>
          <w:kern w:val="2"/>
          <w:sz w:val="24"/>
          <w:szCs w:val="24"/>
        </w:rPr>
        <w:t>综上所述，从环境保护角度分析，本项目选址合理。</w:t>
      </w:r>
    </w:p>
    <w:p w14:paraId="37E36AE9">
      <w:pPr>
        <w:pStyle w:val="18"/>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FF0000"/>
          <w:kern w:val="2"/>
          <w:sz w:val="24"/>
          <w:szCs w:val="24"/>
          <w:lang w:val="en-US" w:eastAsia="zh-CN" w:bidi="ar-SA"/>
        </w:rPr>
      </w:pPr>
      <w:r>
        <w:rPr>
          <w:rFonts w:hint="default" w:ascii="Times New Roman" w:hAnsi="Times New Roman" w:eastAsia="宋体" w:cs="Times New Roman"/>
          <w:b w:val="0"/>
          <w:bCs w:val="0"/>
          <w:color w:val="FF0000"/>
          <w:kern w:val="2"/>
          <w:sz w:val="24"/>
          <w:szCs w:val="24"/>
          <w:lang w:val="en-US" w:eastAsia="zh-CN" w:bidi="ar-SA"/>
        </w:rPr>
        <w:t>（3）通过卫星图叠加禁养区分布图（附图8）可知，集贤县禁养区分为水源地保护区禁养区、居民区禁养区、风景名胜区禁养区、自然保护区禁养区、河流禁养区。本项目不处于上述禁养区内，位于集贤县禁养区外。</w:t>
      </w:r>
    </w:p>
    <w:p w14:paraId="74DAE433">
      <w:pPr>
        <w:pStyle w:val="40"/>
        <w:keepNext w:val="0"/>
        <w:keepLines w:val="0"/>
        <w:pageBreakBefore w:val="0"/>
        <w:widowControl/>
        <w:overflowPunct/>
        <w:bidi w:val="0"/>
        <w:spacing w:line="360" w:lineRule="auto"/>
        <w:ind w:firstLine="480" w:firstLineChars="200"/>
        <w:textAlignment w:val="baseline"/>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b w:val="0"/>
          <w:bCs w:val="0"/>
          <w:snapToGrid/>
          <w:color w:val="FF0000"/>
          <w:kern w:val="2"/>
          <w:sz w:val="24"/>
          <w:szCs w:val="24"/>
          <w:lang w:val="en-US" w:eastAsia="zh-CN" w:bidi="ar-SA"/>
        </w:rPr>
        <w:t>（4）</w:t>
      </w:r>
      <w:r>
        <w:rPr>
          <w:rFonts w:hint="default" w:ascii="Times New Roman" w:hAnsi="Times New Roman" w:eastAsia="宋体" w:cs="Times New Roman"/>
          <w:color w:val="FF0000"/>
          <w:sz w:val="24"/>
          <w:szCs w:val="24"/>
          <w:highlight w:val="none"/>
          <w:lang w:val="en-US" w:eastAsia="zh-CN"/>
        </w:rPr>
        <w:t>双鸭山市永胜农机合作社肉牛养殖基地项目实际建设用地位于集贤县种畜场（康家屯）（现集贤县牧源牧业有限公司）南侧720米处。集贤县种畜场”为历史沿袭形成的村屯名称（其实际土地性质为城镇住宅用地，用于居民居住及配套生活设施）。该名称并非表示当前从事种畜饲养、繁殖或动物精液、卵、胚胎采集等生产活动的专用场所。现该村屯民间俗称亦为“康家屯”； 本项目（肉牛养殖基地）1000米范围内未规划任何用于种畜饲养、繁殖等活动的专用场所，且周边无同类竞争性或冲突性农业设施规划。（证明见附件）</w:t>
      </w:r>
    </w:p>
    <w:p w14:paraId="7EF5122D">
      <w:pPr>
        <w:keepNext w:val="0"/>
        <w:keepLines w:val="0"/>
        <w:pageBreakBefore w:val="0"/>
        <w:kinsoku/>
        <w:wordWrap w:val="0"/>
        <w:overflowPunct/>
        <w:topLinePunct/>
        <w:autoSpaceDE/>
        <w:autoSpaceDN/>
        <w:bidi w:val="0"/>
        <w:adjustRightInd w:val="0"/>
        <w:snapToGrid w:val="0"/>
        <w:spacing w:before="212" w:line="232" w:lineRule="auto"/>
        <w:ind w:left="20"/>
        <w:textAlignment w:val="baseline"/>
        <w:outlineLvl w:val="1"/>
        <w:rPr>
          <w:rFonts w:hint="default" w:ascii="Times New Roman" w:hAnsi="Times New Roman" w:eastAsia="宋体" w:cs="Times New Roman"/>
          <w:color w:val="auto"/>
          <w:sz w:val="28"/>
          <w:szCs w:val="28"/>
          <w:highlight w:val="none"/>
          <w:lang w:val="en-US" w:eastAsia="zh-CN"/>
        </w:rPr>
      </w:pPr>
      <w:bookmarkStart w:id="44" w:name="_Toc2861"/>
      <w:r>
        <w:rPr>
          <w:rFonts w:hint="default" w:ascii="Times New Roman" w:hAnsi="Times New Roman" w:eastAsia="Times New Roman" w:cs="Times New Roman"/>
          <w:b/>
          <w:bCs/>
          <w:color w:val="auto"/>
          <w:spacing w:val="-3"/>
          <w:sz w:val="28"/>
          <w:szCs w:val="28"/>
          <w:highlight w:val="none"/>
        </w:rPr>
        <w:t>1.</w:t>
      </w:r>
      <w:r>
        <w:rPr>
          <w:rFonts w:hint="default" w:ascii="Times New Roman" w:hAnsi="Times New Roman" w:eastAsia="宋体" w:cs="Times New Roman"/>
          <w:b/>
          <w:bCs/>
          <w:color w:val="auto"/>
          <w:spacing w:val="-3"/>
          <w:sz w:val="28"/>
          <w:szCs w:val="28"/>
          <w:highlight w:val="none"/>
          <w:lang w:val="en-US" w:eastAsia="zh-CN"/>
        </w:rPr>
        <w:t>5</w:t>
      </w:r>
      <w:r>
        <w:rPr>
          <w:rFonts w:hint="default" w:ascii="Times New Roman" w:hAnsi="Times New Roman" w:eastAsia="宋体" w:cs="Times New Roman"/>
          <w:b/>
          <w:bCs/>
          <w:color w:val="auto"/>
          <w:spacing w:val="-3"/>
          <w:sz w:val="28"/>
          <w:szCs w:val="28"/>
          <w:highlight w:val="none"/>
        </w:rPr>
        <w:t>主要环境问题及评价重点</w:t>
      </w:r>
      <w:bookmarkEnd w:id="43"/>
      <w:bookmarkEnd w:id="44"/>
    </w:p>
    <w:p w14:paraId="3E63DCD9">
      <w:pPr>
        <w:keepNext w:val="0"/>
        <w:keepLines w:val="0"/>
        <w:pageBreakBefore w:val="0"/>
        <w:widowControl/>
        <w:kinsoku/>
        <w:wordWrap w:val="0"/>
        <w:overflowPunct/>
        <w:topLinePunct/>
        <w:autoSpaceDE/>
        <w:autoSpaceDN/>
        <w:bidi w:val="0"/>
        <w:adjustRightInd w:val="0"/>
        <w:snapToGrid w:val="0"/>
        <w:spacing w:before="53" w:line="360" w:lineRule="auto"/>
        <w:ind w:left="17"/>
        <w:textAlignment w:val="baseline"/>
        <w:outlineLvl w:val="2"/>
        <w:rPr>
          <w:rFonts w:hint="default" w:ascii="Times New Roman" w:hAnsi="Times New Roman" w:eastAsia="宋体" w:cs="Times New Roman"/>
          <w:b/>
          <w:bCs/>
          <w:color w:val="auto"/>
          <w:spacing w:val="-3"/>
          <w:sz w:val="24"/>
          <w:szCs w:val="24"/>
          <w:highlight w:val="none"/>
        </w:rPr>
      </w:pPr>
      <w:bookmarkStart w:id="45" w:name="_Toc3874"/>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宋体" w:cs="Times New Roman"/>
          <w:b/>
          <w:bCs/>
          <w:color w:val="auto"/>
          <w:spacing w:val="-3"/>
          <w:sz w:val="24"/>
          <w:szCs w:val="24"/>
          <w:highlight w:val="none"/>
          <w:lang w:val="en-US" w:eastAsia="zh-CN"/>
        </w:rPr>
        <w:t>5</w:t>
      </w:r>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宋体" w:cs="Times New Roman"/>
          <w:b/>
          <w:bCs/>
          <w:color w:val="auto"/>
          <w:spacing w:val="-3"/>
          <w:sz w:val="24"/>
          <w:szCs w:val="24"/>
          <w:highlight w:val="none"/>
        </w:rPr>
        <w:t>施工期主要关注环境问题</w:t>
      </w:r>
      <w:bookmarkEnd w:id="45"/>
    </w:p>
    <w:p w14:paraId="6C7A6E2E">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pacing w:val="-5"/>
          <w:sz w:val="24"/>
          <w:szCs w:val="24"/>
          <w:highlight w:val="none"/>
          <w:lang w:val="en-US" w:eastAsia="zh-CN"/>
        </w:rPr>
      </w:pPr>
      <w:r>
        <w:rPr>
          <w:rFonts w:hint="default" w:ascii="Times New Roman" w:hAnsi="Times New Roman" w:eastAsia="宋体" w:cs="Times New Roman"/>
          <w:color w:val="auto"/>
          <w:spacing w:val="-5"/>
          <w:sz w:val="24"/>
          <w:szCs w:val="24"/>
          <w:highlight w:val="none"/>
          <w:lang w:val="en-US" w:eastAsia="zh-CN"/>
        </w:rPr>
        <w:t>①大气：包括施工机械、运输车辆尾气，施工环节产生的扬尘对周边大气环境的污染影响；</w:t>
      </w:r>
    </w:p>
    <w:p w14:paraId="1EFA4458">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pacing w:val="-5"/>
          <w:sz w:val="24"/>
          <w:szCs w:val="24"/>
          <w:highlight w:val="none"/>
          <w:lang w:val="en-US" w:eastAsia="zh-CN"/>
        </w:rPr>
      </w:pPr>
      <w:r>
        <w:rPr>
          <w:rFonts w:hint="default" w:ascii="Times New Roman" w:hAnsi="Times New Roman" w:eastAsia="宋体" w:cs="Times New Roman"/>
          <w:color w:val="auto"/>
          <w:spacing w:val="-5"/>
          <w:sz w:val="24"/>
          <w:szCs w:val="24"/>
          <w:highlight w:val="none"/>
          <w:lang w:val="en-US" w:eastAsia="zh-CN"/>
        </w:rPr>
        <w:t>②废水：包括施工废水和生活污水对周边水体的污染影响；</w:t>
      </w:r>
    </w:p>
    <w:p w14:paraId="74519CA3">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pacing w:val="-5"/>
          <w:sz w:val="24"/>
          <w:szCs w:val="24"/>
          <w:highlight w:val="none"/>
          <w:lang w:val="en-US" w:eastAsia="zh-CN"/>
        </w:rPr>
      </w:pPr>
      <w:r>
        <w:rPr>
          <w:rFonts w:hint="default" w:ascii="Times New Roman" w:hAnsi="Times New Roman" w:eastAsia="宋体" w:cs="Times New Roman"/>
          <w:color w:val="auto"/>
          <w:spacing w:val="-5"/>
          <w:sz w:val="24"/>
          <w:szCs w:val="24"/>
          <w:highlight w:val="none"/>
          <w:lang w:val="en-US" w:eastAsia="zh-CN"/>
        </w:rPr>
        <w:t>③噪声：包括施工设施及运输车辆产生的噪声对周边声环境的污染影响；</w:t>
      </w:r>
    </w:p>
    <w:p w14:paraId="182F843D">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pacing w:val="-5"/>
          <w:sz w:val="24"/>
          <w:szCs w:val="24"/>
          <w:highlight w:val="none"/>
          <w:lang w:val="en-US" w:eastAsia="zh-CN"/>
        </w:rPr>
      </w:pPr>
      <w:r>
        <w:rPr>
          <w:rFonts w:hint="default" w:ascii="Times New Roman" w:hAnsi="Times New Roman" w:eastAsia="宋体" w:cs="Times New Roman"/>
          <w:color w:val="auto"/>
          <w:spacing w:val="-5"/>
          <w:sz w:val="24"/>
          <w:szCs w:val="24"/>
          <w:highlight w:val="none"/>
          <w:lang w:val="en-US" w:eastAsia="zh-CN"/>
        </w:rPr>
        <w:t>④固体废物：包括</w:t>
      </w:r>
      <w:r>
        <w:rPr>
          <w:rFonts w:hint="default" w:ascii="Times New Roman" w:hAnsi="Times New Roman" w:eastAsia="宋体" w:cs="Times New Roman"/>
          <w:color w:val="auto"/>
          <w:spacing w:val="-5"/>
          <w:sz w:val="24"/>
          <w:szCs w:val="24"/>
          <w:highlight w:val="none"/>
          <w:lang w:val="zh-CN" w:eastAsia="zh-CN"/>
        </w:rPr>
        <w:t>建筑垃圾和生活垃圾</w:t>
      </w:r>
      <w:r>
        <w:rPr>
          <w:rFonts w:hint="default" w:ascii="Times New Roman" w:hAnsi="Times New Roman" w:eastAsia="宋体" w:cs="Times New Roman"/>
          <w:color w:val="auto"/>
          <w:spacing w:val="-5"/>
          <w:sz w:val="24"/>
          <w:szCs w:val="24"/>
          <w:highlight w:val="none"/>
          <w:lang w:val="en-US" w:eastAsia="zh-CN"/>
        </w:rPr>
        <w:t>产生的污染影响；</w:t>
      </w:r>
    </w:p>
    <w:p w14:paraId="72997F64">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pacing w:val="-5"/>
          <w:sz w:val="24"/>
          <w:szCs w:val="24"/>
          <w:highlight w:val="none"/>
          <w:lang w:val="en-US" w:eastAsia="zh-CN"/>
        </w:rPr>
      </w:pPr>
      <w:r>
        <w:rPr>
          <w:rFonts w:hint="default" w:ascii="Times New Roman" w:hAnsi="Times New Roman" w:eastAsia="宋体" w:cs="Times New Roman"/>
          <w:color w:val="auto"/>
          <w:spacing w:val="-5"/>
          <w:sz w:val="24"/>
          <w:szCs w:val="24"/>
          <w:highlight w:val="none"/>
          <w:lang w:val="en-US" w:eastAsia="zh-CN"/>
        </w:rPr>
        <w:t>⑤生态环境：包括施工过程中土方开挖产生的水土流失以及施工期过程中造成的植被破坏、地表扰动、水土流失等生态影响。</w:t>
      </w:r>
    </w:p>
    <w:p w14:paraId="184C3677">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2"/>
        <w:rPr>
          <w:rFonts w:hint="default" w:ascii="Times New Roman" w:hAnsi="Times New Roman" w:eastAsia="Times New Roman" w:cs="Times New Roman"/>
          <w:b/>
          <w:bCs/>
          <w:color w:val="auto"/>
          <w:spacing w:val="-3"/>
          <w:sz w:val="24"/>
          <w:szCs w:val="24"/>
          <w:highlight w:val="none"/>
        </w:rPr>
      </w:pPr>
      <w:bookmarkStart w:id="46" w:name="_Toc32586"/>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Times New Roman" w:cs="Times New Roman"/>
          <w:b/>
          <w:bCs/>
          <w:color w:val="auto"/>
          <w:spacing w:val="-3"/>
          <w:sz w:val="24"/>
          <w:szCs w:val="24"/>
          <w:highlight w:val="none"/>
          <w:lang w:val="en-US" w:eastAsia="zh-CN"/>
        </w:rPr>
        <w:t>5</w:t>
      </w:r>
      <w:r>
        <w:rPr>
          <w:rFonts w:hint="default" w:ascii="Times New Roman" w:hAnsi="Times New Roman" w:eastAsia="Times New Roman" w:cs="Times New Roman"/>
          <w:b/>
          <w:bCs/>
          <w:color w:val="auto"/>
          <w:spacing w:val="-3"/>
          <w:sz w:val="24"/>
          <w:szCs w:val="24"/>
          <w:highlight w:val="none"/>
        </w:rPr>
        <w:t>.2营运期主要关注环境问题</w:t>
      </w:r>
      <w:bookmarkEnd w:id="46"/>
    </w:p>
    <w:p w14:paraId="717A71F8">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b w:val="0"/>
          <w:bCs w:val="0"/>
          <w:color w:val="FF0000"/>
          <w:sz w:val="24"/>
          <w:szCs w:val="24"/>
          <w:highlight w:val="none"/>
        </w:rPr>
      </w:pPr>
      <w:r>
        <w:rPr>
          <w:rFonts w:hint="default" w:ascii="Times New Roman" w:hAnsi="Times New Roman" w:eastAsia="宋体" w:cs="Times New Roman"/>
          <w:b w:val="0"/>
          <w:bCs w:val="0"/>
          <w:color w:val="FF0000"/>
          <w:spacing w:val="-2"/>
          <w:sz w:val="24"/>
          <w:szCs w:val="24"/>
          <w:highlight w:val="none"/>
          <w:lang w:eastAsia="zh-CN"/>
        </w:rPr>
        <w:t>（</w:t>
      </w:r>
      <w:r>
        <w:rPr>
          <w:rFonts w:hint="default" w:ascii="Times New Roman" w:hAnsi="Times New Roman" w:eastAsia="宋体" w:cs="Times New Roman"/>
          <w:b w:val="0"/>
          <w:bCs w:val="0"/>
          <w:color w:val="FF0000"/>
          <w:spacing w:val="-2"/>
          <w:sz w:val="24"/>
          <w:szCs w:val="24"/>
          <w:highlight w:val="none"/>
          <w:lang w:val="en-US" w:eastAsia="zh-CN"/>
        </w:rPr>
        <w:t>1</w:t>
      </w:r>
      <w:r>
        <w:rPr>
          <w:rFonts w:hint="default" w:ascii="Times New Roman" w:hAnsi="Times New Roman" w:eastAsia="宋体" w:cs="Times New Roman"/>
          <w:b w:val="0"/>
          <w:bCs w:val="0"/>
          <w:color w:val="FF0000"/>
          <w:spacing w:val="-2"/>
          <w:sz w:val="24"/>
          <w:szCs w:val="24"/>
          <w:highlight w:val="none"/>
          <w:lang w:eastAsia="zh-CN"/>
        </w:rPr>
        <w:t>）</w:t>
      </w:r>
      <w:r>
        <w:rPr>
          <w:rFonts w:hint="default" w:ascii="Times New Roman" w:hAnsi="Times New Roman" w:eastAsia="宋体" w:cs="Times New Roman"/>
          <w:b w:val="0"/>
          <w:bCs w:val="0"/>
          <w:color w:val="FF0000"/>
          <w:spacing w:val="-2"/>
          <w:sz w:val="24"/>
          <w:szCs w:val="24"/>
          <w:highlight w:val="none"/>
        </w:rPr>
        <w:t>废气</w:t>
      </w:r>
    </w:p>
    <w:p w14:paraId="1060E2EC">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pacing w:val="-5"/>
          <w:sz w:val="24"/>
          <w:szCs w:val="24"/>
          <w:highlight w:val="none"/>
        </w:rPr>
        <w:t>本项目建设完成后产生废气主要为</w:t>
      </w:r>
      <w:r>
        <w:rPr>
          <w:rFonts w:hint="default" w:ascii="Times New Roman" w:hAnsi="Times New Roman" w:eastAsia="宋体" w:cs="Times New Roman"/>
          <w:color w:val="FF0000"/>
          <w:spacing w:val="-5"/>
          <w:sz w:val="24"/>
          <w:szCs w:val="24"/>
          <w:highlight w:val="none"/>
          <w:lang w:val="en-US" w:eastAsia="zh-CN"/>
        </w:rPr>
        <w:t>养殖区</w:t>
      </w:r>
      <w:r>
        <w:rPr>
          <w:rFonts w:hint="default" w:ascii="Times New Roman" w:hAnsi="Times New Roman" w:eastAsia="宋体" w:cs="Times New Roman"/>
          <w:color w:val="FF0000"/>
          <w:spacing w:val="-5"/>
          <w:sz w:val="24"/>
          <w:szCs w:val="24"/>
          <w:highlight w:val="none"/>
        </w:rPr>
        <w:t>、</w:t>
      </w:r>
      <w:r>
        <w:rPr>
          <w:rFonts w:hint="default" w:ascii="Times New Roman" w:hAnsi="Times New Roman" w:eastAsia="宋体" w:cs="Times New Roman"/>
          <w:color w:val="FF0000"/>
          <w:spacing w:val="-5"/>
          <w:sz w:val="24"/>
          <w:szCs w:val="24"/>
          <w:highlight w:val="none"/>
          <w:lang w:val="en-US" w:eastAsia="zh-CN"/>
        </w:rPr>
        <w:t>粪污储存间</w:t>
      </w:r>
      <w:r>
        <w:rPr>
          <w:rFonts w:hint="default" w:ascii="Times New Roman" w:hAnsi="Times New Roman" w:eastAsia="宋体" w:cs="Times New Roman"/>
          <w:color w:val="FF0000"/>
          <w:spacing w:val="-5"/>
          <w:sz w:val="24"/>
          <w:szCs w:val="24"/>
          <w:highlight w:val="none"/>
        </w:rPr>
        <w:t>产生的恶臭废气等。</w:t>
      </w:r>
    </w:p>
    <w:p w14:paraId="61E32241">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b w:val="0"/>
          <w:bCs w:val="0"/>
          <w:color w:val="FF0000"/>
          <w:spacing w:val="-2"/>
          <w:sz w:val="24"/>
          <w:szCs w:val="24"/>
          <w:highlight w:val="none"/>
          <w:lang w:eastAsia="zh-CN"/>
        </w:rPr>
      </w:pPr>
      <w:r>
        <w:rPr>
          <w:rFonts w:hint="default" w:ascii="Times New Roman" w:hAnsi="Times New Roman" w:eastAsia="宋体" w:cs="Times New Roman"/>
          <w:b w:val="0"/>
          <w:bCs w:val="0"/>
          <w:color w:val="FF0000"/>
          <w:spacing w:val="-2"/>
          <w:sz w:val="24"/>
          <w:szCs w:val="24"/>
          <w:highlight w:val="none"/>
          <w:lang w:eastAsia="zh-CN"/>
        </w:rPr>
        <w:t>（</w:t>
      </w:r>
      <w:r>
        <w:rPr>
          <w:rFonts w:hint="default" w:ascii="Times New Roman" w:hAnsi="Times New Roman" w:eastAsia="宋体" w:cs="Times New Roman"/>
          <w:b w:val="0"/>
          <w:bCs w:val="0"/>
          <w:color w:val="FF0000"/>
          <w:spacing w:val="-2"/>
          <w:sz w:val="24"/>
          <w:szCs w:val="24"/>
          <w:highlight w:val="none"/>
          <w:lang w:val="en-US" w:eastAsia="zh-CN"/>
        </w:rPr>
        <w:t>2</w:t>
      </w:r>
      <w:r>
        <w:rPr>
          <w:rFonts w:hint="default" w:ascii="Times New Roman" w:hAnsi="Times New Roman" w:eastAsia="宋体" w:cs="Times New Roman"/>
          <w:b w:val="0"/>
          <w:bCs w:val="0"/>
          <w:color w:val="FF0000"/>
          <w:spacing w:val="-2"/>
          <w:sz w:val="24"/>
          <w:szCs w:val="24"/>
          <w:highlight w:val="none"/>
          <w:lang w:eastAsia="zh-CN"/>
        </w:rPr>
        <w:t>）废水</w:t>
      </w:r>
    </w:p>
    <w:p w14:paraId="46A015B4">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snapToGrid w:val="0"/>
          <w:color w:val="FF0000"/>
          <w:spacing w:val="-3"/>
          <w:kern w:val="0"/>
          <w:sz w:val="24"/>
          <w:szCs w:val="24"/>
          <w:highlight w:val="none"/>
          <w:lang w:val="en-US" w:eastAsia="zh-CN" w:bidi="ar-SA"/>
        </w:rPr>
      </w:pPr>
      <w:r>
        <w:rPr>
          <w:rFonts w:hint="default" w:ascii="Times New Roman" w:hAnsi="Times New Roman" w:eastAsia="宋体" w:cs="Times New Roman"/>
          <w:snapToGrid w:val="0"/>
          <w:color w:val="FF0000"/>
          <w:spacing w:val="-3"/>
          <w:kern w:val="0"/>
          <w:sz w:val="24"/>
          <w:szCs w:val="24"/>
          <w:highlight w:val="none"/>
          <w:lang w:val="en-US" w:eastAsia="zh-CN" w:bidi="ar-SA"/>
        </w:rPr>
        <w:t>本项目牛尿、生活污水。</w:t>
      </w:r>
    </w:p>
    <w:p w14:paraId="69D1C080">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b w:val="0"/>
          <w:bCs w:val="0"/>
          <w:color w:val="FF0000"/>
          <w:sz w:val="24"/>
          <w:szCs w:val="24"/>
          <w:highlight w:val="none"/>
        </w:rPr>
      </w:pPr>
      <w:r>
        <w:rPr>
          <w:rFonts w:hint="default" w:ascii="Times New Roman" w:hAnsi="Times New Roman" w:eastAsia="宋体" w:cs="Times New Roman"/>
          <w:b w:val="0"/>
          <w:bCs w:val="0"/>
          <w:color w:val="FF0000"/>
          <w:spacing w:val="-4"/>
          <w:sz w:val="24"/>
          <w:szCs w:val="24"/>
          <w:highlight w:val="none"/>
          <w:lang w:eastAsia="zh-CN"/>
        </w:rPr>
        <w:t>（</w:t>
      </w:r>
      <w:r>
        <w:rPr>
          <w:rFonts w:hint="default" w:ascii="Times New Roman" w:hAnsi="Times New Roman" w:eastAsia="宋体" w:cs="Times New Roman"/>
          <w:b w:val="0"/>
          <w:bCs w:val="0"/>
          <w:color w:val="FF0000"/>
          <w:spacing w:val="-4"/>
          <w:sz w:val="24"/>
          <w:szCs w:val="24"/>
          <w:highlight w:val="none"/>
          <w:lang w:val="en-US" w:eastAsia="zh-CN"/>
        </w:rPr>
        <w:t>3</w:t>
      </w:r>
      <w:r>
        <w:rPr>
          <w:rFonts w:hint="default" w:ascii="Times New Roman" w:hAnsi="Times New Roman" w:eastAsia="宋体" w:cs="Times New Roman"/>
          <w:b w:val="0"/>
          <w:bCs w:val="0"/>
          <w:color w:val="FF0000"/>
          <w:spacing w:val="-4"/>
          <w:sz w:val="24"/>
          <w:szCs w:val="24"/>
          <w:highlight w:val="none"/>
          <w:lang w:eastAsia="zh-CN"/>
        </w:rPr>
        <w:t>）</w:t>
      </w:r>
      <w:r>
        <w:rPr>
          <w:rFonts w:hint="default" w:ascii="Times New Roman" w:hAnsi="Times New Roman" w:eastAsia="宋体" w:cs="Times New Roman"/>
          <w:b w:val="0"/>
          <w:bCs w:val="0"/>
          <w:color w:val="FF0000"/>
          <w:spacing w:val="-4"/>
          <w:sz w:val="24"/>
          <w:szCs w:val="24"/>
          <w:highlight w:val="none"/>
        </w:rPr>
        <w:t>噪声</w:t>
      </w:r>
    </w:p>
    <w:p w14:paraId="4D5B5BA2">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b w:val="0"/>
          <w:bCs w:val="0"/>
          <w:color w:val="FF0000"/>
          <w:sz w:val="24"/>
          <w:szCs w:val="24"/>
          <w:highlight w:val="none"/>
          <w:lang w:eastAsia="zh-CN"/>
        </w:rPr>
      </w:pPr>
      <w:r>
        <w:rPr>
          <w:rFonts w:hint="default" w:ascii="Times New Roman" w:hAnsi="Times New Roman" w:eastAsia="宋体" w:cs="Times New Roman"/>
          <w:b w:val="0"/>
          <w:bCs w:val="0"/>
          <w:color w:val="FF0000"/>
          <w:spacing w:val="-1"/>
          <w:sz w:val="24"/>
          <w:szCs w:val="24"/>
          <w:highlight w:val="none"/>
        </w:rPr>
        <w:t>本项目噪声主要来源于牛叫声及各类机械设备运转</w:t>
      </w:r>
      <w:r>
        <w:rPr>
          <w:rFonts w:hint="default" w:ascii="Times New Roman" w:hAnsi="Times New Roman" w:eastAsia="宋体" w:cs="Times New Roman"/>
          <w:b w:val="0"/>
          <w:bCs w:val="0"/>
          <w:color w:val="FF0000"/>
          <w:spacing w:val="-1"/>
          <w:sz w:val="24"/>
          <w:szCs w:val="24"/>
          <w:highlight w:val="none"/>
          <w:lang w:eastAsia="zh-CN"/>
        </w:rPr>
        <w:t>。</w:t>
      </w:r>
    </w:p>
    <w:p w14:paraId="1FA26B90">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b w:val="0"/>
          <w:bCs w:val="0"/>
          <w:color w:val="FF0000"/>
          <w:sz w:val="24"/>
          <w:szCs w:val="24"/>
          <w:highlight w:val="none"/>
        </w:rPr>
      </w:pPr>
      <w:r>
        <w:rPr>
          <w:rFonts w:hint="default" w:ascii="Times New Roman" w:hAnsi="Times New Roman" w:eastAsia="宋体" w:cs="Times New Roman"/>
          <w:b w:val="0"/>
          <w:bCs w:val="0"/>
          <w:color w:val="FF0000"/>
          <w:spacing w:val="-4"/>
          <w:sz w:val="24"/>
          <w:szCs w:val="24"/>
          <w:highlight w:val="none"/>
          <w:lang w:eastAsia="zh-CN"/>
        </w:rPr>
        <w:t>（</w:t>
      </w:r>
      <w:r>
        <w:rPr>
          <w:rFonts w:hint="default" w:ascii="Times New Roman" w:hAnsi="Times New Roman" w:eastAsia="宋体" w:cs="Times New Roman"/>
          <w:b w:val="0"/>
          <w:bCs w:val="0"/>
          <w:color w:val="FF0000"/>
          <w:spacing w:val="-4"/>
          <w:sz w:val="24"/>
          <w:szCs w:val="24"/>
          <w:highlight w:val="none"/>
          <w:lang w:val="en-US" w:eastAsia="zh-CN"/>
        </w:rPr>
        <w:t>4</w:t>
      </w:r>
      <w:r>
        <w:rPr>
          <w:rFonts w:hint="default" w:ascii="Times New Roman" w:hAnsi="Times New Roman" w:eastAsia="宋体" w:cs="Times New Roman"/>
          <w:b w:val="0"/>
          <w:bCs w:val="0"/>
          <w:color w:val="FF0000"/>
          <w:spacing w:val="-4"/>
          <w:sz w:val="24"/>
          <w:szCs w:val="24"/>
          <w:highlight w:val="none"/>
          <w:lang w:eastAsia="zh-CN"/>
        </w:rPr>
        <w:t>）</w:t>
      </w:r>
      <w:r>
        <w:rPr>
          <w:rFonts w:hint="default" w:ascii="Times New Roman" w:hAnsi="Times New Roman" w:eastAsia="宋体" w:cs="Times New Roman"/>
          <w:b w:val="0"/>
          <w:bCs w:val="0"/>
          <w:color w:val="FF0000"/>
          <w:spacing w:val="-4"/>
          <w:sz w:val="24"/>
          <w:szCs w:val="24"/>
          <w:highlight w:val="none"/>
        </w:rPr>
        <w:t>固废</w:t>
      </w:r>
    </w:p>
    <w:p w14:paraId="213C74AF">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jc w:val="both"/>
        <w:textAlignment w:val="baseline"/>
        <w:rPr>
          <w:rFonts w:hint="default" w:ascii="Times New Roman" w:hAnsi="Times New Roman" w:eastAsia="宋体" w:cs="Times New Roman"/>
          <w:color w:val="FF0000"/>
          <w:sz w:val="24"/>
          <w:szCs w:val="24"/>
          <w:highlight w:val="none"/>
          <w:lang w:eastAsia="zh-CN"/>
        </w:rPr>
      </w:pPr>
      <w:r>
        <w:rPr>
          <w:rFonts w:hint="default" w:ascii="Times New Roman" w:hAnsi="Times New Roman" w:eastAsia="宋体" w:cs="Times New Roman"/>
          <w:b w:val="0"/>
          <w:bCs w:val="0"/>
          <w:color w:val="FF0000"/>
          <w:kern w:val="2"/>
          <w:sz w:val="24"/>
          <w:szCs w:val="24"/>
          <w:highlight w:val="none"/>
          <w:lang w:eastAsia="zh-CN"/>
        </w:rPr>
        <w:t>牛舍更换的发酵床垫料</w:t>
      </w:r>
      <w:r>
        <w:rPr>
          <w:rFonts w:hint="default" w:ascii="Times New Roman" w:hAnsi="Times New Roman" w:eastAsia="宋体" w:cs="Times New Roman"/>
          <w:color w:val="FF0000"/>
          <w:spacing w:val="-3"/>
          <w:sz w:val="24"/>
          <w:szCs w:val="24"/>
          <w:highlight w:val="none"/>
          <w:lang w:eastAsia="zh-CN"/>
        </w:rPr>
        <w:t>、</w:t>
      </w:r>
      <w:r>
        <w:rPr>
          <w:rFonts w:hint="default" w:ascii="Times New Roman" w:hAnsi="Times New Roman" w:eastAsia="宋体" w:cs="Times New Roman"/>
          <w:color w:val="FF0000"/>
          <w:spacing w:val="-3"/>
          <w:sz w:val="24"/>
          <w:szCs w:val="24"/>
          <w:highlight w:val="none"/>
        </w:rPr>
        <w:t>病死牛和</w:t>
      </w:r>
      <w:r>
        <w:rPr>
          <w:rFonts w:hint="default" w:ascii="Times New Roman" w:hAnsi="Times New Roman" w:eastAsia="宋体" w:cs="Times New Roman"/>
          <w:color w:val="FF0000"/>
          <w:spacing w:val="-3"/>
          <w:sz w:val="24"/>
          <w:szCs w:val="24"/>
          <w:highlight w:val="none"/>
          <w:lang w:eastAsia="zh-CN"/>
        </w:rPr>
        <w:t>分娩废物、</w:t>
      </w:r>
      <w:r>
        <w:rPr>
          <w:rFonts w:hint="default" w:ascii="Times New Roman" w:hAnsi="Times New Roman" w:eastAsia="宋体" w:cs="Times New Roman"/>
          <w:color w:val="FF0000"/>
          <w:spacing w:val="-3"/>
          <w:sz w:val="24"/>
          <w:szCs w:val="24"/>
          <w:highlight w:val="none"/>
        </w:rPr>
        <w:t>生活垃圾</w:t>
      </w:r>
      <w:r>
        <w:rPr>
          <w:rFonts w:hint="default" w:ascii="Times New Roman" w:hAnsi="Times New Roman" w:eastAsia="宋体" w:cs="Times New Roman"/>
          <w:color w:val="FF0000"/>
          <w:spacing w:val="-3"/>
          <w:sz w:val="24"/>
          <w:szCs w:val="24"/>
          <w:highlight w:val="none"/>
          <w:lang w:eastAsia="zh-CN"/>
        </w:rPr>
        <w:t>、</w:t>
      </w:r>
      <w:r>
        <w:rPr>
          <w:rFonts w:hint="default" w:ascii="Times New Roman" w:hAnsi="Times New Roman" w:eastAsia="宋体" w:cs="Times New Roman"/>
          <w:color w:val="FF0000"/>
          <w:spacing w:val="-3"/>
          <w:sz w:val="24"/>
          <w:szCs w:val="24"/>
          <w:highlight w:val="none"/>
          <w:lang w:val="en-US" w:eastAsia="zh-CN"/>
        </w:rPr>
        <w:t>防疫、</w:t>
      </w:r>
      <w:r>
        <w:rPr>
          <w:rFonts w:hint="default" w:ascii="Times New Roman" w:hAnsi="Times New Roman" w:eastAsia="宋体" w:cs="Times New Roman"/>
          <w:color w:val="FF0000"/>
          <w:spacing w:val="-3"/>
          <w:sz w:val="24"/>
          <w:szCs w:val="24"/>
          <w:highlight w:val="none"/>
        </w:rPr>
        <w:t>医疗废物</w:t>
      </w:r>
      <w:r>
        <w:rPr>
          <w:rFonts w:hint="default" w:ascii="Times New Roman" w:hAnsi="Times New Roman" w:eastAsia="宋体" w:cs="Times New Roman"/>
          <w:color w:val="FF0000"/>
          <w:spacing w:val="-3"/>
          <w:sz w:val="24"/>
          <w:szCs w:val="24"/>
          <w:highlight w:val="none"/>
          <w:lang w:eastAsia="zh-CN"/>
        </w:rPr>
        <w:t>。</w:t>
      </w:r>
    </w:p>
    <w:p w14:paraId="36DA6712">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47" w:name="_Toc15684"/>
      <w:bookmarkStart w:id="48" w:name="_Toc9837"/>
      <w:r>
        <w:rPr>
          <w:rFonts w:hint="default" w:ascii="Times New Roman" w:hAnsi="Times New Roman" w:eastAsia="宋体" w:cs="Times New Roman"/>
          <w:b/>
          <w:bCs/>
          <w:color w:val="auto"/>
          <w:spacing w:val="-2"/>
          <w:sz w:val="24"/>
          <w:szCs w:val="24"/>
          <w:highlight w:val="none"/>
          <w:lang w:val="en-US" w:eastAsia="zh-CN"/>
        </w:rPr>
        <w:t>2.3.1相关环境保护法律、法规</w:t>
      </w:r>
      <w:bookmarkEnd w:id="47"/>
    </w:p>
    <w:p w14:paraId="6BB1CC63">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1</w:t>
      </w:r>
      <w:r>
        <w:rPr>
          <w:rFonts w:hint="default" w:ascii="Times New Roman" w:hAnsi="Times New Roman" w:eastAsia="宋体" w:cs="Times New Roman"/>
          <w:color w:val="auto"/>
          <w:spacing w:val="-5"/>
          <w:sz w:val="24"/>
          <w:szCs w:val="24"/>
          <w:highlight w:val="none"/>
        </w:rPr>
        <w:t>）《中华人民共和国环境保护法》（</w:t>
      </w:r>
      <w:r>
        <w:rPr>
          <w:rFonts w:hint="default" w:ascii="Times New Roman" w:hAnsi="Times New Roman" w:eastAsia="Times New Roman" w:cs="Times New Roman"/>
          <w:color w:val="auto"/>
          <w:spacing w:val="-5"/>
          <w:sz w:val="24"/>
          <w:szCs w:val="24"/>
          <w:highlight w:val="none"/>
        </w:rPr>
        <w:t>2015</w:t>
      </w:r>
      <w:r>
        <w:rPr>
          <w:rFonts w:hint="default" w:ascii="Times New Roman" w:hAnsi="Times New Roman" w:eastAsia="宋体" w:cs="Times New Roman"/>
          <w:color w:val="auto"/>
          <w:spacing w:val="-5"/>
          <w:sz w:val="24"/>
          <w:szCs w:val="24"/>
          <w:highlight w:val="none"/>
        </w:rPr>
        <w:t>年</w:t>
      </w:r>
      <w:r>
        <w:rPr>
          <w:rFonts w:hint="default" w:ascii="Times New Roman" w:hAnsi="Times New Roman" w:eastAsia="Times New Roman" w:cs="Times New Roman"/>
          <w:color w:val="auto"/>
          <w:spacing w:val="-5"/>
          <w:sz w:val="24"/>
          <w:szCs w:val="24"/>
          <w:highlight w:val="none"/>
        </w:rPr>
        <w:t>1</w:t>
      </w:r>
      <w:r>
        <w:rPr>
          <w:rFonts w:hint="default" w:ascii="Times New Roman" w:hAnsi="Times New Roman" w:eastAsia="宋体" w:cs="Times New Roman"/>
          <w:color w:val="auto"/>
          <w:spacing w:val="-5"/>
          <w:sz w:val="24"/>
          <w:szCs w:val="24"/>
          <w:highlight w:val="none"/>
        </w:rPr>
        <w:t>月</w:t>
      </w:r>
      <w:r>
        <w:rPr>
          <w:rFonts w:hint="default" w:ascii="Times New Roman" w:hAnsi="Times New Roman" w:eastAsia="Times New Roman" w:cs="Times New Roman"/>
          <w:color w:val="auto"/>
          <w:spacing w:val="-5"/>
          <w:sz w:val="24"/>
          <w:szCs w:val="24"/>
          <w:highlight w:val="none"/>
        </w:rPr>
        <w:t>1</w:t>
      </w:r>
      <w:r>
        <w:rPr>
          <w:rFonts w:hint="default" w:ascii="Times New Roman" w:hAnsi="Times New Roman" w:eastAsia="宋体" w:cs="Times New Roman"/>
          <w:color w:val="auto"/>
          <w:spacing w:val="-5"/>
          <w:sz w:val="24"/>
          <w:szCs w:val="24"/>
          <w:highlight w:val="none"/>
        </w:rPr>
        <w:t>日</w:t>
      </w:r>
      <w:r>
        <w:rPr>
          <w:rFonts w:hint="default" w:ascii="Times New Roman" w:hAnsi="Times New Roman" w:eastAsia="宋体" w:cs="Times New Roman"/>
          <w:color w:val="auto"/>
          <w:spacing w:val="-9"/>
          <w:sz w:val="24"/>
          <w:szCs w:val="24"/>
          <w:highlight w:val="none"/>
        </w:rPr>
        <w:t>）；</w:t>
      </w:r>
    </w:p>
    <w:p w14:paraId="1EC7C064">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）《中华人民共和国环境影响评价法》（</w:t>
      </w:r>
      <w:r>
        <w:rPr>
          <w:rFonts w:hint="default" w:ascii="Times New Roman" w:hAnsi="Times New Roman" w:eastAsia="Times New Roman" w:cs="Times New Roman"/>
          <w:color w:val="auto"/>
          <w:spacing w:val="-3"/>
          <w:sz w:val="24"/>
          <w:szCs w:val="24"/>
          <w:highlight w:val="none"/>
        </w:rPr>
        <w:t>2018</w:t>
      </w:r>
      <w:r>
        <w:rPr>
          <w:rFonts w:hint="default" w:ascii="Times New Roman" w:hAnsi="Times New Roman" w:eastAsia="宋体" w:cs="Times New Roman"/>
          <w:color w:val="auto"/>
          <w:spacing w:val="-3"/>
          <w:sz w:val="24"/>
          <w:szCs w:val="24"/>
          <w:highlight w:val="none"/>
        </w:rPr>
        <w:t>年</w:t>
      </w:r>
      <w:r>
        <w:rPr>
          <w:rFonts w:hint="default" w:ascii="Times New Roman" w:hAnsi="Times New Roman" w:eastAsia="Times New Roman" w:cs="Times New Roman"/>
          <w:color w:val="auto"/>
          <w:spacing w:val="-3"/>
          <w:sz w:val="24"/>
          <w:szCs w:val="24"/>
          <w:highlight w:val="none"/>
        </w:rPr>
        <w:t>1</w:t>
      </w:r>
      <w:r>
        <w:rPr>
          <w:rFonts w:hint="default" w:ascii="Times New Roman" w:hAnsi="Times New Roman" w:eastAsia="Times New Roman" w:cs="Times New Roman"/>
          <w:color w:val="auto"/>
          <w:spacing w:val="-4"/>
          <w:sz w:val="24"/>
          <w:szCs w:val="24"/>
          <w:highlight w:val="none"/>
        </w:rPr>
        <w:t>2</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Times New Roman" w:cs="Times New Roman"/>
          <w:color w:val="auto"/>
          <w:spacing w:val="-4"/>
          <w:sz w:val="24"/>
          <w:szCs w:val="24"/>
          <w:highlight w:val="none"/>
        </w:rPr>
        <w:t>29</w:t>
      </w:r>
      <w:r>
        <w:rPr>
          <w:rFonts w:hint="default" w:ascii="Times New Roman" w:hAnsi="Times New Roman" w:eastAsia="宋体" w:cs="Times New Roman"/>
          <w:color w:val="auto"/>
          <w:spacing w:val="-4"/>
          <w:sz w:val="24"/>
          <w:szCs w:val="24"/>
          <w:highlight w:val="none"/>
        </w:rPr>
        <w:t>日</w:t>
      </w:r>
      <w:r>
        <w:rPr>
          <w:rFonts w:hint="default" w:ascii="Times New Roman" w:hAnsi="Times New Roman" w:eastAsia="宋体" w:cs="Times New Roman"/>
          <w:color w:val="auto"/>
          <w:spacing w:val="-18"/>
          <w:sz w:val="24"/>
          <w:szCs w:val="24"/>
          <w:highlight w:val="none"/>
        </w:rPr>
        <w:t>）；</w:t>
      </w:r>
    </w:p>
    <w:p w14:paraId="0EED66FE">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3</w:t>
      </w:r>
      <w:r>
        <w:rPr>
          <w:rFonts w:hint="default" w:ascii="Times New Roman" w:hAnsi="Times New Roman" w:eastAsia="宋体" w:cs="Times New Roman"/>
          <w:color w:val="auto"/>
          <w:spacing w:val="-4"/>
          <w:sz w:val="24"/>
          <w:szCs w:val="24"/>
          <w:highlight w:val="none"/>
        </w:rPr>
        <w:t>）《中华人民共和国水污染防治法》（</w:t>
      </w:r>
      <w:r>
        <w:rPr>
          <w:rFonts w:hint="default" w:ascii="Times New Roman" w:hAnsi="Times New Roman" w:eastAsia="Times New Roman" w:cs="Times New Roman"/>
          <w:color w:val="auto"/>
          <w:spacing w:val="-4"/>
          <w:sz w:val="24"/>
          <w:szCs w:val="24"/>
          <w:highlight w:val="none"/>
        </w:rPr>
        <w:t>2018</w:t>
      </w:r>
      <w:r>
        <w:rPr>
          <w:rFonts w:hint="default" w:ascii="Times New Roman" w:hAnsi="Times New Roman" w:eastAsia="宋体" w:cs="Times New Roman"/>
          <w:color w:val="auto"/>
          <w:spacing w:val="-5"/>
          <w:sz w:val="24"/>
          <w:szCs w:val="24"/>
          <w:highlight w:val="none"/>
        </w:rPr>
        <w:t>年</w:t>
      </w:r>
      <w:r>
        <w:rPr>
          <w:rFonts w:hint="default" w:ascii="Times New Roman" w:hAnsi="Times New Roman" w:eastAsia="Times New Roman" w:cs="Times New Roman"/>
          <w:color w:val="auto"/>
          <w:spacing w:val="-5"/>
          <w:sz w:val="24"/>
          <w:szCs w:val="24"/>
          <w:highlight w:val="none"/>
        </w:rPr>
        <w:t>1</w:t>
      </w:r>
      <w:r>
        <w:rPr>
          <w:rFonts w:hint="default" w:ascii="Times New Roman" w:hAnsi="Times New Roman" w:eastAsia="宋体" w:cs="Times New Roman"/>
          <w:color w:val="auto"/>
          <w:spacing w:val="-5"/>
          <w:sz w:val="24"/>
          <w:szCs w:val="24"/>
          <w:highlight w:val="none"/>
        </w:rPr>
        <w:t>月</w:t>
      </w:r>
      <w:r>
        <w:rPr>
          <w:rFonts w:hint="default" w:ascii="Times New Roman" w:hAnsi="Times New Roman" w:eastAsia="Times New Roman" w:cs="Times New Roman"/>
          <w:color w:val="auto"/>
          <w:spacing w:val="-5"/>
          <w:sz w:val="24"/>
          <w:szCs w:val="24"/>
          <w:highlight w:val="none"/>
        </w:rPr>
        <w:t>1</w:t>
      </w:r>
      <w:r>
        <w:rPr>
          <w:rFonts w:hint="default" w:ascii="Times New Roman" w:hAnsi="Times New Roman" w:eastAsia="宋体" w:cs="Times New Roman"/>
          <w:color w:val="auto"/>
          <w:spacing w:val="-5"/>
          <w:sz w:val="24"/>
          <w:szCs w:val="24"/>
          <w:highlight w:val="none"/>
        </w:rPr>
        <w:t>日</w:t>
      </w:r>
      <w:r>
        <w:rPr>
          <w:rFonts w:hint="default" w:ascii="Times New Roman" w:hAnsi="Times New Roman" w:eastAsia="宋体" w:cs="Times New Roman"/>
          <w:color w:val="auto"/>
          <w:spacing w:val="-18"/>
          <w:sz w:val="24"/>
          <w:szCs w:val="24"/>
          <w:highlight w:val="none"/>
        </w:rPr>
        <w:t>）；</w:t>
      </w:r>
    </w:p>
    <w:p w14:paraId="6A33D7D0">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4</w:t>
      </w:r>
      <w:r>
        <w:rPr>
          <w:rFonts w:hint="default" w:ascii="Times New Roman" w:hAnsi="Times New Roman" w:eastAsia="宋体" w:cs="Times New Roman"/>
          <w:color w:val="auto"/>
          <w:spacing w:val="-4"/>
          <w:sz w:val="24"/>
          <w:szCs w:val="24"/>
          <w:highlight w:val="none"/>
        </w:rPr>
        <w:t>）《中华人民共和国大气污染防治法》（</w:t>
      </w:r>
      <w:r>
        <w:rPr>
          <w:rFonts w:hint="default" w:ascii="Times New Roman" w:hAnsi="Times New Roman" w:eastAsia="Times New Roman" w:cs="Times New Roman"/>
          <w:color w:val="auto"/>
          <w:spacing w:val="-4"/>
          <w:sz w:val="24"/>
          <w:szCs w:val="24"/>
          <w:highlight w:val="none"/>
        </w:rPr>
        <w:t>201</w:t>
      </w:r>
      <w:r>
        <w:rPr>
          <w:rFonts w:hint="default" w:ascii="Times New Roman" w:hAnsi="Times New Roman" w:eastAsia="宋体" w:cs="Times New Roman"/>
          <w:color w:val="auto"/>
          <w:spacing w:val="-4"/>
          <w:sz w:val="24"/>
          <w:szCs w:val="24"/>
          <w:highlight w:val="none"/>
          <w:lang w:val="en-US" w:eastAsia="zh-CN"/>
        </w:rPr>
        <w:t>8</w:t>
      </w:r>
      <w:r>
        <w:rPr>
          <w:rFonts w:hint="default" w:ascii="Times New Roman" w:hAnsi="Times New Roman" w:eastAsia="宋体" w:cs="Times New Roman"/>
          <w:color w:val="auto"/>
          <w:spacing w:val="-4"/>
          <w:sz w:val="24"/>
          <w:szCs w:val="24"/>
          <w:highlight w:val="none"/>
        </w:rPr>
        <w:t>年</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lang w:val="en-US" w:eastAsia="zh-CN"/>
        </w:rPr>
        <w:t>0</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宋体" w:cs="Times New Roman"/>
          <w:color w:val="auto"/>
          <w:spacing w:val="-5"/>
          <w:sz w:val="24"/>
          <w:szCs w:val="24"/>
          <w:highlight w:val="none"/>
          <w:lang w:val="en-US" w:eastAsia="zh-CN"/>
        </w:rPr>
        <w:t>26</w:t>
      </w:r>
      <w:r>
        <w:rPr>
          <w:rFonts w:hint="default" w:ascii="Times New Roman" w:hAnsi="Times New Roman" w:eastAsia="宋体" w:cs="Times New Roman"/>
          <w:color w:val="auto"/>
          <w:spacing w:val="-5"/>
          <w:sz w:val="24"/>
          <w:szCs w:val="24"/>
          <w:highlight w:val="none"/>
        </w:rPr>
        <w:t>日</w:t>
      </w:r>
      <w:r>
        <w:rPr>
          <w:rFonts w:hint="default" w:ascii="Times New Roman" w:hAnsi="Times New Roman" w:eastAsia="宋体" w:cs="Times New Roman"/>
          <w:color w:val="auto"/>
          <w:spacing w:val="-18"/>
          <w:sz w:val="24"/>
          <w:szCs w:val="24"/>
          <w:highlight w:val="none"/>
        </w:rPr>
        <w:t>）；</w:t>
      </w:r>
    </w:p>
    <w:p w14:paraId="5DE35615">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5</w:t>
      </w:r>
      <w:r>
        <w:rPr>
          <w:rFonts w:hint="default" w:ascii="Times New Roman" w:hAnsi="Times New Roman" w:eastAsia="宋体" w:cs="Times New Roman"/>
          <w:color w:val="auto"/>
          <w:spacing w:val="-3"/>
          <w:sz w:val="24"/>
          <w:szCs w:val="24"/>
          <w:highlight w:val="none"/>
        </w:rPr>
        <w:t>）《中华人民共和国噪声污染防治法》（</w:t>
      </w:r>
      <w:r>
        <w:rPr>
          <w:rFonts w:hint="default" w:ascii="Times New Roman" w:hAnsi="Times New Roman" w:eastAsia="Times New Roman" w:cs="Times New Roman"/>
          <w:color w:val="auto"/>
          <w:spacing w:val="-3"/>
          <w:sz w:val="24"/>
          <w:szCs w:val="24"/>
          <w:highlight w:val="none"/>
        </w:rPr>
        <w:t>2022</w:t>
      </w:r>
      <w:r>
        <w:rPr>
          <w:rFonts w:hint="default" w:ascii="Times New Roman" w:hAnsi="Times New Roman" w:eastAsia="宋体" w:cs="Times New Roman"/>
          <w:color w:val="auto"/>
          <w:spacing w:val="-3"/>
          <w:sz w:val="24"/>
          <w:szCs w:val="24"/>
          <w:highlight w:val="none"/>
        </w:rPr>
        <w:t>年</w:t>
      </w:r>
      <w:r>
        <w:rPr>
          <w:rFonts w:hint="default" w:ascii="Times New Roman" w:hAnsi="Times New Roman" w:eastAsia="Times New Roman" w:cs="Times New Roman"/>
          <w:color w:val="auto"/>
          <w:spacing w:val="-3"/>
          <w:sz w:val="24"/>
          <w:szCs w:val="24"/>
          <w:highlight w:val="none"/>
        </w:rPr>
        <w:t>6</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Times New Roman" w:cs="Times New Roman"/>
          <w:color w:val="auto"/>
          <w:spacing w:val="-4"/>
          <w:sz w:val="24"/>
          <w:szCs w:val="24"/>
          <w:highlight w:val="none"/>
        </w:rPr>
        <w:t>5</w:t>
      </w:r>
      <w:r>
        <w:rPr>
          <w:rFonts w:hint="default" w:ascii="Times New Roman" w:hAnsi="Times New Roman" w:eastAsia="宋体" w:cs="Times New Roman"/>
          <w:color w:val="auto"/>
          <w:spacing w:val="-4"/>
          <w:sz w:val="24"/>
          <w:szCs w:val="24"/>
          <w:highlight w:val="none"/>
        </w:rPr>
        <w:t>日起施行</w:t>
      </w:r>
      <w:r>
        <w:rPr>
          <w:rFonts w:hint="default" w:ascii="Times New Roman" w:hAnsi="Times New Roman" w:eastAsia="宋体" w:cs="Times New Roman"/>
          <w:color w:val="auto"/>
          <w:spacing w:val="-14"/>
          <w:sz w:val="24"/>
          <w:szCs w:val="24"/>
          <w:highlight w:val="none"/>
        </w:rPr>
        <w:t>）；</w:t>
      </w:r>
    </w:p>
    <w:p w14:paraId="17399065">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6</w:t>
      </w:r>
      <w:r>
        <w:rPr>
          <w:rFonts w:hint="default" w:ascii="Times New Roman" w:hAnsi="Times New Roman" w:eastAsia="宋体" w:cs="Times New Roman"/>
          <w:color w:val="auto"/>
          <w:spacing w:val="-1"/>
          <w:sz w:val="24"/>
          <w:szCs w:val="24"/>
          <w:highlight w:val="none"/>
        </w:rPr>
        <w:t>）《中华人民共和国固体废物污染环境防治法》（</w:t>
      </w:r>
      <w:r>
        <w:rPr>
          <w:rFonts w:hint="default" w:ascii="Times New Roman" w:hAnsi="Times New Roman" w:eastAsia="Times New Roman" w:cs="Times New Roman"/>
          <w:color w:val="auto"/>
          <w:spacing w:val="-1"/>
          <w:sz w:val="24"/>
          <w:szCs w:val="24"/>
          <w:highlight w:val="none"/>
        </w:rPr>
        <w:t>2020</w:t>
      </w:r>
      <w:r>
        <w:rPr>
          <w:rFonts w:hint="default" w:ascii="Times New Roman" w:hAnsi="Times New Roman" w:eastAsia="宋体" w:cs="Times New Roman"/>
          <w:color w:val="auto"/>
          <w:spacing w:val="-1"/>
          <w:sz w:val="24"/>
          <w:szCs w:val="24"/>
          <w:highlight w:val="none"/>
        </w:rPr>
        <w:t>年</w:t>
      </w:r>
      <w:r>
        <w:rPr>
          <w:rFonts w:hint="default" w:ascii="Times New Roman" w:hAnsi="Times New Roman" w:eastAsia="宋体" w:cs="Times New Roman"/>
          <w:color w:val="auto"/>
          <w:spacing w:val="-1"/>
          <w:sz w:val="24"/>
          <w:szCs w:val="24"/>
          <w:highlight w:val="none"/>
          <w:lang w:val="en-US" w:eastAsia="zh-CN"/>
        </w:rPr>
        <w:t>9</w:t>
      </w:r>
      <w:r>
        <w:rPr>
          <w:rFonts w:hint="default" w:ascii="Times New Roman" w:hAnsi="Times New Roman" w:eastAsia="宋体" w:cs="Times New Roman"/>
          <w:color w:val="auto"/>
          <w:spacing w:val="-1"/>
          <w:sz w:val="24"/>
          <w:szCs w:val="24"/>
          <w:highlight w:val="none"/>
        </w:rPr>
        <w:t>月</w:t>
      </w:r>
      <w:r>
        <w:rPr>
          <w:rFonts w:hint="default" w:ascii="Times New Roman" w:hAnsi="Times New Roman" w:eastAsia="宋体" w:cs="Times New Roman"/>
          <w:color w:val="auto"/>
          <w:spacing w:val="-1"/>
          <w:sz w:val="24"/>
          <w:szCs w:val="24"/>
          <w:highlight w:val="none"/>
          <w:lang w:val="en-US" w:eastAsia="zh-CN"/>
        </w:rPr>
        <w:t>1</w:t>
      </w:r>
      <w:r>
        <w:rPr>
          <w:rFonts w:hint="default" w:ascii="Times New Roman" w:hAnsi="Times New Roman" w:eastAsia="宋体" w:cs="Times New Roman"/>
          <w:color w:val="auto"/>
          <w:spacing w:val="-1"/>
          <w:sz w:val="24"/>
          <w:szCs w:val="24"/>
          <w:highlight w:val="none"/>
        </w:rPr>
        <w:t>日</w:t>
      </w:r>
      <w:r>
        <w:rPr>
          <w:rFonts w:hint="default" w:ascii="Times New Roman" w:hAnsi="Times New Roman" w:eastAsia="宋体" w:cs="Times New Roman"/>
          <w:color w:val="auto"/>
          <w:spacing w:val="-9"/>
          <w:sz w:val="24"/>
          <w:szCs w:val="24"/>
          <w:highlight w:val="none"/>
        </w:rPr>
        <w:t>）；</w:t>
      </w:r>
    </w:p>
    <w:p w14:paraId="4174F8BB">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7</w:t>
      </w:r>
      <w:r>
        <w:rPr>
          <w:rFonts w:hint="default" w:ascii="Times New Roman" w:hAnsi="Times New Roman" w:eastAsia="宋体" w:cs="Times New Roman"/>
          <w:color w:val="auto"/>
          <w:spacing w:val="-4"/>
          <w:sz w:val="24"/>
          <w:szCs w:val="24"/>
          <w:highlight w:val="none"/>
        </w:rPr>
        <w:t>）《中华人民共和国清洁生产促进法》（</w:t>
      </w:r>
      <w:r>
        <w:rPr>
          <w:rFonts w:hint="default" w:ascii="Times New Roman" w:hAnsi="Times New Roman" w:eastAsia="Times New Roman" w:cs="Times New Roman"/>
          <w:color w:val="auto"/>
          <w:spacing w:val="-4"/>
          <w:sz w:val="24"/>
          <w:szCs w:val="24"/>
          <w:highlight w:val="none"/>
        </w:rPr>
        <w:t>2012</w:t>
      </w:r>
      <w:r>
        <w:rPr>
          <w:rFonts w:hint="default" w:ascii="Times New Roman" w:hAnsi="Times New Roman" w:eastAsia="宋体" w:cs="Times New Roman"/>
          <w:color w:val="auto"/>
          <w:spacing w:val="-4"/>
          <w:sz w:val="24"/>
          <w:szCs w:val="24"/>
          <w:highlight w:val="none"/>
        </w:rPr>
        <w:t>年</w:t>
      </w:r>
      <w:r>
        <w:rPr>
          <w:rFonts w:hint="default" w:ascii="Times New Roman" w:hAnsi="Times New Roman" w:eastAsia="Times New Roman" w:cs="Times New Roman"/>
          <w:color w:val="auto"/>
          <w:spacing w:val="-4"/>
          <w:sz w:val="24"/>
          <w:szCs w:val="24"/>
          <w:highlight w:val="none"/>
        </w:rPr>
        <w:t>7</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rPr>
        <w:t>日</w:t>
      </w:r>
      <w:r>
        <w:rPr>
          <w:rFonts w:hint="default" w:ascii="Times New Roman" w:hAnsi="Times New Roman" w:eastAsia="宋体" w:cs="Times New Roman"/>
          <w:color w:val="auto"/>
          <w:spacing w:val="-10"/>
          <w:sz w:val="24"/>
          <w:szCs w:val="24"/>
          <w:highlight w:val="none"/>
        </w:rPr>
        <w:t>）；</w:t>
      </w:r>
    </w:p>
    <w:p w14:paraId="42DDF1B8">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8</w:t>
      </w:r>
      <w:r>
        <w:rPr>
          <w:rFonts w:hint="default" w:ascii="Times New Roman" w:hAnsi="Times New Roman" w:eastAsia="宋体" w:cs="Times New Roman"/>
          <w:color w:val="auto"/>
          <w:spacing w:val="-2"/>
          <w:sz w:val="24"/>
          <w:szCs w:val="24"/>
          <w:highlight w:val="none"/>
        </w:rPr>
        <w:t>）《中华人民共和国循环经济促进法》（</w:t>
      </w:r>
      <w:r>
        <w:rPr>
          <w:rFonts w:hint="default" w:ascii="Times New Roman" w:hAnsi="Times New Roman" w:eastAsia="Times New Roman" w:cs="Times New Roman"/>
          <w:color w:val="auto"/>
          <w:spacing w:val="-2"/>
          <w:sz w:val="24"/>
          <w:szCs w:val="24"/>
          <w:highlight w:val="none"/>
        </w:rPr>
        <w:t>2018</w:t>
      </w:r>
      <w:r>
        <w:rPr>
          <w:rFonts w:hint="default" w:ascii="Times New Roman" w:hAnsi="Times New Roman" w:eastAsia="宋体" w:cs="Times New Roman"/>
          <w:color w:val="auto"/>
          <w:spacing w:val="-2"/>
          <w:sz w:val="24"/>
          <w:szCs w:val="24"/>
          <w:highlight w:val="none"/>
        </w:rPr>
        <w:t>年</w:t>
      </w:r>
      <w:r>
        <w:rPr>
          <w:rFonts w:hint="default" w:ascii="Times New Roman" w:hAnsi="Times New Roman" w:eastAsia="Times New Roman" w:cs="Times New Roman"/>
          <w:color w:val="auto"/>
          <w:spacing w:val="-2"/>
          <w:sz w:val="24"/>
          <w:szCs w:val="24"/>
          <w:highlight w:val="none"/>
        </w:rPr>
        <w:t>10</w:t>
      </w:r>
      <w:r>
        <w:rPr>
          <w:rFonts w:hint="default" w:ascii="Times New Roman" w:hAnsi="Times New Roman" w:eastAsia="宋体" w:cs="Times New Roman"/>
          <w:color w:val="auto"/>
          <w:spacing w:val="-2"/>
          <w:sz w:val="24"/>
          <w:szCs w:val="24"/>
          <w:highlight w:val="none"/>
        </w:rPr>
        <w:t>月</w:t>
      </w:r>
      <w:r>
        <w:rPr>
          <w:rFonts w:hint="default" w:ascii="Times New Roman" w:hAnsi="Times New Roman" w:eastAsia="Times New Roman" w:cs="Times New Roman"/>
          <w:color w:val="auto"/>
          <w:spacing w:val="-2"/>
          <w:sz w:val="24"/>
          <w:szCs w:val="24"/>
          <w:highlight w:val="none"/>
        </w:rPr>
        <w:t>26</w:t>
      </w:r>
      <w:r>
        <w:rPr>
          <w:rFonts w:hint="default" w:ascii="Times New Roman" w:hAnsi="Times New Roman" w:eastAsia="宋体" w:cs="Times New Roman"/>
          <w:color w:val="auto"/>
          <w:spacing w:val="-2"/>
          <w:sz w:val="24"/>
          <w:szCs w:val="24"/>
          <w:highlight w:val="none"/>
        </w:rPr>
        <w:t>日修订</w:t>
      </w:r>
      <w:r>
        <w:rPr>
          <w:rFonts w:hint="default" w:ascii="Times New Roman" w:hAnsi="Times New Roman" w:eastAsia="宋体" w:cs="Times New Roman"/>
          <w:color w:val="auto"/>
          <w:spacing w:val="-8"/>
          <w:sz w:val="24"/>
          <w:szCs w:val="24"/>
          <w:highlight w:val="none"/>
        </w:rPr>
        <w:t>）；</w:t>
      </w:r>
    </w:p>
    <w:p w14:paraId="09C35529">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9</w:t>
      </w:r>
      <w:r>
        <w:rPr>
          <w:rFonts w:hint="default" w:ascii="Times New Roman" w:hAnsi="Times New Roman" w:eastAsia="宋体" w:cs="Times New Roman"/>
          <w:color w:val="auto"/>
          <w:spacing w:val="-3"/>
          <w:sz w:val="24"/>
          <w:szCs w:val="24"/>
          <w:highlight w:val="none"/>
        </w:rPr>
        <w:t>）《中华人民共和国水法》（</w:t>
      </w:r>
      <w:r>
        <w:rPr>
          <w:rFonts w:hint="default" w:ascii="Times New Roman" w:hAnsi="Times New Roman" w:eastAsia="Times New Roman" w:cs="Times New Roman"/>
          <w:color w:val="auto"/>
          <w:spacing w:val="-3"/>
          <w:sz w:val="24"/>
          <w:szCs w:val="24"/>
          <w:highlight w:val="none"/>
        </w:rPr>
        <w:t>2016</w:t>
      </w:r>
      <w:r>
        <w:rPr>
          <w:rFonts w:hint="default" w:ascii="Times New Roman" w:hAnsi="Times New Roman" w:eastAsia="宋体" w:cs="Times New Roman"/>
          <w:color w:val="auto"/>
          <w:spacing w:val="-3"/>
          <w:sz w:val="24"/>
          <w:szCs w:val="24"/>
          <w:highlight w:val="none"/>
        </w:rPr>
        <w:t>年</w:t>
      </w:r>
      <w:r>
        <w:rPr>
          <w:rFonts w:hint="default" w:ascii="Times New Roman" w:hAnsi="Times New Roman" w:eastAsia="宋体" w:cs="Times New Roman"/>
          <w:color w:val="auto"/>
          <w:spacing w:val="-3"/>
          <w:sz w:val="24"/>
          <w:szCs w:val="24"/>
          <w:highlight w:val="none"/>
          <w:lang w:val="en-US" w:eastAsia="zh-CN"/>
        </w:rPr>
        <w:t>9月1日</w:t>
      </w:r>
      <w:r>
        <w:rPr>
          <w:rFonts w:hint="default" w:ascii="Times New Roman" w:hAnsi="Times New Roman" w:eastAsia="宋体" w:cs="Times New Roman"/>
          <w:color w:val="auto"/>
          <w:spacing w:val="-3"/>
          <w:sz w:val="24"/>
          <w:szCs w:val="24"/>
          <w:highlight w:val="none"/>
        </w:rPr>
        <w:t>）；</w:t>
      </w:r>
    </w:p>
    <w:p w14:paraId="5121A6A7">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10</w:t>
      </w:r>
      <w:r>
        <w:rPr>
          <w:rFonts w:hint="default" w:ascii="Times New Roman" w:hAnsi="Times New Roman" w:eastAsia="宋体" w:cs="Times New Roman"/>
          <w:color w:val="auto"/>
          <w:spacing w:val="-2"/>
          <w:sz w:val="24"/>
          <w:szCs w:val="24"/>
          <w:highlight w:val="none"/>
        </w:rPr>
        <w:t>）《中华人民共和国节约能源法》（</w:t>
      </w:r>
      <w:r>
        <w:rPr>
          <w:rFonts w:hint="default" w:ascii="Times New Roman" w:hAnsi="Times New Roman" w:eastAsia="Times New Roman" w:cs="Times New Roman"/>
          <w:color w:val="auto"/>
          <w:spacing w:val="-2"/>
          <w:sz w:val="24"/>
          <w:szCs w:val="24"/>
          <w:highlight w:val="none"/>
        </w:rPr>
        <w:t>201</w:t>
      </w:r>
      <w:r>
        <w:rPr>
          <w:rFonts w:hint="default" w:ascii="Times New Roman" w:hAnsi="Times New Roman" w:eastAsia="宋体" w:cs="Times New Roman"/>
          <w:color w:val="auto"/>
          <w:spacing w:val="-2"/>
          <w:sz w:val="24"/>
          <w:szCs w:val="24"/>
          <w:highlight w:val="none"/>
          <w:lang w:val="en-US" w:eastAsia="zh-CN"/>
        </w:rPr>
        <w:t>8</w:t>
      </w:r>
      <w:r>
        <w:rPr>
          <w:rFonts w:hint="default" w:ascii="Times New Roman" w:hAnsi="Times New Roman" w:eastAsia="宋体" w:cs="Times New Roman"/>
          <w:color w:val="auto"/>
          <w:spacing w:val="-2"/>
          <w:sz w:val="24"/>
          <w:szCs w:val="24"/>
          <w:highlight w:val="none"/>
        </w:rPr>
        <w:t>年</w:t>
      </w:r>
      <w:r>
        <w:rPr>
          <w:rFonts w:hint="default" w:ascii="Times New Roman" w:hAnsi="Times New Roman" w:eastAsia="宋体" w:cs="Times New Roman"/>
          <w:color w:val="auto"/>
          <w:spacing w:val="-2"/>
          <w:sz w:val="24"/>
          <w:szCs w:val="24"/>
          <w:highlight w:val="none"/>
          <w:lang w:val="en-US" w:eastAsia="zh-CN"/>
        </w:rPr>
        <w:t>10</w:t>
      </w:r>
      <w:r>
        <w:rPr>
          <w:rFonts w:hint="default" w:ascii="Times New Roman" w:hAnsi="Times New Roman" w:eastAsia="宋体" w:cs="Times New Roman"/>
          <w:color w:val="auto"/>
          <w:spacing w:val="-2"/>
          <w:sz w:val="24"/>
          <w:szCs w:val="24"/>
          <w:highlight w:val="none"/>
        </w:rPr>
        <w:t>月</w:t>
      </w:r>
      <w:r>
        <w:rPr>
          <w:rFonts w:hint="default" w:ascii="Times New Roman" w:hAnsi="Times New Roman" w:eastAsia="宋体" w:cs="Times New Roman"/>
          <w:color w:val="auto"/>
          <w:spacing w:val="-2"/>
          <w:sz w:val="24"/>
          <w:szCs w:val="24"/>
          <w:highlight w:val="none"/>
          <w:lang w:val="en-US" w:eastAsia="zh-CN"/>
        </w:rPr>
        <w:t>26</w:t>
      </w:r>
      <w:r>
        <w:rPr>
          <w:rFonts w:hint="default" w:ascii="Times New Roman" w:hAnsi="Times New Roman" w:eastAsia="宋体" w:cs="Times New Roman"/>
          <w:color w:val="auto"/>
          <w:spacing w:val="-9"/>
          <w:sz w:val="24"/>
          <w:szCs w:val="24"/>
          <w:highlight w:val="none"/>
        </w:rPr>
        <w:t>）；</w:t>
      </w:r>
    </w:p>
    <w:p w14:paraId="5B17C8E2">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11</w:t>
      </w:r>
      <w:r>
        <w:rPr>
          <w:rFonts w:hint="default" w:ascii="Times New Roman" w:hAnsi="Times New Roman" w:eastAsia="宋体" w:cs="Times New Roman"/>
          <w:color w:val="auto"/>
          <w:spacing w:val="-4"/>
          <w:sz w:val="24"/>
          <w:szCs w:val="24"/>
          <w:highlight w:val="none"/>
        </w:rPr>
        <w:t>）《中华人民共和国土壤污染防治法》（</w:t>
      </w:r>
      <w:r>
        <w:rPr>
          <w:rFonts w:hint="default" w:ascii="Times New Roman" w:hAnsi="Times New Roman" w:eastAsia="Times New Roman" w:cs="Times New Roman"/>
          <w:color w:val="auto"/>
          <w:spacing w:val="-4"/>
          <w:sz w:val="24"/>
          <w:szCs w:val="24"/>
          <w:highlight w:val="none"/>
        </w:rPr>
        <w:t>2019</w:t>
      </w:r>
      <w:r>
        <w:rPr>
          <w:rFonts w:hint="default" w:ascii="Times New Roman" w:hAnsi="Times New Roman" w:eastAsia="宋体" w:cs="Times New Roman"/>
          <w:color w:val="auto"/>
          <w:spacing w:val="-4"/>
          <w:sz w:val="24"/>
          <w:szCs w:val="24"/>
          <w:highlight w:val="none"/>
        </w:rPr>
        <w:t>年</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rPr>
        <w:t>日）</w:t>
      </w:r>
    </w:p>
    <w:p w14:paraId="633391ED">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12</w:t>
      </w:r>
      <w:r>
        <w:rPr>
          <w:rFonts w:hint="default" w:ascii="Times New Roman" w:hAnsi="Times New Roman" w:eastAsia="宋体" w:cs="Times New Roman"/>
          <w:color w:val="auto"/>
          <w:spacing w:val="-1"/>
          <w:sz w:val="24"/>
          <w:szCs w:val="24"/>
          <w:highlight w:val="none"/>
        </w:rPr>
        <w:t>）《中华人民共和国土地管理法》（</w:t>
      </w:r>
      <w:r>
        <w:rPr>
          <w:rFonts w:hint="default" w:ascii="Times New Roman" w:hAnsi="Times New Roman" w:eastAsia="Times New Roman" w:cs="Times New Roman"/>
          <w:color w:val="auto"/>
          <w:spacing w:val="-1"/>
          <w:sz w:val="24"/>
          <w:szCs w:val="24"/>
          <w:highlight w:val="none"/>
        </w:rPr>
        <w:t>20</w:t>
      </w:r>
      <w:r>
        <w:rPr>
          <w:rFonts w:hint="default" w:ascii="Times New Roman" w:hAnsi="Times New Roman" w:eastAsia="宋体" w:cs="Times New Roman"/>
          <w:color w:val="auto"/>
          <w:spacing w:val="-1"/>
          <w:sz w:val="24"/>
          <w:szCs w:val="24"/>
          <w:highlight w:val="none"/>
          <w:lang w:val="en-US" w:eastAsia="zh-CN"/>
        </w:rPr>
        <w:t>20年1月1日</w:t>
      </w:r>
      <w:r>
        <w:rPr>
          <w:rFonts w:hint="default" w:ascii="Times New Roman" w:hAnsi="Times New Roman" w:eastAsia="宋体" w:cs="Times New Roman"/>
          <w:color w:val="auto"/>
          <w:spacing w:val="-8"/>
          <w:sz w:val="24"/>
          <w:szCs w:val="24"/>
          <w:highlight w:val="none"/>
        </w:rPr>
        <w:t>）；</w:t>
      </w:r>
    </w:p>
    <w:p w14:paraId="27744CF8">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13</w:t>
      </w:r>
      <w:r>
        <w:rPr>
          <w:rFonts w:hint="default" w:ascii="Times New Roman" w:hAnsi="Times New Roman" w:eastAsia="宋体" w:cs="Times New Roman"/>
          <w:color w:val="auto"/>
          <w:spacing w:val="-2"/>
          <w:sz w:val="24"/>
          <w:szCs w:val="24"/>
          <w:highlight w:val="none"/>
        </w:rPr>
        <w:t>）《中华人民共和国水土保持法》（</w:t>
      </w:r>
      <w:r>
        <w:rPr>
          <w:rFonts w:hint="default" w:ascii="Times New Roman" w:hAnsi="Times New Roman" w:eastAsia="Times New Roman" w:cs="Times New Roman"/>
          <w:color w:val="auto"/>
          <w:spacing w:val="-2"/>
          <w:sz w:val="24"/>
          <w:szCs w:val="24"/>
          <w:highlight w:val="none"/>
        </w:rPr>
        <w:t>2011</w:t>
      </w:r>
      <w:r>
        <w:rPr>
          <w:rFonts w:hint="default" w:ascii="Times New Roman" w:hAnsi="Times New Roman" w:eastAsia="宋体" w:cs="Times New Roman"/>
          <w:color w:val="auto"/>
          <w:spacing w:val="-2"/>
          <w:sz w:val="24"/>
          <w:szCs w:val="24"/>
          <w:highlight w:val="none"/>
        </w:rPr>
        <w:t>年</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月</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日</w:t>
      </w:r>
      <w:r>
        <w:rPr>
          <w:rFonts w:hint="default" w:ascii="Times New Roman" w:hAnsi="Times New Roman" w:eastAsia="宋体" w:cs="Times New Roman"/>
          <w:color w:val="auto"/>
          <w:spacing w:val="-12"/>
          <w:sz w:val="24"/>
          <w:szCs w:val="24"/>
          <w:highlight w:val="none"/>
        </w:rPr>
        <w:t>）；</w:t>
      </w:r>
    </w:p>
    <w:p w14:paraId="5AE9A93E">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14</w:t>
      </w:r>
      <w:r>
        <w:rPr>
          <w:rFonts w:hint="default" w:ascii="Times New Roman" w:hAnsi="Times New Roman" w:eastAsia="宋体" w:cs="Times New Roman"/>
          <w:color w:val="auto"/>
          <w:spacing w:val="-1"/>
          <w:sz w:val="24"/>
          <w:szCs w:val="24"/>
          <w:highlight w:val="none"/>
        </w:rPr>
        <w:t>）《中华人民共和国城乡规划法》（</w:t>
      </w:r>
      <w:r>
        <w:rPr>
          <w:rFonts w:hint="default" w:ascii="Times New Roman" w:hAnsi="Times New Roman" w:eastAsia="Times New Roman" w:cs="Times New Roman"/>
          <w:color w:val="auto"/>
          <w:spacing w:val="-1"/>
          <w:sz w:val="24"/>
          <w:szCs w:val="24"/>
          <w:highlight w:val="none"/>
        </w:rPr>
        <w:t>2019</w:t>
      </w:r>
      <w:r>
        <w:rPr>
          <w:rFonts w:hint="default" w:ascii="Times New Roman" w:hAnsi="Times New Roman" w:eastAsia="宋体" w:cs="Times New Roman"/>
          <w:color w:val="auto"/>
          <w:spacing w:val="-1"/>
          <w:sz w:val="24"/>
          <w:szCs w:val="24"/>
          <w:highlight w:val="none"/>
        </w:rPr>
        <w:t>年</w:t>
      </w:r>
      <w:r>
        <w:rPr>
          <w:rFonts w:hint="default" w:ascii="Times New Roman" w:hAnsi="Times New Roman" w:eastAsia="宋体" w:cs="Times New Roman"/>
          <w:color w:val="auto"/>
          <w:spacing w:val="-1"/>
          <w:sz w:val="24"/>
          <w:szCs w:val="24"/>
          <w:highlight w:val="none"/>
          <w:lang w:val="en-US" w:eastAsia="zh-CN"/>
        </w:rPr>
        <w:t>4月23日</w:t>
      </w:r>
      <w:r>
        <w:rPr>
          <w:rFonts w:hint="default" w:ascii="Times New Roman" w:hAnsi="Times New Roman" w:eastAsia="宋体" w:cs="Times New Roman"/>
          <w:color w:val="auto"/>
          <w:spacing w:val="-9"/>
          <w:sz w:val="24"/>
          <w:szCs w:val="24"/>
          <w:highlight w:val="none"/>
        </w:rPr>
        <w:t>）；</w:t>
      </w:r>
    </w:p>
    <w:p w14:paraId="01D152FF">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15</w:t>
      </w:r>
      <w:r>
        <w:rPr>
          <w:rFonts w:hint="default" w:ascii="Times New Roman" w:hAnsi="Times New Roman" w:eastAsia="宋体" w:cs="Times New Roman"/>
          <w:color w:val="auto"/>
          <w:spacing w:val="-3"/>
          <w:sz w:val="24"/>
          <w:szCs w:val="24"/>
          <w:highlight w:val="none"/>
        </w:rPr>
        <w:t>）《建设项目环境保护管理条例》（国务院令第</w:t>
      </w:r>
      <w:r>
        <w:rPr>
          <w:rFonts w:hint="default" w:ascii="Times New Roman" w:hAnsi="Times New Roman" w:eastAsia="Times New Roman" w:cs="Times New Roman"/>
          <w:color w:val="auto"/>
          <w:spacing w:val="-4"/>
          <w:sz w:val="24"/>
          <w:szCs w:val="24"/>
          <w:highlight w:val="none"/>
        </w:rPr>
        <w:t>682</w:t>
      </w:r>
      <w:r>
        <w:rPr>
          <w:rFonts w:hint="default" w:ascii="Times New Roman" w:hAnsi="Times New Roman" w:eastAsia="宋体" w:cs="Times New Roman"/>
          <w:color w:val="auto"/>
          <w:spacing w:val="-4"/>
          <w:sz w:val="24"/>
          <w:szCs w:val="24"/>
          <w:highlight w:val="none"/>
        </w:rPr>
        <w:t>号）</w:t>
      </w:r>
      <w:r>
        <w:rPr>
          <w:rFonts w:hint="default" w:ascii="Times New Roman" w:hAnsi="Times New Roman" w:eastAsia="Times New Roman" w:cs="Times New Roman"/>
          <w:color w:val="auto"/>
          <w:spacing w:val="-4"/>
          <w:sz w:val="24"/>
          <w:szCs w:val="24"/>
          <w:highlight w:val="none"/>
        </w:rPr>
        <w:t>(2017</w:t>
      </w:r>
      <w:r>
        <w:rPr>
          <w:rFonts w:hint="default" w:ascii="Times New Roman" w:hAnsi="Times New Roman" w:eastAsia="宋体" w:cs="Times New Roman"/>
          <w:color w:val="auto"/>
          <w:spacing w:val="-4"/>
          <w:sz w:val="24"/>
          <w:szCs w:val="24"/>
          <w:highlight w:val="none"/>
        </w:rPr>
        <w:t>年</w:t>
      </w:r>
      <w:r>
        <w:rPr>
          <w:rFonts w:hint="default" w:ascii="Times New Roman" w:hAnsi="Times New Roman" w:eastAsia="Times New Roman" w:cs="Times New Roman"/>
          <w:color w:val="auto"/>
          <w:spacing w:val="-4"/>
          <w:sz w:val="24"/>
          <w:szCs w:val="24"/>
          <w:highlight w:val="none"/>
        </w:rPr>
        <w:t>10</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9"/>
          <w:sz w:val="24"/>
          <w:szCs w:val="24"/>
          <w:highlight w:val="none"/>
        </w:rPr>
        <w:t>日起施行</w:t>
      </w:r>
      <w:r>
        <w:rPr>
          <w:rFonts w:hint="default" w:ascii="Times New Roman" w:hAnsi="Times New Roman" w:eastAsia="Times New Roman" w:cs="Times New Roman"/>
          <w:color w:val="auto"/>
          <w:spacing w:val="-9"/>
          <w:sz w:val="24"/>
          <w:szCs w:val="24"/>
          <w:highlight w:val="none"/>
        </w:rPr>
        <w:t>)</w:t>
      </w:r>
      <w:r>
        <w:rPr>
          <w:rFonts w:hint="default" w:ascii="Times New Roman" w:hAnsi="Times New Roman" w:eastAsia="宋体" w:cs="Times New Roman"/>
          <w:color w:val="auto"/>
          <w:spacing w:val="-9"/>
          <w:sz w:val="24"/>
          <w:szCs w:val="24"/>
          <w:highlight w:val="none"/>
        </w:rPr>
        <w:t>；</w:t>
      </w:r>
    </w:p>
    <w:p w14:paraId="1BD6C76E">
      <w:pPr>
        <w:keepNext w:val="0"/>
        <w:keepLines w:val="0"/>
        <w:pageBreakBefore w:val="0"/>
        <w:widowControl/>
        <w:kinsoku/>
        <w:wordWrap w:val="0"/>
        <w:overflowPunct/>
        <w:topLinePunct/>
        <w:autoSpaceDE/>
        <w:autoSpaceDN/>
        <w:bidi w:val="0"/>
        <w:adjustRightInd w:val="0"/>
        <w:snapToGrid w:val="0"/>
        <w:spacing w:line="360" w:lineRule="auto"/>
        <w:ind w:right="0" w:firstLine="452" w:firstLineChars="200"/>
        <w:jc w:val="left"/>
        <w:textAlignment w:val="baseline"/>
        <w:rPr>
          <w:rFonts w:hint="default" w:ascii="Times New Roman" w:hAnsi="Times New Roman" w:eastAsia="宋体" w:cs="Times New Roman"/>
          <w:color w:val="auto"/>
          <w:spacing w:val="-12"/>
          <w:sz w:val="24"/>
          <w:szCs w:val="24"/>
          <w:highlight w:val="none"/>
        </w:rPr>
      </w:pP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16</w:t>
      </w:r>
      <w:r>
        <w:rPr>
          <w:rFonts w:hint="default" w:ascii="Times New Roman" w:hAnsi="Times New Roman" w:eastAsia="宋体" w:cs="Times New Roman"/>
          <w:color w:val="auto"/>
          <w:spacing w:val="-7"/>
          <w:sz w:val="24"/>
          <w:szCs w:val="24"/>
          <w:highlight w:val="none"/>
        </w:rPr>
        <w:t>）《国务院关于落实科学发展观加强环境保护</w:t>
      </w:r>
      <w:r>
        <w:rPr>
          <w:rFonts w:hint="default" w:ascii="Times New Roman" w:hAnsi="Times New Roman" w:eastAsia="宋体" w:cs="Times New Roman"/>
          <w:color w:val="auto"/>
          <w:spacing w:val="-8"/>
          <w:sz w:val="24"/>
          <w:szCs w:val="24"/>
          <w:highlight w:val="none"/>
        </w:rPr>
        <w:t>的决定》（国发</w:t>
      </w:r>
      <w:r>
        <w:rPr>
          <w:rFonts w:hint="default" w:ascii="Times New Roman" w:hAnsi="Times New Roman" w:eastAsia="Times New Roman" w:cs="Times New Roman"/>
          <w:color w:val="auto"/>
          <w:spacing w:val="-8"/>
          <w:sz w:val="24"/>
          <w:szCs w:val="24"/>
          <w:highlight w:val="none"/>
        </w:rPr>
        <w:t>[2005]39</w:t>
      </w:r>
      <w:r>
        <w:rPr>
          <w:rFonts w:hint="default" w:ascii="Times New Roman" w:hAnsi="Times New Roman" w:eastAsia="宋体" w:cs="Times New Roman"/>
          <w:color w:val="auto"/>
          <w:spacing w:val="-8"/>
          <w:sz w:val="24"/>
          <w:szCs w:val="24"/>
          <w:highlight w:val="none"/>
        </w:rPr>
        <w:t>号</w:t>
      </w:r>
      <w:r>
        <w:rPr>
          <w:rFonts w:hint="default" w:ascii="Times New Roman" w:hAnsi="Times New Roman" w:eastAsia="宋体" w:cs="Times New Roman"/>
          <w:color w:val="auto"/>
          <w:spacing w:val="-12"/>
          <w:sz w:val="24"/>
          <w:szCs w:val="24"/>
          <w:highlight w:val="none"/>
        </w:rPr>
        <w:t>）；</w:t>
      </w:r>
    </w:p>
    <w:p w14:paraId="1C70204F">
      <w:pPr>
        <w:keepNext w:val="0"/>
        <w:keepLines w:val="0"/>
        <w:pageBreakBefore w:val="0"/>
        <w:kinsoku/>
        <w:wordWrap w:val="0"/>
        <w:overflowPunct/>
        <w:topLinePunct/>
        <w:autoSpaceDE/>
        <w:autoSpaceDN/>
        <w:bidi w:val="0"/>
        <w:adjustRightInd w:val="0"/>
        <w:snapToGrid w:val="0"/>
        <w:spacing w:before="54" w:line="232" w:lineRule="auto"/>
        <w:ind w:left="9"/>
        <w:textAlignment w:val="baseline"/>
        <w:outlineLvl w:val="2"/>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宋体" w:cs="Times New Roman"/>
          <w:b/>
          <w:bCs/>
          <w:color w:val="auto"/>
          <w:spacing w:val="-3"/>
          <w:sz w:val="24"/>
          <w:szCs w:val="24"/>
          <w:highlight w:val="none"/>
          <w:lang w:val="en-US" w:eastAsia="zh-CN"/>
        </w:rPr>
        <w:t>5</w:t>
      </w:r>
      <w:r>
        <w:rPr>
          <w:rFonts w:hint="default" w:ascii="Times New Roman" w:hAnsi="Times New Roman" w:eastAsia="Times New Roman" w:cs="Times New Roman"/>
          <w:b/>
          <w:bCs/>
          <w:color w:val="auto"/>
          <w:spacing w:val="-3"/>
          <w:sz w:val="24"/>
          <w:szCs w:val="24"/>
          <w:highlight w:val="none"/>
        </w:rPr>
        <w:t>.3</w:t>
      </w:r>
      <w:r>
        <w:rPr>
          <w:rFonts w:hint="default" w:ascii="Times New Roman" w:hAnsi="Times New Roman" w:eastAsia="宋体" w:cs="Times New Roman"/>
          <w:b/>
          <w:bCs/>
          <w:color w:val="auto"/>
          <w:spacing w:val="-3"/>
          <w:sz w:val="24"/>
          <w:szCs w:val="24"/>
          <w:highlight w:val="none"/>
        </w:rPr>
        <w:t>评价重点</w:t>
      </w:r>
      <w:bookmarkEnd w:id="48"/>
    </w:p>
    <w:p w14:paraId="3203E840">
      <w:pPr>
        <w:keepNext w:val="0"/>
        <w:keepLines w:val="0"/>
        <w:pageBreakBefore w:val="0"/>
        <w:kinsoku/>
        <w:wordWrap w:val="0"/>
        <w:overflowPunct/>
        <w:topLinePunct/>
        <w:autoSpaceDE/>
        <w:autoSpaceDN/>
        <w:bidi w:val="0"/>
        <w:adjustRightInd w:val="0"/>
        <w:snapToGrid w:val="0"/>
        <w:spacing w:before="214" w:line="360" w:lineRule="auto"/>
        <w:ind w:right="66" w:firstLine="479"/>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根据《畜禽规模养殖污染防治条例》（</w:t>
      </w:r>
      <w:r>
        <w:rPr>
          <w:rFonts w:hint="default" w:ascii="Times New Roman" w:hAnsi="Times New Roman" w:eastAsia="Times New Roman" w:cs="Times New Roman"/>
          <w:color w:val="auto"/>
          <w:spacing w:val="-4"/>
          <w:sz w:val="24"/>
          <w:szCs w:val="24"/>
          <w:highlight w:val="none"/>
        </w:rPr>
        <w:t>2014</w:t>
      </w:r>
      <w:r>
        <w:rPr>
          <w:rFonts w:hint="default" w:ascii="Times New Roman" w:hAnsi="Times New Roman" w:eastAsia="宋体" w:cs="Times New Roman"/>
          <w:color w:val="auto"/>
          <w:spacing w:val="-4"/>
          <w:sz w:val="24"/>
          <w:szCs w:val="24"/>
          <w:highlight w:val="none"/>
        </w:rPr>
        <w:t>年</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rPr>
        <w:t>日起实施）要求并结</w:t>
      </w:r>
      <w:r>
        <w:rPr>
          <w:rFonts w:hint="default" w:ascii="Times New Roman" w:hAnsi="Times New Roman" w:eastAsia="宋体" w:cs="Times New Roman"/>
          <w:color w:val="auto"/>
          <w:spacing w:val="-5"/>
          <w:sz w:val="24"/>
          <w:szCs w:val="24"/>
          <w:highlight w:val="none"/>
        </w:rPr>
        <w:t>合项</w:t>
      </w:r>
      <w:r>
        <w:rPr>
          <w:rFonts w:hint="default" w:ascii="Times New Roman" w:hAnsi="Times New Roman" w:eastAsia="宋体" w:cs="Times New Roman"/>
          <w:color w:val="auto"/>
          <w:spacing w:val="-3"/>
          <w:sz w:val="24"/>
          <w:szCs w:val="24"/>
          <w:highlight w:val="none"/>
        </w:rPr>
        <w:t>目自身特点，环境影响评价的重点应当包括：畜禽养殖产生的废弃物种类和数量，废弃物综合利用和无害化处理方案和措施，废弃物的消纳和处理情况以及向环境直接排放的情况，最终可能对大气、地表水体和地下水水体、土壤等环境和人体健康产生的影响以及控制和减少影响的方案和措施等。</w:t>
      </w:r>
    </w:p>
    <w:p w14:paraId="124DDDE5">
      <w:pPr>
        <w:keepNext w:val="0"/>
        <w:keepLines w:val="0"/>
        <w:pageBreakBefore w:val="0"/>
        <w:kinsoku/>
        <w:wordWrap w:val="0"/>
        <w:overflowPunct/>
        <w:topLinePunct/>
        <w:autoSpaceDE/>
        <w:autoSpaceDN/>
        <w:bidi w:val="0"/>
        <w:adjustRightInd w:val="0"/>
        <w:snapToGrid w:val="0"/>
        <w:spacing w:before="46" w:line="232" w:lineRule="auto"/>
        <w:ind w:left="10"/>
        <w:textAlignment w:val="baseline"/>
        <w:outlineLvl w:val="1"/>
        <w:rPr>
          <w:rFonts w:hint="default" w:ascii="Times New Roman" w:hAnsi="Times New Roman" w:eastAsia="宋体" w:cs="Times New Roman"/>
          <w:color w:val="auto"/>
          <w:sz w:val="28"/>
          <w:szCs w:val="28"/>
          <w:highlight w:val="none"/>
        </w:rPr>
      </w:pPr>
      <w:bookmarkStart w:id="49" w:name="_Toc18622"/>
      <w:bookmarkStart w:id="50" w:name="_Toc7508"/>
      <w:bookmarkStart w:id="51" w:name="_Toc18212"/>
      <w:r>
        <w:rPr>
          <w:rFonts w:hint="default" w:ascii="Times New Roman" w:hAnsi="Times New Roman" w:eastAsia="Times New Roman" w:cs="Times New Roman"/>
          <w:b/>
          <w:bCs/>
          <w:color w:val="auto"/>
          <w:spacing w:val="-3"/>
          <w:sz w:val="28"/>
          <w:szCs w:val="28"/>
          <w:highlight w:val="none"/>
        </w:rPr>
        <w:t>1.</w:t>
      </w:r>
      <w:r>
        <w:rPr>
          <w:rFonts w:hint="default" w:ascii="Times New Roman" w:hAnsi="Times New Roman" w:eastAsia="宋体" w:cs="Times New Roman"/>
          <w:b/>
          <w:bCs/>
          <w:color w:val="auto"/>
          <w:spacing w:val="-3"/>
          <w:sz w:val="28"/>
          <w:szCs w:val="28"/>
          <w:highlight w:val="none"/>
          <w:lang w:val="en-US" w:eastAsia="zh-CN"/>
        </w:rPr>
        <w:t>6</w:t>
      </w:r>
      <w:r>
        <w:rPr>
          <w:rFonts w:hint="default" w:ascii="Times New Roman" w:hAnsi="Times New Roman" w:eastAsia="宋体" w:cs="Times New Roman"/>
          <w:b/>
          <w:bCs/>
          <w:color w:val="auto"/>
          <w:spacing w:val="-3"/>
          <w:sz w:val="28"/>
          <w:szCs w:val="28"/>
          <w:highlight w:val="none"/>
        </w:rPr>
        <w:t>环境影响报告书的主要结论</w:t>
      </w:r>
      <w:bookmarkEnd w:id="49"/>
      <w:bookmarkEnd w:id="50"/>
      <w:bookmarkEnd w:id="51"/>
    </w:p>
    <w:p w14:paraId="0C14AB3F">
      <w:pPr>
        <w:keepNext w:val="0"/>
        <w:keepLines w:val="0"/>
        <w:pageBreakBefore w:val="0"/>
        <w:widowControl/>
        <w:kinsoku/>
        <w:wordWrap w:val="0"/>
        <w:overflowPunct/>
        <w:topLinePunct/>
        <w:autoSpaceDE/>
        <w:autoSpaceDN/>
        <w:bidi w:val="0"/>
        <w:adjustRightInd w:val="0"/>
        <w:snapToGrid w:val="0"/>
        <w:spacing w:before="199" w:line="360" w:lineRule="auto"/>
        <w:ind w:right="64" w:firstLine="480"/>
        <w:jc w:val="both"/>
        <w:textAlignment w:val="baseline"/>
        <w:rPr>
          <w:rFonts w:hint="default" w:ascii="Times New Roman" w:hAnsi="Times New Roman" w:eastAsia="宋体" w:cs="Times New Roman"/>
          <w:color w:val="auto"/>
          <w:spacing w:val="-3"/>
          <w:sz w:val="24"/>
          <w:szCs w:val="24"/>
          <w:highlight w:val="none"/>
          <w:lang w:eastAsia="zh-CN"/>
        </w:rPr>
      </w:pPr>
      <w:r>
        <w:rPr>
          <w:rFonts w:hint="default" w:ascii="Times New Roman" w:hAnsi="Times New Roman" w:eastAsia="宋体" w:cs="Times New Roman"/>
          <w:color w:val="auto"/>
          <w:spacing w:val="-3"/>
          <w:sz w:val="24"/>
          <w:szCs w:val="24"/>
          <w:highlight w:val="none"/>
          <w:lang w:eastAsia="zh-CN"/>
        </w:rPr>
        <w:t>综上所述，本项目符合国家产业政策，项目选址可行；项目污染防治措施有效可行，废气污染物可实现达标排放，噪声厂界达标，固体废物全部得到综合利用或合理处置，各类污染物的排放对周围环境影响在采取相应环保措施下，满足长期稳定达标及生态保护要求；项目风险水平在可接受范围内；项目能够被公众认可。因此，本次评价认为，在该项目建设过程中有效落实各项环境保护措施、风险防范措施及其它措施，并充分考虑环评提出的建议后，从环境保护角度分析，该项目的建设可行。</w:t>
      </w:r>
    </w:p>
    <w:p w14:paraId="21E1AE1B">
      <w:pPr>
        <w:rPr>
          <w:rFonts w:hint="default" w:ascii="Times New Roman" w:hAnsi="Times New Roman" w:eastAsia="Times New Roman" w:cs="Times New Roman"/>
          <w:b/>
          <w:bCs/>
          <w:color w:val="auto"/>
          <w:sz w:val="32"/>
          <w:szCs w:val="32"/>
          <w:highlight w:val="none"/>
        </w:rPr>
      </w:pPr>
      <w:bookmarkStart w:id="52" w:name="_Toc5708"/>
      <w:bookmarkStart w:id="53" w:name="_Toc17462"/>
      <w:r>
        <w:rPr>
          <w:rFonts w:hint="default" w:ascii="Times New Roman" w:hAnsi="Times New Roman" w:eastAsia="Times New Roman" w:cs="Times New Roman"/>
          <w:b/>
          <w:bCs/>
          <w:color w:val="auto"/>
          <w:sz w:val="32"/>
          <w:szCs w:val="32"/>
          <w:highlight w:val="none"/>
        </w:rPr>
        <w:br w:type="page"/>
      </w:r>
    </w:p>
    <w:p w14:paraId="258006C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9"/>
        <w:rPr>
          <w:rFonts w:hint="default" w:ascii="Times New Roman" w:hAnsi="Times New Roman" w:eastAsia="Times New Roman" w:cs="Times New Roman"/>
          <w:b/>
          <w:bCs/>
          <w:color w:val="auto"/>
          <w:sz w:val="32"/>
          <w:szCs w:val="32"/>
          <w:highlight w:val="none"/>
        </w:rPr>
      </w:pPr>
      <w:bookmarkStart w:id="54" w:name="_Toc27597"/>
      <w:r>
        <w:rPr>
          <w:rFonts w:hint="default" w:ascii="Times New Roman" w:hAnsi="Times New Roman" w:eastAsia="Times New Roman" w:cs="Times New Roman"/>
          <w:b/>
          <w:bCs/>
          <w:color w:val="auto"/>
          <w:sz w:val="32"/>
          <w:szCs w:val="32"/>
          <w:highlight w:val="none"/>
        </w:rPr>
        <w:t>2.总则</w:t>
      </w:r>
      <w:bookmarkEnd w:id="52"/>
      <w:bookmarkEnd w:id="53"/>
      <w:bookmarkEnd w:id="54"/>
    </w:p>
    <w:p w14:paraId="26F999C4">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宋体" w:cs="Times New Roman"/>
          <w:color w:val="auto"/>
          <w:sz w:val="28"/>
          <w:szCs w:val="28"/>
          <w:highlight w:val="none"/>
        </w:rPr>
      </w:pPr>
      <w:bookmarkStart w:id="55" w:name="_Toc19928"/>
      <w:bookmarkStart w:id="56" w:name="_Toc23805"/>
      <w:bookmarkStart w:id="57" w:name="_Toc24815"/>
      <w:r>
        <w:rPr>
          <w:rFonts w:hint="default" w:ascii="Times New Roman" w:hAnsi="Times New Roman" w:eastAsia="Times New Roman" w:cs="Times New Roman"/>
          <w:b/>
          <w:bCs/>
          <w:color w:val="auto"/>
          <w:spacing w:val="-2"/>
          <w:sz w:val="28"/>
          <w:szCs w:val="28"/>
          <w:highlight w:val="none"/>
        </w:rPr>
        <w:t>2.1</w:t>
      </w:r>
      <w:r>
        <w:rPr>
          <w:rFonts w:hint="default" w:ascii="Times New Roman" w:hAnsi="Times New Roman" w:eastAsia="宋体" w:cs="Times New Roman"/>
          <w:b/>
          <w:bCs/>
          <w:color w:val="auto"/>
          <w:spacing w:val="-2"/>
          <w:sz w:val="28"/>
          <w:szCs w:val="28"/>
          <w:highlight w:val="none"/>
        </w:rPr>
        <w:t>环境影响评价原则</w:t>
      </w:r>
      <w:bookmarkEnd w:id="55"/>
      <w:bookmarkEnd w:id="56"/>
      <w:bookmarkEnd w:id="57"/>
    </w:p>
    <w:p w14:paraId="24C73CDE">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突出环境影响评价的源头预防作用，坚持保护和改善环境质量。</w:t>
      </w:r>
    </w:p>
    <w:p w14:paraId="3735729A">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7"/>
          <w:sz w:val="24"/>
          <w:szCs w:val="24"/>
          <w:highlight w:val="none"/>
        </w:rPr>
        <w:t>1</w:t>
      </w:r>
      <w:r>
        <w:rPr>
          <w:rFonts w:hint="default" w:ascii="Times New Roman" w:hAnsi="Times New Roman" w:eastAsia="宋体" w:cs="Times New Roman"/>
          <w:color w:val="auto"/>
          <w:spacing w:val="-7"/>
          <w:sz w:val="24"/>
          <w:szCs w:val="24"/>
          <w:highlight w:val="none"/>
        </w:rPr>
        <w:t>、依法评价</w:t>
      </w:r>
    </w:p>
    <w:p w14:paraId="04B4E849">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根据我国环境保护相关法律法规、标准、政策和规划等，优化项目建设，服务环</w:t>
      </w:r>
      <w:r>
        <w:rPr>
          <w:rFonts w:hint="default" w:ascii="Times New Roman" w:hAnsi="Times New Roman" w:eastAsia="宋体" w:cs="Times New Roman"/>
          <w:color w:val="auto"/>
          <w:spacing w:val="-9"/>
          <w:sz w:val="24"/>
          <w:szCs w:val="24"/>
          <w:highlight w:val="none"/>
        </w:rPr>
        <w:t>境管理。</w:t>
      </w:r>
    </w:p>
    <w:p w14:paraId="144AB7CC">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、科学评价</w:t>
      </w:r>
    </w:p>
    <w:p w14:paraId="4C198703">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采用规范环境影响评价方法，科学分析项目建设对环境质量的影响。</w:t>
      </w:r>
    </w:p>
    <w:p w14:paraId="3D58A9CB">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5"/>
          <w:sz w:val="24"/>
          <w:szCs w:val="24"/>
          <w:highlight w:val="none"/>
        </w:rPr>
        <w:t>3</w:t>
      </w:r>
      <w:r>
        <w:rPr>
          <w:rFonts w:hint="default" w:ascii="Times New Roman" w:hAnsi="Times New Roman" w:eastAsia="宋体" w:cs="Times New Roman"/>
          <w:color w:val="auto"/>
          <w:spacing w:val="-5"/>
          <w:sz w:val="24"/>
          <w:szCs w:val="24"/>
          <w:highlight w:val="none"/>
        </w:rPr>
        <w:t>、突出重点</w:t>
      </w:r>
    </w:p>
    <w:p w14:paraId="4986EE07">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根据建设项目的工程内容及其特点，明确与环境要素间的作用效应关系，根据规划环境影响评价结论和审查意见，充分利用符合时效的数据资料及成果，对建设项目主要环境影响予以重点分析和评价。</w:t>
      </w:r>
    </w:p>
    <w:p w14:paraId="0118A33F">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2"/>
          <w:sz w:val="28"/>
          <w:szCs w:val="28"/>
          <w:highlight w:val="none"/>
        </w:rPr>
      </w:pPr>
      <w:bookmarkStart w:id="58" w:name="_Toc30672"/>
      <w:bookmarkStart w:id="59" w:name="_Toc6098"/>
      <w:bookmarkStart w:id="60" w:name="_Toc19031"/>
      <w:r>
        <w:rPr>
          <w:rFonts w:hint="default" w:ascii="Times New Roman" w:hAnsi="Times New Roman" w:eastAsia="Times New Roman" w:cs="Times New Roman"/>
          <w:b/>
          <w:bCs/>
          <w:color w:val="auto"/>
          <w:spacing w:val="-2"/>
          <w:sz w:val="28"/>
          <w:szCs w:val="28"/>
          <w:highlight w:val="none"/>
        </w:rPr>
        <w:t>2.2评价目的</w:t>
      </w:r>
      <w:bookmarkEnd w:id="58"/>
      <w:bookmarkEnd w:id="59"/>
      <w:bookmarkEnd w:id="60"/>
    </w:p>
    <w:p w14:paraId="0C36BA9A">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本评价紧密结合项目所在区域的环境特点，以详尽的</w:t>
      </w:r>
      <w:r>
        <w:rPr>
          <w:rFonts w:hint="default" w:ascii="Times New Roman" w:hAnsi="Times New Roman" w:eastAsia="宋体" w:cs="Times New Roman"/>
          <w:color w:val="auto"/>
          <w:spacing w:val="-5"/>
          <w:sz w:val="24"/>
          <w:szCs w:val="24"/>
          <w:highlight w:val="none"/>
        </w:rPr>
        <w:t>基础资料和数据资料为基础，</w:t>
      </w:r>
      <w:r>
        <w:rPr>
          <w:rFonts w:hint="default" w:ascii="Times New Roman" w:hAnsi="Times New Roman" w:eastAsia="宋体" w:cs="Times New Roman"/>
          <w:color w:val="auto"/>
          <w:spacing w:val="-3"/>
          <w:sz w:val="24"/>
          <w:szCs w:val="24"/>
          <w:highlight w:val="none"/>
        </w:rPr>
        <w:t>始终贯彻预防为主的生态环境保护和污染防治技术政策，以实事求是的科学态度开展</w:t>
      </w:r>
      <w:r>
        <w:rPr>
          <w:rFonts w:hint="default" w:ascii="Times New Roman" w:hAnsi="Times New Roman" w:eastAsia="宋体" w:cs="Times New Roman"/>
          <w:color w:val="auto"/>
          <w:spacing w:val="2"/>
          <w:sz w:val="24"/>
          <w:szCs w:val="24"/>
          <w:highlight w:val="none"/>
        </w:rPr>
        <w:t>本项目的环境影响评价工作，充分发挥环境影响评价的</w:t>
      </w: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宋体" w:cs="Times New Roman"/>
          <w:color w:val="auto"/>
          <w:spacing w:val="2"/>
          <w:sz w:val="24"/>
          <w:szCs w:val="24"/>
          <w:highlight w:val="none"/>
        </w:rPr>
        <w:t>判断、预测、选择和导向</w:t>
      </w:r>
      <w:r>
        <w:rPr>
          <w:rFonts w:hint="default" w:ascii="Times New Roman" w:hAnsi="Times New Roman" w:eastAsia="Times New Roman" w:cs="Times New Roman"/>
          <w:color w:val="auto"/>
          <w:spacing w:val="2"/>
          <w:sz w:val="24"/>
          <w:szCs w:val="24"/>
          <w:highlight w:val="none"/>
        </w:rPr>
        <w:t>”</w:t>
      </w:r>
      <w:r>
        <w:rPr>
          <w:rFonts w:hint="default" w:ascii="Times New Roman" w:hAnsi="Times New Roman" w:eastAsia="宋体" w:cs="Times New Roman"/>
          <w:color w:val="auto"/>
          <w:spacing w:val="-5"/>
          <w:sz w:val="24"/>
          <w:szCs w:val="24"/>
          <w:highlight w:val="none"/>
        </w:rPr>
        <w:t>作用。因此，本次评价目的如下：</w:t>
      </w:r>
    </w:p>
    <w:p w14:paraId="79E7AAD8">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
          <w:sz w:val="24"/>
          <w:szCs w:val="24"/>
          <w:highlight w:val="none"/>
        </w:rPr>
        <w:t>1</w:t>
      </w:r>
      <w:r>
        <w:rPr>
          <w:rFonts w:hint="default" w:ascii="Times New Roman" w:hAnsi="Times New Roman" w:eastAsia="宋体" w:cs="Times New Roman"/>
          <w:color w:val="auto"/>
          <w:spacing w:val="-1"/>
          <w:sz w:val="24"/>
          <w:szCs w:val="24"/>
          <w:highlight w:val="none"/>
        </w:rPr>
        <w:t>、根据区域的资源情况，结合国家相关产业政策、环境保护政策，分析论证本</w:t>
      </w:r>
      <w:r>
        <w:rPr>
          <w:rFonts w:hint="default" w:ascii="Times New Roman" w:hAnsi="Times New Roman" w:eastAsia="宋体" w:cs="Times New Roman"/>
          <w:color w:val="auto"/>
          <w:spacing w:val="-5"/>
          <w:sz w:val="24"/>
          <w:szCs w:val="24"/>
          <w:highlight w:val="none"/>
        </w:rPr>
        <w:t>项目的环境可行性。</w:t>
      </w:r>
    </w:p>
    <w:p w14:paraId="2C00C5F5">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z w:val="24"/>
          <w:szCs w:val="24"/>
          <w:highlight w:val="none"/>
        </w:rPr>
        <w:t>2</w:t>
      </w:r>
      <w:r>
        <w:rPr>
          <w:rFonts w:hint="default" w:ascii="Times New Roman" w:hAnsi="Times New Roman" w:eastAsia="宋体" w:cs="Times New Roman"/>
          <w:color w:val="auto"/>
          <w:sz w:val="24"/>
          <w:szCs w:val="24"/>
          <w:highlight w:val="none"/>
        </w:rPr>
        <w:t>、通过对项目所在区域环境质量现状调查、环境质量现状监测及区域现状污染</w:t>
      </w:r>
      <w:r>
        <w:rPr>
          <w:rFonts w:hint="default" w:ascii="Times New Roman" w:hAnsi="Times New Roman" w:eastAsia="宋体" w:cs="Times New Roman"/>
          <w:color w:val="auto"/>
          <w:spacing w:val="-2"/>
          <w:sz w:val="24"/>
          <w:szCs w:val="24"/>
          <w:highlight w:val="none"/>
        </w:rPr>
        <w:t>源调查，掌握该区域环境质量现状和污染源分布情况。</w:t>
      </w:r>
    </w:p>
    <w:p w14:paraId="624080D6">
      <w:pPr>
        <w:keepNext w:val="0"/>
        <w:keepLines w:val="0"/>
        <w:pageBreakBefore w:val="0"/>
        <w:widowControl/>
        <w:kinsoku/>
        <w:wordWrap w:val="0"/>
        <w:overflowPunct/>
        <w:topLinePunct/>
        <w:autoSpaceDE/>
        <w:autoSpaceDN/>
        <w:bidi w:val="0"/>
        <w:adjustRightInd w:val="0"/>
        <w:snapToGrid w:val="0"/>
        <w:spacing w:line="360" w:lineRule="auto"/>
        <w:ind w:left="0" w:right="0" w:firstLine="44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0"/>
          <w:sz w:val="24"/>
          <w:szCs w:val="24"/>
          <w:highlight w:val="none"/>
        </w:rPr>
        <w:t>3</w:t>
      </w:r>
      <w:r>
        <w:rPr>
          <w:rFonts w:hint="default" w:ascii="Times New Roman" w:hAnsi="Times New Roman" w:eastAsia="宋体" w:cs="Times New Roman"/>
          <w:color w:val="auto"/>
          <w:spacing w:val="-10"/>
          <w:sz w:val="24"/>
          <w:szCs w:val="24"/>
          <w:highlight w:val="none"/>
        </w:rPr>
        <w:t>、通过工程分析，明确本项目的工作流程、产污环节及污染物排放特性、特点，</w:t>
      </w:r>
      <w:r>
        <w:rPr>
          <w:rFonts w:hint="default" w:ascii="Times New Roman" w:hAnsi="Times New Roman" w:eastAsia="宋体" w:cs="Times New Roman"/>
          <w:color w:val="auto"/>
          <w:spacing w:val="-9"/>
          <w:sz w:val="24"/>
          <w:szCs w:val="24"/>
          <w:highlight w:val="none"/>
        </w:rPr>
        <w:t>弄清其</w:t>
      </w:r>
      <w:r>
        <w:rPr>
          <w:rFonts w:hint="default" w:ascii="Times New Roman" w:hAnsi="Times New Roman" w:eastAsia="宋体" w:cs="Times New Roman"/>
          <w:color w:val="auto"/>
          <w:spacing w:val="-9"/>
          <w:sz w:val="24"/>
          <w:szCs w:val="24"/>
          <w:highlight w:val="none"/>
          <w:lang w:eastAsia="zh-CN"/>
        </w:rPr>
        <w:t>“</w:t>
      </w:r>
      <w:r>
        <w:rPr>
          <w:rFonts w:hint="default" w:ascii="Times New Roman" w:hAnsi="Times New Roman" w:eastAsia="宋体" w:cs="Times New Roman"/>
          <w:color w:val="auto"/>
          <w:spacing w:val="-9"/>
          <w:sz w:val="24"/>
          <w:szCs w:val="24"/>
          <w:highlight w:val="none"/>
        </w:rPr>
        <w:t>三废</w:t>
      </w:r>
      <w:r>
        <w:rPr>
          <w:rFonts w:hint="default" w:ascii="Times New Roman" w:hAnsi="Times New Roman" w:eastAsia="宋体" w:cs="Times New Roman"/>
          <w:color w:val="auto"/>
          <w:spacing w:val="-9"/>
          <w:sz w:val="24"/>
          <w:szCs w:val="24"/>
          <w:highlight w:val="none"/>
          <w:lang w:eastAsia="zh-CN"/>
        </w:rPr>
        <w:t>”</w:t>
      </w:r>
      <w:r>
        <w:rPr>
          <w:rFonts w:hint="default" w:ascii="Times New Roman" w:hAnsi="Times New Roman" w:eastAsia="宋体" w:cs="Times New Roman"/>
          <w:color w:val="auto"/>
          <w:spacing w:val="-9"/>
          <w:sz w:val="24"/>
          <w:szCs w:val="24"/>
          <w:highlight w:val="none"/>
        </w:rPr>
        <w:t>排放规律、排放去向；核算</w:t>
      </w:r>
      <w:r>
        <w:rPr>
          <w:rFonts w:hint="default" w:ascii="Times New Roman" w:hAnsi="Times New Roman" w:eastAsia="宋体" w:cs="Times New Roman"/>
          <w:color w:val="auto"/>
          <w:spacing w:val="-9"/>
          <w:sz w:val="24"/>
          <w:szCs w:val="24"/>
          <w:highlight w:val="none"/>
          <w:lang w:eastAsia="zh-CN"/>
        </w:rPr>
        <w:t>“</w:t>
      </w:r>
      <w:r>
        <w:rPr>
          <w:rFonts w:hint="default" w:ascii="Times New Roman" w:hAnsi="Times New Roman" w:eastAsia="宋体" w:cs="Times New Roman"/>
          <w:color w:val="auto"/>
          <w:spacing w:val="-9"/>
          <w:sz w:val="24"/>
          <w:szCs w:val="24"/>
          <w:highlight w:val="none"/>
        </w:rPr>
        <w:t>三废</w:t>
      </w:r>
      <w:r>
        <w:rPr>
          <w:rFonts w:hint="default" w:ascii="Times New Roman" w:hAnsi="Times New Roman" w:eastAsia="宋体" w:cs="Times New Roman"/>
          <w:color w:val="auto"/>
          <w:spacing w:val="-9"/>
          <w:sz w:val="24"/>
          <w:szCs w:val="24"/>
          <w:highlight w:val="none"/>
          <w:lang w:eastAsia="zh-CN"/>
        </w:rPr>
        <w:t>”</w:t>
      </w:r>
      <w:r>
        <w:rPr>
          <w:rFonts w:hint="default" w:ascii="Times New Roman" w:hAnsi="Times New Roman" w:eastAsia="宋体" w:cs="Times New Roman"/>
          <w:color w:val="auto"/>
          <w:spacing w:val="-9"/>
          <w:sz w:val="24"/>
          <w:szCs w:val="24"/>
          <w:highlight w:val="none"/>
        </w:rPr>
        <w:t>产生量、排放量及排放浓度。</w:t>
      </w:r>
    </w:p>
    <w:p w14:paraId="09847DBD">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
          <w:sz w:val="24"/>
          <w:szCs w:val="24"/>
          <w:highlight w:val="none"/>
        </w:rPr>
        <w:t>4</w:t>
      </w:r>
      <w:r>
        <w:rPr>
          <w:rFonts w:hint="default" w:ascii="Times New Roman" w:hAnsi="Times New Roman" w:eastAsia="宋体" w:cs="Times New Roman"/>
          <w:color w:val="auto"/>
          <w:spacing w:val="-1"/>
          <w:sz w:val="24"/>
          <w:szCs w:val="24"/>
          <w:highlight w:val="none"/>
        </w:rPr>
        <w:t>、预测或分析本项目排放的污染物对周围环境造成的影响</w:t>
      </w:r>
      <w:r>
        <w:rPr>
          <w:rFonts w:hint="default" w:ascii="Times New Roman" w:hAnsi="Times New Roman" w:eastAsia="宋体" w:cs="Times New Roman"/>
          <w:color w:val="auto"/>
          <w:spacing w:val="-2"/>
          <w:sz w:val="24"/>
          <w:szCs w:val="24"/>
          <w:highlight w:val="none"/>
        </w:rPr>
        <w:t>程度及范围。</w:t>
      </w:r>
    </w:p>
    <w:p w14:paraId="76EFD6B8">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7"/>
          <w:sz w:val="24"/>
          <w:szCs w:val="24"/>
          <w:highlight w:val="none"/>
        </w:rPr>
        <w:t>5</w:t>
      </w:r>
      <w:r>
        <w:rPr>
          <w:rFonts w:hint="default" w:ascii="Times New Roman" w:hAnsi="Times New Roman" w:eastAsia="宋体" w:cs="Times New Roman"/>
          <w:color w:val="auto"/>
          <w:spacing w:val="-7"/>
          <w:sz w:val="24"/>
          <w:szCs w:val="24"/>
          <w:highlight w:val="none"/>
        </w:rPr>
        <w:t>、结合当前技术经济条件，提出技术经济可行的污染防治措施和生态保</w:t>
      </w:r>
      <w:r>
        <w:rPr>
          <w:rFonts w:hint="default" w:ascii="Times New Roman" w:hAnsi="Times New Roman" w:eastAsia="宋体" w:cs="Times New Roman"/>
          <w:color w:val="auto"/>
          <w:spacing w:val="-8"/>
          <w:sz w:val="24"/>
          <w:szCs w:val="24"/>
          <w:highlight w:val="none"/>
        </w:rPr>
        <w:t>护措施。</w:t>
      </w:r>
    </w:p>
    <w:p w14:paraId="007EFB84">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Times New Roman" w:cs="Times New Roman"/>
          <w:color w:val="auto"/>
          <w:sz w:val="24"/>
          <w:szCs w:val="24"/>
          <w:highlight w:val="none"/>
        </w:rPr>
        <w:t>6</w:t>
      </w:r>
      <w:r>
        <w:rPr>
          <w:rFonts w:hint="default" w:ascii="Times New Roman" w:hAnsi="Times New Roman" w:eastAsia="宋体" w:cs="Times New Roman"/>
          <w:color w:val="auto"/>
          <w:sz w:val="24"/>
          <w:szCs w:val="24"/>
          <w:highlight w:val="none"/>
        </w:rPr>
        <w:t>、将环境污染防治对策和生态保护措施及时反馈到环境管理中，确保污染物达</w:t>
      </w:r>
      <w:r>
        <w:rPr>
          <w:rFonts w:hint="default" w:ascii="Times New Roman" w:hAnsi="Times New Roman" w:eastAsia="宋体" w:cs="Times New Roman"/>
          <w:color w:val="auto"/>
          <w:spacing w:val="-3"/>
          <w:sz w:val="24"/>
          <w:szCs w:val="24"/>
          <w:highlight w:val="none"/>
        </w:rPr>
        <w:t>标排放、总量控制、生态系统良性循环，将不利影响降至最低程度，实现本项目的建设与区域经济、社会和环境的协调发展。</w:t>
      </w:r>
    </w:p>
    <w:p w14:paraId="337B7235">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z w:val="24"/>
          <w:szCs w:val="24"/>
          <w:highlight w:val="none"/>
        </w:rPr>
        <w:t>7</w:t>
      </w:r>
      <w:r>
        <w:rPr>
          <w:rFonts w:hint="default" w:ascii="Times New Roman" w:hAnsi="Times New Roman" w:eastAsia="宋体" w:cs="Times New Roman"/>
          <w:color w:val="auto"/>
          <w:sz w:val="24"/>
          <w:szCs w:val="24"/>
          <w:highlight w:val="none"/>
        </w:rPr>
        <w:t>、分析本项目的清洁生产水平，提出项目的环境管理与监</w:t>
      </w:r>
      <w:r>
        <w:rPr>
          <w:rFonts w:hint="default" w:ascii="Times New Roman" w:hAnsi="Times New Roman" w:eastAsia="宋体" w:cs="Times New Roman"/>
          <w:color w:val="auto"/>
          <w:spacing w:val="-1"/>
          <w:sz w:val="24"/>
          <w:szCs w:val="24"/>
          <w:highlight w:val="none"/>
        </w:rPr>
        <w:t>测计划；从环境保护角度对本项目建设的可行性作出明确结论，为主管部门决</w:t>
      </w:r>
      <w:r>
        <w:rPr>
          <w:rFonts w:hint="default" w:ascii="Times New Roman" w:hAnsi="Times New Roman" w:eastAsia="宋体" w:cs="Times New Roman"/>
          <w:color w:val="auto"/>
          <w:spacing w:val="-2"/>
          <w:sz w:val="24"/>
          <w:szCs w:val="24"/>
          <w:highlight w:val="none"/>
        </w:rPr>
        <w:t>策和环境管理提供依据。</w:t>
      </w:r>
    </w:p>
    <w:p w14:paraId="0FCE71C1">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FF0000"/>
          <w:spacing w:val="-2"/>
          <w:sz w:val="28"/>
          <w:szCs w:val="28"/>
          <w:highlight w:val="none"/>
        </w:rPr>
      </w:pPr>
      <w:bookmarkStart w:id="61" w:name="_Toc29926"/>
      <w:bookmarkStart w:id="62" w:name="_Toc23742"/>
      <w:bookmarkStart w:id="63" w:name="_Toc3973"/>
      <w:r>
        <w:rPr>
          <w:rFonts w:hint="default" w:ascii="Times New Roman" w:hAnsi="Times New Roman" w:eastAsia="Times New Roman" w:cs="Times New Roman"/>
          <w:b/>
          <w:bCs/>
          <w:color w:val="FF0000"/>
          <w:spacing w:val="-2"/>
          <w:sz w:val="28"/>
          <w:szCs w:val="28"/>
          <w:highlight w:val="none"/>
        </w:rPr>
        <w:t>2.3编制依据</w:t>
      </w:r>
      <w:bookmarkEnd w:id="61"/>
      <w:bookmarkEnd w:id="62"/>
      <w:bookmarkEnd w:id="63"/>
    </w:p>
    <w:p w14:paraId="4515253C">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64" w:name="_Toc21368"/>
      <w:r>
        <w:rPr>
          <w:rFonts w:hint="default" w:ascii="Times New Roman" w:hAnsi="Times New Roman" w:eastAsia="宋体" w:cs="Times New Roman"/>
          <w:b/>
          <w:bCs/>
          <w:color w:val="auto"/>
          <w:spacing w:val="-2"/>
          <w:sz w:val="24"/>
          <w:szCs w:val="24"/>
          <w:highlight w:val="none"/>
          <w:lang w:val="en-US" w:eastAsia="zh-CN"/>
        </w:rPr>
        <w:t>2.3.2相关规章、政策</w:t>
      </w:r>
      <w:bookmarkEnd w:id="64"/>
    </w:p>
    <w:p w14:paraId="769F7DAD">
      <w:pPr>
        <w:keepNext w:val="0"/>
        <w:keepLines w:val="0"/>
        <w:pageBreakBefore w:val="0"/>
        <w:widowControl/>
        <w:kinsoku/>
        <w:wordWrap w:val="0"/>
        <w:overflowPunct/>
        <w:topLinePunct/>
        <w:autoSpaceDE/>
        <w:autoSpaceDN/>
        <w:bidi w:val="0"/>
        <w:adjustRightInd w:val="0"/>
        <w:snapToGrid w:val="0"/>
        <w:spacing w:line="360" w:lineRule="auto"/>
        <w:ind w:right="0" w:firstLine="44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Times New Roman" w:cs="Times New Roman"/>
          <w:color w:val="auto"/>
          <w:spacing w:val="-8"/>
          <w:sz w:val="24"/>
          <w:szCs w:val="24"/>
          <w:highlight w:val="none"/>
        </w:rPr>
        <w:t>1</w:t>
      </w:r>
      <w:r>
        <w:rPr>
          <w:rFonts w:hint="default" w:ascii="Times New Roman" w:hAnsi="Times New Roman" w:eastAsia="宋体" w:cs="Times New Roman"/>
          <w:color w:val="auto"/>
          <w:spacing w:val="-8"/>
          <w:sz w:val="24"/>
          <w:szCs w:val="24"/>
          <w:highlight w:val="none"/>
        </w:rPr>
        <w:t>）国家发展改革委《产业结构调整指导目录》（</w:t>
      </w:r>
      <w:r>
        <w:rPr>
          <w:rFonts w:hint="default" w:ascii="Times New Roman" w:hAnsi="Times New Roman" w:eastAsia="Times New Roman" w:cs="Times New Roman"/>
          <w:color w:val="auto"/>
          <w:spacing w:val="-8"/>
          <w:sz w:val="24"/>
          <w:szCs w:val="24"/>
          <w:highlight w:val="none"/>
        </w:rPr>
        <w:t>202</w:t>
      </w:r>
      <w:r>
        <w:rPr>
          <w:rFonts w:hint="default" w:ascii="Times New Roman" w:hAnsi="Times New Roman" w:eastAsia="宋体" w:cs="Times New Roman"/>
          <w:color w:val="auto"/>
          <w:spacing w:val="-8"/>
          <w:sz w:val="24"/>
          <w:szCs w:val="24"/>
          <w:highlight w:val="none"/>
          <w:lang w:val="en-US" w:eastAsia="zh-CN"/>
        </w:rPr>
        <w:t>4</w:t>
      </w:r>
      <w:r>
        <w:rPr>
          <w:rFonts w:hint="default" w:ascii="Times New Roman" w:hAnsi="Times New Roman" w:eastAsia="宋体" w:cs="Times New Roman"/>
          <w:color w:val="auto"/>
          <w:spacing w:val="-8"/>
          <w:sz w:val="24"/>
          <w:szCs w:val="24"/>
          <w:highlight w:val="none"/>
        </w:rPr>
        <w:t>年</w:t>
      </w:r>
      <w:r>
        <w:rPr>
          <w:rFonts w:hint="default" w:ascii="Times New Roman" w:hAnsi="Times New Roman" w:eastAsia="宋体" w:cs="Times New Roman"/>
          <w:color w:val="auto"/>
          <w:spacing w:val="-8"/>
          <w:sz w:val="24"/>
          <w:szCs w:val="24"/>
          <w:highlight w:val="none"/>
          <w:lang w:val="en-US" w:eastAsia="zh-CN"/>
        </w:rPr>
        <w:t>本</w:t>
      </w:r>
      <w:r>
        <w:rPr>
          <w:rFonts w:hint="default" w:ascii="Times New Roman" w:hAnsi="Times New Roman" w:eastAsia="宋体" w:cs="Times New Roman"/>
          <w:color w:val="auto"/>
          <w:spacing w:val="-8"/>
          <w:sz w:val="24"/>
          <w:szCs w:val="24"/>
          <w:highlight w:val="none"/>
        </w:rPr>
        <w:t>）。</w:t>
      </w:r>
    </w:p>
    <w:p w14:paraId="20D79F8F">
      <w:pPr>
        <w:keepNext w:val="0"/>
        <w:keepLines w:val="0"/>
        <w:pageBreakBefore w:val="0"/>
        <w:widowControl/>
        <w:kinsoku/>
        <w:wordWrap w:val="0"/>
        <w:overflowPunct/>
        <w:topLinePunct/>
        <w:autoSpaceDE/>
        <w:autoSpaceDN/>
        <w:bidi w:val="0"/>
        <w:adjustRightInd w:val="0"/>
        <w:snapToGrid w:val="0"/>
        <w:spacing w:line="360" w:lineRule="auto"/>
        <w:ind w:right="0" w:firstLine="43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2"/>
          <w:sz w:val="24"/>
          <w:szCs w:val="24"/>
          <w:highlight w:val="none"/>
          <w:lang w:eastAsia="zh-CN"/>
        </w:rPr>
        <w:t>（</w:t>
      </w:r>
      <w:r>
        <w:rPr>
          <w:rFonts w:hint="default" w:ascii="Times New Roman" w:hAnsi="Times New Roman" w:eastAsia="Times New Roman" w:cs="Times New Roman"/>
          <w:color w:val="auto"/>
          <w:spacing w:val="-12"/>
          <w:sz w:val="24"/>
          <w:szCs w:val="24"/>
          <w:highlight w:val="none"/>
        </w:rPr>
        <w:t>2</w:t>
      </w:r>
      <w:r>
        <w:rPr>
          <w:rFonts w:hint="default" w:ascii="Times New Roman" w:hAnsi="Times New Roman" w:eastAsia="宋体" w:cs="Times New Roman"/>
          <w:color w:val="auto"/>
          <w:spacing w:val="-12"/>
          <w:sz w:val="24"/>
          <w:szCs w:val="24"/>
          <w:highlight w:val="none"/>
        </w:rPr>
        <w:t>）《黑龙江省畜禽养殖废弃物资源化利用工作方案》（黑政办规</w:t>
      </w:r>
      <w:r>
        <w:rPr>
          <w:rFonts w:hint="default" w:ascii="Times New Roman" w:hAnsi="Times New Roman" w:eastAsia="Times New Roman" w:cs="Times New Roman"/>
          <w:color w:val="auto"/>
          <w:spacing w:val="-12"/>
          <w:sz w:val="24"/>
          <w:szCs w:val="24"/>
          <w:highlight w:val="none"/>
        </w:rPr>
        <w:t>[2017]7</w:t>
      </w:r>
      <w:r>
        <w:rPr>
          <w:rFonts w:hint="default" w:ascii="Times New Roman" w:hAnsi="Times New Roman" w:eastAsia="Times New Roman" w:cs="Times New Roman"/>
          <w:color w:val="auto"/>
          <w:spacing w:val="-13"/>
          <w:sz w:val="24"/>
          <w:szCs w:val="24"/>
          <w:highlight w:val="none"/>
        </w:rPr>
        <w:t>7</w:t>
      </w:r>
      <w:r>
        <w:rPr>
          <w:rFonts w:hint="default" w:ascii="Times New Roman" w:hAnsi="Times New Roman" w:eastAsia="宋体" w:cs="Times New Roman"/>
          <w:color w:val="auto"/>
          <w:spacing w:val="-13"/>
          <w:sz w:val="24"/>
          <w:szCs w:val="24"/>
          <w:highlight w:val="none"/>
        </w:rPr>
        <w:t>号）。</w:t>
      </w:r>
    </w:p>
    <w:p w14:paraId="49798A21">
      <w:pPr>
        <w:keepNext w:val="0"/>
        <w:keepLines w:val="0"/>
        <w:pageBreakBefore w:val="0"/>
        <w:widowControl/>
        <w:kinsoku/>
        <w:wordWrap/>
        <w:overflowPunct w:val="0"/>
        <w:topLinePunct/>
        <w:autoSpaceDE w:val="0"/>
        <w:autoSpaceDN w:val="0"/>
        <w:bidi w:val="0"/>
        <w:adjustRightInd w:val="0"/>
        <w:snapToGrid w:val="0"/>
        <w:spacing w:line="360" w:lineRule="auto"/>
        <w:ind w:right="0" w:firstLine="42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4"/>
          <w:sz w:val="24"/>
          <w:szCs w:val="24"/>
          <w:highlight w:val="none"/>
          <w:lang w:eastAsia="zh-CN"/>
        </w:rPr>
        <w:t>（</w:t>
      </w:r>
      <w:r>
        <w:rPr>
          <w:rFonts w:hint="default" w:ascii="Times New Roman" w:hAnsi="Times New Roman" w:eastAsia="Times New Roman" w:cs="Times New Roman"/>
          <w:color w:val="auto"/>
          <w:spacing w:val="-14"/>
          <w:sz w:val="24"/>
          <w:szCs w:val="24"/>
          <w:highlight w:val="none"/>
        </w:rPr>
        <w:t>3</w:t>
      </w:r>
      <w:r>
        <w:rPr>
          <w:rFonts w:hint="default" w:ascii="Times New Roman" w:hAnsi="Times New Roman" w:eastAsia="宋体" w:cs="Times New Roman"/>
          <w:color w:val="auto"/>
          <w:spacing w:val="-14"/>
          <w:sz w:val="24"/>
          <w:szCs w:val="24"/>
          <w:highlight w:val="none"/>
        </w:rPr>
        <w:t>）《关于促进规模化畜禽养殖有关用地政策的</w:t>
      </w:r>
      <w:r>
        <w:rPr>
          <w:rFonts w:hint="default" w:ascii="Times New Roman" w:hAnsi="Times New Roman" w:eastAsia="宋体" w:cs="Times New Roman"/>
          <w:color w:val="auto"/>
          <w:spacing w:val="-15"/>
          <w:sz w:val="24"/>
          <w:szCs w:val="24"/>
          <w:highlight w:val="none"/>
        </w:rPr>
        <w:t>通知》（国土资发</w:t>
      </w:r>
      <w:r>
        <w:rPr>
          <w:rFonts w:hint="default" w:ascii="Times New Roman" w:hAnsi="Times New Roman" w:eastAsia="Times New Roman" w:cs="Times New Roman"/>
          <w:color w:val="auto"/>
          <w:spacing w:val="-15"/>
          <w:sz w:val="24"/>
          <w:szCs w:val="24"/>
          <w:highlight w:val="none"/>
        </w:rPr>
        <w:t>[2007]220</w:t>
      </w:r>
      <w:r>
        <w:rPr>
          <w:rFonts w:hint="default" w:ascii="Times New Roman" w:hAnsi="Times New Roman" w:eastAsia="宋体" w:cs="Times New Roman"/>
          <w:color w:val="auto"/>
          <w:spacing w:val="-15"/>
          <w:sz w:val="24"/>
          <w:szCs w:val="24"/>
          <w:highlight w:val="none"/>
        </w:rPr>
        <w:t>号）。</w:t>
      </w:r>
    </w:p>
    <w:p w14:paraId="2105D8BA">
      <w:pPr>
        <w:keepNext w:val="0"/>
        <w:keepLines w:val="0"/>
        <w:pageBreakBefore w:val="0"/>
        <w:widowControl/>
        <w:kinsoku/>
        <w:wordWrap w:val="0"/>
        <w:overflowPunct/>
        <w:topLinePunct/>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4</w:t>
      </w:r>
      <w:r>
        <w:rPr>
          <w:rFonts w:hint="default" w:ascii="Times New Roman" w:hAnsi="Times New Roman" w:eastAsia="宋体" w:cs="Times New Roman"/>
          <w:color w:val="auto"/>
          <w:spacing w:val="-1"/>
          <w:sz w:val="24"/>
          <w:szCs w:val="24"/>
          <w:highlight w:val="none"/>
        </w:rPr>
        <w:t>）关于印发《</w:t>
      </w:r>
      <w:r>
        <w:rPr>
          <w:rFonts w:hint="default" w:ascii="Times New Roman" w:hAnsi="Times New Roman" w:eastAsia="Times New Roman" w:cs="Times New Roman"/>
          <w:color w:val="auto"/>
          <w:spacing w:val="-1"/>
          <w:sz w:val="24"/>
          <w:szCs w:val="24"/>
          <w:highlight w:val="none"/>
        </w:rPr>
        <w:t>2015</w:t>
      </w:r>
      <w:r>
        <w:rPr>
          <w:rFonts w:hint="default" w:ascii="Times New Roman" w:hAnsi="Times New Roman" w:eastAsia="宋体" w:cs="Times New Roman"/>
          <w:color w:val="auto"/>
          <w:spacing w:val="-1"/>
          <w:sz w:val="24"/>
          <w:szCs w:val="24"/>
          <w:highlight w:val="none"/>
        </w:rPr>
        <w:t>年黑龙江省自然生态和农村环境保护</w:t>
      </w:r>
      <w:r>
        <w:rPr>
          <w:rFonts w:hint="default" w:ascii="Times New Roman" w:hAnsi="Times New Roman" w:eastAsia="宋体" w:cs="Times New Roman"/>
          <w:color w:val="auto"/>
          <w:spacing w:val="-2"/>
          <w:sz w:val="24"/>
          <w:szCs w:val="24"/>
          <w:highlight w:val="none"/>
        </w:rPr>
        <w:t>工作要点》的通知，</w:t>
      </w:r>
      <w:r>
        <w:rPr>
          <w:rFonts w:hint="default" w:ascii="Times New Roman" w:hAnsi="Times New Roman" w:eastAsia="宋体" w:cs="Times New Roman"/>
          <w:color w:val="auto"/>
          <w:spacing w:val="-3"/>
          <w:sz w:val="24"/>
          <w:szCs w:val="24"/>
          <w:highlight w:val="none"/>
        </w:rPr>
        <w:t>黑环办</w:t>
      </w:r>
      <w:r>
        <w:rPr>
          <w:rFonts w:hint="default" w:ascii="Times New Roman" w:hAnsi="Times New Roman" w:eastAsia="Times New Roman" w:cs="Times New Roman"/>
          <w:color w:val="auto"/>
          <w:spacing w:val="-3"/>
          <w:sz w:val="24"/>
          <w:szCs w:val="24"/>
          <w:highlight w:val="none"/>
        </w:rPr>
        <w:t>[2015]51</w:t>
      </w:r>
      <w:r>
        <w:rPr>
          <w:rFonts w:hint="default" w:ascii="Times New Roman" w:hAnsi="Times New Roman" w:eastAsia="宋体" w:cs="Times New Roman"/>
          <w:color w:val="auto"/>
          <w:spacing w:val="-3"/>
          <w:sz w:val="24"/>
          <w:szCs w:val="24"/>
          <w:highlight w:val="none"/>
        </w:rPr>
        <w:t>号。</w:t>
      </w:r>
    </w:p>
    <w:p w14:paraId="0FFEE6D6">
      <w:pPr>
        <w:keepNext w:val="0"/>
        <w:keepLines w:val="0"/>
        <w:pageBreakBefore w:val="0"/>
        <w:widowControl/>
        <w:kinsoku/>
        <w:wordWrap w:val="0"/>
        <w:overflowPunct/>
        <w:topLinePunct/>
        <w:autoSpaceDE/>
        <w:autoSpaceDN/>
        <w:bidi w:val="0"/>
        <w:adjustRightInd w:val="0"/>
        <w:snapToGrid w:val="0"/>
        <w:spacing w:line="360" w:lineRule="auto"/>
        <w:ind w:right="0" w:firstLine="44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Times New Roman" w:cs="Times New Roman"/>
          <w:color w:val="auto"/>
          <w:spacing w:val="-8"/>
          <w:sz w:val="24"/>
          <w:szCs w:val="24"/>
          <w:highlight w:val="none"/>
        </w:rPr>
        <w:t>5</w:t>
      </w:r>
      <w:r>
        <w:rPr>
          <w:rFonts w:hint="default" w:ascii="Times New Roman" w:hAnsi="Times New Roman" w:eastAsia="宋体" w:cs="Times New Roman"/>
          <w:color w:val="auto"/>
          <w:spacing w:val="-8"/>
          <w:sz w:val="24"/>
          <w:szCs w:val="24"/>
          <w:highlight w:val="none"/>
        </w:rPr>
        <w:t>）《农业部关于加快推进畜禽标准化规模养殖的意见》（农牧发</w:t>
      </w:r>
      <w:r>
        <w:rPr>
          <w:rFonts w:hint="default" w:ascii="Times New Roman" w:hAnsi="Times New Roman" w:eastAsia="Times New Roman" w:cs="Times New Roman"/>
          <w:color w:val="auto"/>
          <w:spacing w:val="-8"/>
          <w:sz w:val="24"/>
          <w:szCs w:val="24"/>
          <w:highlight w:val="none"/>
        </w:rPr>
        <w:t>[2010]6</w:t>
      </w:r>
      <w:r>
        <w:rPr>
          <w:rFonts w:hint="default" w:ascii="Times New Roman" w:hAnsi="Times New Roman" w:eastAsia="宋体" w:cs="Times New Roman"/>
          <w:color w:val="auto"/>
          <w:spacing w:val="-8"/>
          <w:sz w:val="24"/>
          <w:szCs w:val="24"/>
          <w:highlight w:val="none"/>
        </w:rPr>
        <w:t>号</w:t>
      </w:r>
      <w:r>
        <w:rPr>
          <w:rFonts w:hint="default" w:ascii="Times New Roman" w:hAnsi="Times New Roman" w:eastAsia="宋体" w:cs="Times New Roman"/>
          <w:color w:val="auto"/>
          <w:spacing w:val="-45"/>
          <w:sz w:val="24"/>
          <w:szCs w:val="24"/>
          <w:highlight w:val="none"/>
        </w:rPr>
        <w:t>），</w:t>
      </w:r>
      <w:r>
        <w:rPr>
          <w:rFonts w:hint="default" w:ascii="Times New Roman" w:hAnsi="Times New Roman" w:eastAsia="Times New Roman" w:cs="Times New Roman"/>
          <w:color w:val="auto"/>
          <w:spacing w:val="-7"/>
          <w:sz w:val="24"/>
          <w:szCs w:val="24"/>
          <w:highlight w:val="none"/>
        </w:rPr>
        <w:t>2010</w:t>
      </w:r>
      <w:r>
        <w:rPr>
          <w:rFonts w:hint="default" w:ascii="Times New Roman" w:hAnsi="Times New Roman" w:eastAsia="宋体" w:cs="Times New Roman"/>
          <w:color w:val="auto"/>
          <w:spacing w:val="-7"/>
          <w:sz w:val="24"/>
          <w:szCs w:val="24"/>
          <w:highlight w:val="none"/>
        </w:rPr>
        <w:t>年</w:t>
      </w:r>
      <w:r>
        <w:rPr>
          <w:rFonts w:hint="default" w:ascii="Times New Roman" w:hAnsi="Times New Roman" w:eastAsia="Times New Roman" w:cs="Times New Roman"/>
          <w:color w:val="auto"/>
          <w:spacing w:val="-7"/>
          <w:sz w:val="24"/>
          <w:szCs w:val="24"/>
          <w:highlight w:val="none"/>
        </w:rPr>
        <w:t>3</w:t>
      </w:r>
      <w:r>
        <w:rPr>
          <w:rFonts w:hint="default" w:ascii="Times New Roman" w:hAnsi="Times New Roman" w:eastAsia="宋体" w:cs="Times New Roman"/>
          <w:color w:val="auto"/>
          <w:spacing w:val="-7"/>
          <w:sz w:val="24"/>
          <w:szCs w:val="24"/>
          <w:highlight w:val="none"/>
        </w:rPr>
        <w:t>月</w:t>
      </w:r>
      <w:r>
        <w:rPr>
          <w:rFonts w:hint="default" w:ascii="Times New Roman" w:hAnsi="Times New Roman" w:eastAsia="Times New Roman" w:cs="Times New Roman"/>
          <w:color w:val="auto"/>
          <w:spacing w:val="-7"/>
          <w:sz w:val="24"/>
          <w:szCs w:val="24"/>
          <w:highlight w:val="none"/>
        </w:rPr>
        <w:t>22</w:t>
      </w:r>
      <w:r>
        <w:rPr>
          <w:rFonts w:hint="default" w:ascii="Times New Roman" w:hAnsi="Times New Roman" w:eastAsia="宋体" w:cs="Times New Roman"/>
          <w:color w:val="auto"/>
          <w:spacing w:val="-7"/>
          <w:sz w:val="24"/>
          <w:szCs w:val="24"/>
          <w:highlight w:val="none"/>
        </w:rPr>
        <w:t>日。</w:t>
      </w:r>
    </w:p>
    <w:p w14:paraId="29DAAE89">
      <w:pPr>
        <w:keepNext w:val="0"/>
        <w:keepLines w:val="0"/>
        <w:pageBreakBefore w:val="0"/>
        <w:widowControl/>
        <w:kinsoku/>
        <w:wordWrap w:val="0"/>
        <w:overflowPunct/>
        <w:topLinePunct/>
        <w:autoSpaceDE/>
        <w:autoSpaceDN/>
        <w:bidi w:val="0"/>
        <w:adjustRightInd w:val="0"/>
        <w:snapToGrid w:val="0"/>
        <w:spacing w:line="360" w:lineRule="auto"/>
        <w:ind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Times New Roman" w:cs="Times New Roman"/>
          <w:color w:val="auto"/>
          <w:spacing w:val="-2"/>
          <w:sz w:val="24"/>
          <w:szCs w:val="24"/>
          <w:highlight w:val="none"/>
        </w:rPr>
        <w:t>6</w:t>
      </w:r>
      <w:r>
        <w:rPr>
          <w:rFonts w:hint="default" w:ascii="Times New Roman" w:hAnsi="Times New Roman" w:eastAsia="宋体" w:cs="Times New Roman"/>
          <w:color w:val="auto"/>
          <w:spacing w:val="-2"/>
          <w:sz w:val="24"/>
          <w:szCs w:val="24"/>
          <w:highlight w:val="none"/>
        </w:rPr>
        <w:t>）《黑龙江省畜禽养殖污染总量减排技术指南》（试行</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2"/>
          <w:sz w:val="24"/>
          <w:szCs w:val="24"/>
          <w:highlight w:val="none"/>
        </w:rPr>
        <w:t>2013</w:t>
      </w:r>
      <w:r>
        <w:rPr>
          <w:rFonts w:hint="default" w:ascii="Times New Roman" w:hAnsi="Times New Roman" w:eastAsia="宋体" w:cs="Times New Roman"/>
          <w:color w:val="auto"/>
          <w:spacing w:val="-2"/>
          <w:sz w:val="24"/>
          <w:szCs w:val="24"/>
          <w:highlight w:val="none"/>
        </w:rPr>
        <w:t>年</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月；</w:t>
      </w:r>
    </w:p>
    <w:p w14:paraId="7248A622">
      <w:pPr>
        <w:keepNext w:val="0"/>
        <w:keepLines w:val="0"/>
        <w:pageBreakBefore w:val="0"/>
        <w:widowControl/>
        <w:kinsoku/>
        <w:wordWrap w:val="0"/>
        <w:overflowPunct/>
        <w:topLinePunct/>
        <w:autoSpaceDE/>
        <w:autoSpaceDN/>
        <w:bidi w:val="0"/>
        <w:adjustRightInd w:val="0"/>
        <w:snapToGrid w:val="0"/>
        <w:spacing w:line="360" w:lineRule="auto"/>
        <w:ind w:right="0" w:firstLine="48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7</w:t>
      </w:r>
      <w:r>
        <w:rPr>
          <w:rFonts w:hint="default" w:ascii="Times New Roman" w:hAnsi="Times New Roman" w:eastAsia="宋体" w:cs="Times New Roman"/>
          <w:color w:val="auto"/>
          <w:spacing w:val="2"/>
          <w:sz w:val="24"/>
          <w:szCs w:val="24"/>
          <w:highlight w:val="none"/>
        </w:rPr>
        <w:t>）《关于切实加强风险防范严格环境影响评价管理的通知》（环发</w:t>
      </w:r>
      <w:r>
        <w:rPr>
          <w:rFonts w:hint="default" w:ascii="Times New Roman" w:hAnsi="Times New Roman" w:eastAsia="Times New Roman" w:cs="Times New Roman"/>
          <w:color w:val="auto"/>
          <w:spacing w:val="2"/>
          <w:sz w:val="24"/>
          <w:szCs w:val="24"/>
          <w:highlight w:val="none"/>
        </w:rPr>
        <w:t>[2012]98</w:t>
      </w:r>
      <w:r>
        <w:rPr>
          <w:rFonts w:hint="default" w:ascii="Times New Roman" w:hAnsi="Times New Roman" w:eastAsia="宋体" w:cs="Times New Roman"/>
          <w:color w:val="auto"/>
          <w:spacing w:val="-24"/>
          <w:sz w:val="24"/>
          <w:szCs w:val="24"/>
          <w:highlight w:val="none"/>
        </w:rPr>
        <w:t>号</w:t>
      </w:r>
      <w:r>
        <w:rPr>
          <w:rFonts w:hint="default" w:ascii="Times New Roman" w:hAnsi="Times New Roman" w:eastAsia="宋体" w:cs="Times New Roman"/>
          <w:color w:val="auto"/>
          <w:spacing w:val="-12"/>
          <w:sz w:val="24"/>
          <w:szCs w:val="24"/>
          <w:highlight w:val="none"/>
        </w:rPr>
        <w:t>）；</w:t>
      </w:r>
    </w:p>
    <w:p w14:paraId="31ED786A">
      <w:pPr>
        <w:keepNext w:val="0"/>
        <w:keepLines w:val="0"/>
        <w:pageBreakBefore w:val="0"/>
        <w:widowControl/>
        <w:kinsoku/>
        <w:wordWrap w:val="0"/>
        <w:overflowPunct/>
        <w:topLinePunct/>
        <w:autoSpaceDE/>
        <w:autoSpaceDN/>
        <w:bidi w:val="0"/>
        <w:adjustRightInd w:val="0"/>
        <w:snapToGrid w:val="0"/>
        <w:spacing w:line="360" w:lineRule="auto"/>
        <w:ind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8</w:t>
      </w:r>
      <w:r>
        <w:rPr>
          <w:rFonts w:hint="default" w:ascii="Times New Roman" w:hAnsi="Times New Roman" w:eastAsia="宋体" w:cs="Times New Roman"/>
          <w:color w:val="auto"/>
          <w:spacing w:val="-4"/>
          <w:sz w:val="24"/>
          <w:szCs w:val="24"/>
          <w:highlight w:val="none"/>
        </w:rPr>
        <w:t>）《关于进一步加强环境影响评价管理防范环境风险的通知》（环发</w:t>
      </w:r>
      <w:r>
        <w:rPr>
          <w:rFonts w:hint="default" w:ascii="Times New Roman" w:hAnsi="Times New Roman" w:eastAsia="Times New Roman" w:cs="Times New Roman"/>
          <w:color w:val="auto"/>
          <w:spacing w:val="-4"/>
          <w:sz w:val="24"/>
          <w:szCs w:val="24"/>
          <w:highlight w:val="none"/>
        </w:rPr>
        <w:t>[2012]77</w:t>
      </w:r>
      <w:r>
        <w:rPr>
          <w:rFonts w:hint="default" w:ascii="Times New Roman" w:hAnsi="Times New Roman" w:eastAsia="宋体" w:cs="Times New Roman"/>
          <w:color w:val="auto"/>
          <w:spacing w:val="-7"/>
          <w:sz w:val="24"/>
          <w:szCs w:val="24"/>
          <w:highlight w:val="none"/>
        </w:rPr>
        <w:t>号，</w:t>
      </w:r>
      <w:r>
        <w:rPr>
          <w:rFonts w:hint="default" w:ascii="Times New Roman" w:hAnsi="Times New Roman" w:eastAsia="Times New Roman" w:cs="Times New Roman"/>
          <w:color w:val="auto"/>
          <w:spacing w:val="-7"/>
          <w:sz w:val="24"/>
          <w:szCs w:val="24"/>
          <w:highlight w:val="none"/>
        </w:rPr>
        <w:t>2012</w:t>
      </w:r>
      <w:r>
        <w:rPr>
          <w:rFonts w:hint="default" w:ascii="Times New Roman" w:hAnsi="Times New Roman" w:eastAsia="宋体" w:cs="Times New Roman"/>
          <w:color w:val="auto"/>
          <w:spacing w:val="-7"/>
          <w:sz w:val="24"/>
          <w:szCs w:val="24"/>
          <w:highlight w:val="none"/>
        </w:rPr>
        <w:t>年</w:t>
      </w:r>
      <w:r>
        <w:rPr>
          <w:rFonts w:hint="default" w:ascii="Times New Roman" w:hAnsi="Times New Roman" w:eastAsia="Times New Roman" w:cs="Times New Roman"/>
          <w:color w:val="auto"/>
          <w:spacing w:val="-7"/>
          <w:sz w:val="24"/>
          <w:szCs w:val="24"/>
          <w:highlight w:val="none"/>
        </w:rPr>
        <w:t>7</w:t>
      </w:r>
      <w:r>
        <w:rPr>
          <w:rFonts w:hint="default" w:ascii="Times New Roman" w:hAnsi="Times New Roman" w:eastAsia="宋体" w:cs="Times New Roman"/>
          <w:color w:val="auto"/>
          <w:spacing w:val="-7"/>
          <w:sz w:val="24"/>
          <w:szCs w:val="24"/>
          <w:highlight w:val="none"/>
        </w:rPr>
        <w:t>月</w:t>
      </w:r>
      <w:r>
        <w:rPr>
          <w:rFonts w:hint="default" w:ascii="Times New Roman" w:hAnsi="Times New Roman" w:eastAsia="Times New Roman" w:cs="Times New Roman"/>
          <w:color w:val="auto"/>
          <w:spacing w:val="-7"/>
          <w:sz w:val="24"/>
          <w:szCs w:val="24"/>
          <w:highlight w:val="none"/>
        </w:rPr>
        <w:t>3</w:t>
      </w:r>
      <w:r>
        <w:rPr>
          <w:rFonts w:hint="default" w:ascii="Times New Roman" w:hAnsi="Times New Roman" w:eastAsia="宋体" w:cs="Times New Roman"/>
          <w:color w:val="auto"/>
          <w:spacing w:val="-7"/>
          <w:sz w:val="24"/>
          <w:szCs w:val="24"/>
          <w:highlight w:val="none"/>
        </w:rPr>
        <w:t>日实施）。</w:t>
      </w:r>
    </w:p>
    <w:p w14:paraId="033DA3FD">
      <w:pPr>
        <w:keepNext w:val="0"/>
        <w:keepLines w:val="0"/>
        <w:pageBreakBefore w:val="0"/>
        <w:widowControl/>
        <w:kinsoku/>
        <w:wordWrap w:val="0"/>
        <w:overflowPunct/>
        <w:topLinePunct/>
        <w:autoSpaceDE/>
        <w:autoSpaceDN/>
        <w:bidi w:val="0"/>
        <w:adjustRightInd w:val="0"/>
        <w:snapToGrid w:val="0"/>
        <w:spacing w:line="360" w:lineRule="auto"/>
        <w:ind w:right="0" w:firstLine="48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9</w:t>
      </w:r>
      <w:r>
        <w:rPr>
          <w:rFonts w:hint="default" w:ascii="Times New Roman" w:hAnsi="Times New Roman" w:eastAsia="宋体" w:cs="Times New Roman"/>
          <w:color w:val="auto"/>
          <w:spacing w:val="2"/>
          <w:sz w:val="24"/>
          <w:szCs w:val="24"/>
          <w:highlight w:val="none"/>
        </w:rPr>
        <w:t>）《黑龙江省畜禽养殖场</w:t>
      </w:r>
      <w:r>
        <w:rPr>
          <w:rFonts w:hint="default" w:ascii="Times New Roman" w:hAnsi="Times New Roman" w:eastAsia="Times New Roman"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rPr>
        <w:t>小区</w:t>
      </w:r>
      <w:r>
        <w:rPr>
          <w:rFonts w:hint="default" w:ascii="Times New Roman" w:hAnsi="Times New Roman" w:eastAsia="Times New Roman"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rPr>
        <w:t>备案程序管理办法》（黑政办发〔</w:t>
      </w:r>
      <w:r>
        <w:rPr>
          <w:rFonts w:hint="default" w:ascii="Times New Roman" w:hAnsi="Times New Roman" w:eastAsia="Times New Roman" w:cs="Times New Roman"/>
          <w:color w:val="auto"/>
          <w:spacing w:val="2"/>
          <w:sz w:val="24"/>
          <w:szCs w:val="24"/>
          <w:highlight w:val="none"/>
        </w:rPr>
        <w:t>2010</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13</w:t>
      </w:r>
      <w:r>
        <w:rPr>
          <w:rFonts w:hint="default" w:ascii="Times New Roman" w:hAnsi="Times New Roman" w:eastAsia="宋体" w:cs="Times New Roman"/>
          <w:color w:val="auto"/>
          <w:spacing w:val="-24"/>
          <w:sz w:val="24"/>
          <w:szCs w:val="24"/>
          <w:highlight w:val="none"/>
        </w:rPr>
        <w:t>号</w:t>
      </w:r>
      <w:r>
        <w:rPr>
          <w:rFonts w:hint="default" w:ascii="Times New Roman" w:hAnsi="Times New Roman" w:eastAsia="宋体" w:cs="Times New Roman"/>
          <w:color w:val="auto"/>
          <w:spacing w:val="-12"/>
          <w:sz w:val="24"/>
          <w:szCs w:val="24"/>
          <w:highlight w:val="none"/>
        </w:rPr>
        <w:t>）；</w:t>
      </w:r>
    </w:p>
    <w:p w14:paraId="058FC748">
      <w:pPr>
        <w:keepNext w:val="0"/>
        <w:keepLines w:val="0"/>
        <w:pageBreakBefore w:val="0"/>
        <w:widowControl/>
        <w:kinsoku/>
        <w:wordWrap w:val="0"/>
        <w:overflowPunct/>
        <w:topLinePunct/>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lang w:eastAsia="zh-CN"/>
        </w:rPr>
        <w:t>（</w:t>
      </w:r>
      <w:r>
        <w:rPr>
          <w:rFonts w:hint="default" w:ascii="Times New Roman" w:hAnsi="Times New Roman" w:eastAsia="Times New Roman" w:cs="Times New Roman"/>
          <w:color w:val="auto"/>
          <w:spacing w:val="-1"/>
          <w:sz w:val="24"/>
          <w:szCs w:val="24"/>
          <w:highlight w:val="none"/>
        </w:rPr>
        <w:t>10</w:t>
      </w:r>
      <w:r>
        <w:rPr>
          <w:rFonts w:hint="default" w:ascii="Times New Roman" w:hAnsi="Times New Roman" w:eastAsia="宋体" w:cs="Times New Roman"/>
          <w:color w:val="auto"/>
          <w:spacing w:val="-1"/>
          <w:sz w:val="24"/>
          <w:szCs w:val="24"/>
          <w:highlight w:val="none"/>
        </w:rPr>
        <w:t>）《畜禽粪污土地承载力测算技术指南》（农办牧</w:t>
      </w:r>
      <w:r>
        <w:rPr>
          <w:rFonts w:hint="default" w:ascii="Times New Roman" w:hAnsi="Times New Roman" w:eastAsia="Times New Roman" w:cs="Times New Roman"/>
          <w:color w:val="auto"/>
          <w:spacing w:val="-1"/>
          <w:sz w:val="24"/>
          <w:szCs w:val="24"/>
          <w:highlight w:val="none"/>
        </w:rPr>
        <w:t>[2018]1</w:t>
      </w:r>
      <w:r>
        <w:rPr>
          <w:rFonts w:hint="default" w:ascii="Times New Roman" w:hAnsi="Times New Roman" w:eastAsia="宋体" w:cs="Times New Roman"/>
          <w:color w:val="auto"/>
          <w:spacing w:val="-1"/>
          <w:sz w:val="24"/>
          <w:szCs w:val="24"/>
          <w:highlight w:val="none"/>
        </w:rPr>
        <w:t>号）。</w:t>
      </w:r>
    </w:p>
    <w:p w14:paraId="17912396">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color w:val="auto"/>
          <w:spacing w:val="-4"/>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11</w:t>
      </w:r>
      <w:r>
        <w:rPr>
          <w:rFonts w:hint="default" w:ascii="Times New Roman" w:hAnsi="Times New Roman" w:eastAsia="宋体" w:cs="Times New Roman"/>
          <w:color w:val="auto"/>
          <w:spacing w:val="-3"/>
          <w:sz w:val="24"/>
          <w:szCs w:val="24"/>
          <w:highlight w:val="none"/>
        </w:rPr>
        <w:t>）《国务院办公厅关于加快推进畜禽养殖</w:t>
      </w:r>
      <w:r>
        <w:rPr>
          <w:rFonts w:hint="default" w:ascii="Times New Roman" w:hAnsi="Times New Roman" w:eastAsia="宋体" w:cs="Times New Roman"/>
          <w:color w:val="auto"/>
          <w:spacing w:val="-4"/>
          <w:sz w:val="24"/>
          <w:szCs w:val="24"/>
          <w:highlight w:val="none"/>
        </w:rPr>
        <w:t>废弃物资源化利用的意见》（国办发〔</w:t>
      </w:r>
      <w:r>
        <w:rPr>
          <w:rFonts w:hint="default" w:ascii="Times New Roman" w:hAnsi="Times New Roman" w:eastAsia="Times New Roman" w:cs="Times New Roman"/>
          <w:color w:val="auto"/>
          <w:spacing w:val="-4"/>
          <w:sz w:val="24"/>
          <w:szCs w:val="24"/>
          <w:highlight w:val="none"/>
        </w:rPr>
        <w:t>2017</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48</w:t>
      </w:r>
      <w:r>
        <w:rPr>
          <w:rFonts w:hint="default" w:ascii="Times New Roman" w:hAnsi="Times New Roman" w:eastAsia="宋体" w:cs="Times New Roman"/>
          <w:color w:val="auto"/>
          <w:spacing w:val="-4"/>
          <w:sz w:val="24"/>
          <w:szCs w:val="24"/>
          <w:highlight w:val="none"/>
        </w:rPr>
        <w:t>号）。</w:t>
      </w:r>
    </w:p>
    <w:p w14:paraId="4241A334">
      <w:pPr>
        <w:keepNext w:val="0"/>
        <w:keepLines w:val="0"/>
        <w:pageBreakBefore w:val="0"/>
        <w:widowControl/>
        <w:kinsoku/>
        <w:wordWrap w:val="0"/>
        <w:overflowPunct/>
        <w:topLinePunct/>
        <w:autoSpaceDE/>
        <w:autoSpaceDN/>
        <w:bidi w:val="0"/>
        <w:adjustRightInd w:val="0"/>
        <w:snapToGrid w:val="0"/>
        <w:spacing w:line="360" w:lineRule="auto"/>
        <w:ind w:right="0" w:firstLine="41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6"/>
          <w:sz w:val="24"/>
          <w:szCs w:val="24"/>
          <w:highlight w:val="none"/>
        </w:rPr>
        <w:t>（</w:t>
      </w:r>
      <w:r>
        <w:rPr>
          <w:rFonts w:hint="default" w:ascii="Times New Roman" w:hAnsi="Times New Roman" w:eastAsia="Times New Roman" w:cs="Times New Roman"/>
          <w:color w:val="auto"/>
          <w:spacing w:val="-16"/>
          <w:sz w:val="24"/>
          <w:szCs w:val="24"/>
          <w:highlight w:val="none"/>
        </w:rPr>
        <w:t>12</w:t>
      </w:r>
      <w:r>
        <w:rPr>
          <w:rFonts w:hint="default" w:ascii="Times New Roman" w:hAnsi="Times New Roman" w:eastAsia="宋体" w:cs="Times New Roman"/>
          <w:color w:val="auto"/>
          <w:spacing w:val="-16"/>
          <w:sz w:val="24"/>
          <w:szCs w:val="24"/>
          <w:highlight w:val="none"/>
        </w:rPr>
        <w:t>）《畜禽规模养殖场粪污资源化利用设施建设规范（试行）》（农办牧〔</w:t>
      </w:r>
      <w:r>
        <w:rPr>
          <w:rFonts w:hint="default" w:ascii="Times New Roman" w:hAnsi="Times New Roman" w:eastAsia="Times New Roman" w:cs="Times New Roman"/>
          <w:color w:val="auto"/>
          <w:spacing w:val="-16"/>
          <w:sz w:val="24"/>
          <w:szCs w:val="24"/>
          <w:highlight w:val="none"/>
        </w:rPr>
        <w:t>2018</w:t>
      </w:r>
      <w:r>
        <w:rPr>
          <w:rFonts w:hint="default" w:ascii="Times New Roman" w:hAnsi="Times New Roman" w:eastAsia="宋体" w:cs="Times New Roman"/>
          <w:color w:val="auto"/>
          <w:spacing w:val="-16"/>
          <w:sz w:val="24"/>
          <w:szCs w:val="24"/>
          <w:highlight w:val="none"/>
        </w:rPr>
        <w:t>〕</w:t>
      </w:r>
      <w:r>
        <w:rPr>
          <w:rFonts w:hint="default" w:ascii="Times New Roman" w:hAnsi="Times New Roman" w:eastAsia="Times New Roman" w:cs="Times New Roman"/>
          <w:color w:val="auto"/>
          <w:spacing w:val="-10"/>
          <w:sz w:val="24"/>
          <w:szCs w:val="24"/>
          <w:highlight w:val="none"/>
        </w:rPr>
        <w:t>2</w:t>
      </w:r>
      <w:r>
        <w:rPr>
          <w:rFonts w:hint="default" w:ascii="Times New Roman" w:hAnsi="Times New Roman" w:eastAsia="宋体" w:cs="Times New Roman"/>
          <w:color w:val="auto"/>
          <w:spacing w:val="-10"/>
          <w:sz w:val="24"/>
          <w:szCs w:val="24"/>
          <w:highlight w:val="none"/>
        </w:rPr>
        <w:t>号）。</w:t>
      </w:r>
    </w:p>
    <w:p w14:paraId="64618F5A">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13</w:t>
      </w:r>
      <w:r>
        <w:rPr>
          <w:rFonts w:hint="default" w:ascii="Times New Roman" w:hAnsi="Times New Roman" w:eastAsia="宋体" w:cs="Times New Roman"/>
          <w:color w:val="auto"/>
          <w:spacing w:val="-3"/>
          <w:sz w:val="24"/>
          <w:szCs w:val="24"/>
          <w:highlight w:val="none"/>
        </w:rPr>
        <w:t>）《农业农村部办公厅、生态环境部办公厅关于进一步明确畜禽粪污</w:t>
      </w:r>
      <w:r>
        <w:rPr>
          <w:rFonts w:hint="default" w:ascii="Times New Roman" w:hAnsi="Times New Roman" w:eastAsia="宋体" w:cs="Times New Roman"/>
          <w:color w:val="auto"/>
          <w:spacing w:val="-4"/>
          <w:sz w:val="24"/>
          <w:szCs w:val="24"/>
          <w:highlight w:val="none"/>
        </w:rPr>
        <w:t>还田利</w:t>
      </w:r>
      <w:r>
        <w:rPr>
          <w:rFonts w:hint="default" w:ascii="Times New Roman" w:hAnsi="Times New Roman" w:eastAsia="宋体" w:cs="Times New Roman"/>
          <w:color w:val="auto"/>
          <w:spacing w:val="-3"/>
          <w:sz w:val="24"/>
          <w:szCs w:val="24"/>
          <w:highlight w:val="none"/>
        </w:rPr>
        <w:t>用要求强化养殖污染监管的通知》（农办牧〔</w:t>
      </w:r>
      <w:r>
        <w:rPr>
          <w:rFonts w:hint="default" w:ascii="Times New Roman" w:hAnsi="Times New Roman" w:eastAsia="Times New Roman" w:cs="Times New Roman"/>
          <w:color w:val="auto"/>
          <w:spacing w:val="-3"/>
          <w:sz w:val="24"/>
          <w:szCs w:val="24"/>
          <w:highlight w:val="none"/>
        </w:rPr>
        <w:t>2020</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23</w:t>
      </w:r>
      <w:r>
        <w:rPr>
          <w:rFonts w:hint="default" w:ascii="Times New Roman" w:hAnsi="Times New Roman" w:eastAsia="宋体" w:cs="Times New Roman"/>
          <w:color w:val="auto"/>
          <w:spacing w:val="-3"/>
          <w:sz w:val="24"/>
          <w:szCs w:val="24"/>
          <w:highlight w:val="none"/>
        </w:rPr>
        <w:t>号，</w:t>
      </w:r>
      <w:r>
        <w:rPr>
          <w:rFonts w:hint="default" w:ascii="Times New Roman" w:hAnsi="Times New Roman" w:eastAsia="Times New Roman" w:cs="Times New Roman"/>
          <w:color w:val="auto"/>
          <w:spacing w:val="-3"/>
          <w:sz w:val="24"/>
          <w:szCs w:val="24"/>
          <w:highlight w:val="none"/>
        </w:rPr>
        <w:t>2020</w:t>
      </w:r>
      <w:r>
        <w:rPr>
          <w:rFonts w:hint="default" w:ascii="Times New Roman" w:hAnsi="Times New Roman" w:eastAsia="宋体" w:cs="Times New Roman"/>
          <w:color w:val="auto"/>
          <w:spacing w:val="-3"/>
          <w:sz w:val="24"/>
          <w:szCs w:val="24"/>
          <w:highlight w:val="none"/>
        </w:rPr>
        <w:t>年</w:t>
      </w:r>
      <w:r>
        <w:rPr>
          <w:rFonts w:hint="default" w:ascii="Times New Roman" w:hAnsi="Times New Roman" w:eastAsia="Times New Roman" w:cs="Times New Roman"/>
          <w:color w:val="auto"/>
          <w:spacing w:val="-3"/>
          <w:sz w:val="24"/>
          <w:szCs w:val="24"/>
          <w:highlight w:val="none"/>
        </w:rPr>
        <w:t>6</w:t>
      </w:r>
      <w:r>
        <w:rPr>
          <w:rFonts w:hint="default" w:ascii="Times New Roman" w:hAnsi="Times New Roman" w:eastAsia="宋体" w:cs="Times New Roman"/>
          <w:color w:val="auto"/>
          <w:spacing w:val="-3"/>
          <w:sz w:val="24"/>
          <w:szCs w:val="24"/>
          <w:highlight w:val="none"/>
        </w:rPr>
        <w:t>月</w:t>
      </w:r>
      <w:r>
        <w:rPr>
          <w:rFonts w:hint="default" w:ascii="Times New Roman" w:hAnsi="Times New Roman" w:eastAsia="Times New Roman" w:cs="Times New Roman"/>
          <w:color w:val="auto"/>
          <w:spacing w:val="-3"/>
          <w:sz w:val="24"/>
          <w:szCs w:val="24"/>
          <w:highlight w:val="none"/>
        </w:rPr>
        <w:t>4</w:t>
      </w:r>
      <w:r>
        <w:rPr>
          <w:rFonts w:hint="default" w:ascii="Times New Roman" w:hAnsi="Times New Roman" w:eastAsia="宋体" w:cs="Times New Roman"/>
          <w:color w:val="auto"/>
          <w:spacing w:val="-3"/>
          <w:sz w:val="24"/>
          <w:szCs w:val="24"/>
          <w:highlight w:val="none"/>
        </w:rPr>
        <w:t>日）。</w:t>
      </w:r>
    </w:p>
    <w:p w14:paraId="06EC2116">
      <w:pPr>
        <w:keepNext w:val="0"/>
        <w:keepLines w:val="0"/>
        <w:pageBreakBefore w:val="0"/>
        <w:widowControl/>
        <w:kinsoku/>
        <w:wordWrap w:val="0"/>
        <w:overflowPunct/>
        <w:topLinePunct/>
        <w:autoSpaceDE/>
        <w:autoSpaceDN/>
        <w:bidi w:val="0"/>
        <w:adjustRightInd w:val="0"/>
        <w:snapToGrid w:val="0"/>
        <w:spacing w:line="360" w:lineRule="auto"/>
        <w:ind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14</w:t>
      </w:r>
      <w:r>
        <w:rPr>
          <w:rFonts w:hint="default" w:ascii="Times New Roman" w:hAnsi="Times New Roman" w:eastAsia="宋体" w:cs="Times New Roman"/>
          <w:color w:val="auto"/>
          <w:spacing w:val="-4"/>
          <w:sz w:val="24"/>
          <w:szCs w:val="24"/>
          <w:highlight w:val="none"/>
        </w:rPr>
        <w:t>）《黑龙江省人民政府办公厅关于印发黑龙江省畜禽养殖废弃物资源化利用工作方案的通知》（黑政办规</w:t>
      </w:r>
      <w:r>
        <w:rPr>
          <w:rFonts w:hint="default" w:ascii="Times New Roman" w:hAnsi="Times New Roman" w:eastAsia="Times New Roman" w:cs="Times New Roman"/>
          <w:color w:val="auto"/>
          <w:spacing w:val="-4"/>
          <w:sz w:val="24"/>
          <w:szCs w:val="24"/>
          <w:highlight w:val="none"/>
        </w:rPr>
        <w:t>[2017]77</w:t>
      </w:r>
      <w:r>
        <w:rPr>
          <w:rFonts w:hint="default" w:ascii="Times New Roman" w:hAnsi="Times New Roman" w:eastAsia="宋体" w:cs="Times New Roman"/>
          <w:color w:val="auto"/>
          <w:spacing w:val="-4"/>
          <w:sz w:val="24"/>
          <w:szCs w:val="24"/>
          <w:highlight w:val="none"/>
        </w:rPr>
        <w:t>号，</w:t>
      </w:r>
      <w:r>
        <w:rPr>
          <w:rFonts w:hint="default" w:ascii="Times New Roman" w:hAnsi="Times New Roman" w:eastAsia="Times New Roman" w:cs="Times New Roman"/>
          <w:color w:val="auto"/>
          <w:spacing w:val="-4"/>
          <w:sz w:val="24"/>
          <w:szCs w:val="24"/>
          <w:highlight w:val="none"/>
        </w:rPr>
        <w:t>2017</w:t>
      </w:r>
      <w:r>
        <w:rPr>
          <w:rFonts w:hint="default" w:ascii="Times New Roman" w:hAnsi="Times New Roman" w:eastAsia="宋体" w:cs="Times New Roman"/>
          <w:color w:val="auto"/>
          <w:spacing w:val="-4"/>
          <w:sz w:val="24"/>
          <w:szCs w:val="24"/>
          <w:highlight w:val="none"/>
        </w:rPr>
        <w:t>年</w:t>
      </w:r>
      <w:r>
        <w:rPr>
          <w:rFonts w:hint="default" w:ascii="Times New Roman" w:hAnsi="Times New Roman" w:eastAsia="Times New Roman" w:cs="Times New Roman"/>
          <w:color w:val="auto"/>
          <w:spacing w:val="-4"/>
          <w:sz w:val="24"/>
          <w:szCs w:val="24"/>
          <w:highlight w:val="none"/>
        </w:rPr>
        <w:t>12</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Times New Roman" w:cs="Times New Roman"/>
          <w:color w:val="auto"/>
          <w:spacing w:val="-4"/>
          <w:sz w:val="24"/>
          <w:szCs w:val="24"/>
          <w:highlight w:val="none"/>
        </w:rPr>
        <w:t>26</w:t>
      </w:r>
      <w:r>
        <w:rPr>
          <w:rFonts w:hint="default" w:ascii="Times New Roman" w:hAnsi="Times New Roman" w:eastAsia="宋体" w:cs="Times New Roman"/>
          <w:color w:val="auto"/>
          <w:spacing w:val="-4"/>
          <w:sz w:val="24"/>
          <w:szCs w:val="24"/>
          <w:highlight w:val="none"/>
        </w:rPr>
        <w:t>日）。</w:t>
      </w:r>
    </w:p>
    <w:p w14:paraId="586D0E83">
      <w:pPr>
        <w:keepNext w:val="0"/>
        <w:keepLines w:val="0"/>
        <w:pageBreakBefore w:val="0"/>
        <w:widowControl/>
        <w:kinsoku/>
        <w:wordWrap w:val="0"/>
        <w:overflowPunct/>
        <w:topLinePunct/>
        <w:autoSpaceDE/>
        <w:autoSpaceDN/>
        <w:bidi w:val="0"/>
        <w:adjustRightInd w:val="0"/>
        <w:snapToGrid w:val="0"/>
        <w:spacing w:line="360" w:lineRule="auto"/>
        <w:ind w:right="0" w:firstLine="456"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15</w:t>
      </w:r>
      <w:r>
        <w:rPr>
          <w:rFonts w:hint="default" w:ascii="Times New Roman" w:hAnsi="Times New Roman" w:eastAsia="宋体" w:cs="Times New Roman"/>
          <w:color w:val="auto"/>
          <w:spacing w:val="-6"/>
          <w:sz w:val="24"/>
          <w:szCs w:val="24"/>
          <w:highlight w:val="none"/>
        </w:rPr>
        <w:t>）《动物防疫条件审查办法》中华人民共和国农业部令（</w:t>
      </w:r>
      <w:r>
        <w:rPr>
          <w:rFonts w:hint="default" w:ascii="Times New Roman" w:hAnsi="Times New Roman" w:eastAsia="Times New Roman" w:cs="Times New Roman"/>
          <w:color w:val="auto"/>
          <w:spacing w:val="-6"/>
          <w:sz w:val="24"/>
          <w:szCs w:val="24"/>
          <w:highlight w:val="none"/>
        </w:rPr>
        <w:t>2022</w:t>
      </w:r>
      <w:r>
        <w:rPr>
          <w:rFonts w:hint="default" w:ascii="Times New Roman" w:hAnsi="Times New Roman" w:eastAsia="宋体" w:cs="Times New Roman"/>
          <w:color w:val="auto"/>
          <w:spacing w:val="-6"/>
          <w:sz w:val="24"/>
          <w:szCs w:val="24"/>
          <w:highlight w:val="none"/>
        </w:rPr>
        <w:t>年第</w:t>
      </w:r>
      <w:r>
        <w:rPr>
          <w:rFonts w:hint="default" w:ascii="Times New Roman" w:hAnsi="Times New Roman" w:eastAsia="Times New Roman" w:cs="Times New Roman"/>
          <w:color w:val="auto"/>
          <w:spacing w:val="-6"/>
          <w:sz w:val="24"/>
          <w:szCs w:val="24"/>
          <w:highlight w:val="none"/>
        </w:rPr>
        <w:t>8</w:t>
      </w:r>
      <w:r>
        <w:rPr>
          <w:rFonts w:hint="default" w:ascii="Times New Roman" w:hAnsi="Times New Roman" w:eastAsia="宋体" w:cs="Times New Roman"/>
          <w:color w:val="auto"/>
          <w:spacing w:val="-6"/>
          <w:sz w:val="24"/>
          <w:szCs w:val="24"/>
          <w:highlight w:val="none"/>
        </w:rPr>
        <w:t>号）。</w:t>
      </w:r>
    </w:p>
    <w:p w14:paraId="688D3FE3">
      <w:pPr>
        <w:keepNext w:val="0"/>
        <w:keepLines w:val="0"/>
        <w:pageBreakBefore w:val="0"/>
        <w:widowControl/>
        <w:kinsoku/>
        <w:wordWrap w:val="0"/>
        <w:overflowPunct/>
        <w:topLinePunct/>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16</w:t>
      </w:r>
      <w:r>
        <w:rPr>
          <w:rFonts w:hint="default" w:ascii="Times New Roman" w:hAnsi="Times New Roman" w:eastAsia="宋体" w:cs="Times New Roman"/>
          <w:color w:val="auto"/>
          <w:spacing w:val="-1"/>
          <w:sz w:val="24"/>
          <w:szCs w:val="24"/>
          <w:highlight w:val="none"/>
        </w:rPr>
        <w:t>）《农业农村污染治理攻坚战行动方案（</w:t>
      </w:r>
      <w:r>
        <w:rPr>
          <w:rFonts w:hint="default" w:ascii="Times New Roman" w:hAnsi="Times New Roman" w:eastAsia="Times New Roman" w:cs="Times New Roman"/>
          <w:color w:val="auto"/>
          <w:spacing w:val="-1"/>
          <w:sz w:val="24"/>
          <w:szCs w:val="24"/>
          <w:highlight w:val="none"/>
        </w:rPr>
        <w:t>2021-2025</w:t>
      </w:r>
      <w:r>
        <w:rPr>
          <w:rFonts w:hint="default" w:ascii="Times New Roman" w:hAnsi="Times New Roman" w:eastAsia="宋体" w:cs="Times New Roman"/>
          <w:color w:val="auto"/>
          <w:spacing w:val="-2"/>
          <w:sz w:val="24"/>
          <w:szCs w:val="24"/>
          <w:highlight w:val="none"/>
        </w:rPr>
        <w:t>年）》。</w:t>
      </w:r>
    </w:p>
    <w:p w14:paraId="59D29533">
      <w:pPr>
        <w:keepNext w:val="0"/>
        <w:keepLines w:val="0"/>
        <w:pageBreakBefore w:val="0"/>
        <w:widowControl/>
        <w:kinsoku/>
        <w:wordWrap w:val="0"/>
        <w:overflowPunct/>
        <w:topLinePunct/>
        <w:autoSpaceDE/>
        <w:autoSpaceDN/>
        <w:bidi w:val="0"/>
        <w:adjustRightInd w:val="0"/>
        <w:snapToGrid w:val="0"/>
        <w:spacing w:line="360" w:lineRule="auto"/>
        <w:ind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17</w:t>
      </w:r>
      <w:r>
        <w:rPr>
          <w:rFonts w:hint="default" w:ascii="Times New Roman" w:hAnsi="Times New Roman" w:eastAsia="宋体" w:cs="Times New Roman"/>
          <w:color w:val="auto"/>
          <w:spacing w:val="-2"/>
          <w:sz w:val="24"/>
          <w:szCs w:val="24"/>
          <w:highlight w:val="none"/>
        </w:rPr>
        <w:t>）《关于做好畜禽规模养殖项目环境影响评价管理工作的通知》</w:t>
      </w: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宋体" w:cs="Times New Roman"/>
          <w:color w:val="auto"/>
          <w:spacing w:val="-2"/>
          <w:sz w:val="24"/>
          <w:szCs w:val="24"/>
          <w:highlight w:val="none"/>
          <w:lang w:val="en-US" w:eastAsia="zh-CN"/>
        </w:rPr>
        <w:t>环办环评【2018】31号</w:t>
      </w: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宋体" w:cs="Times New Roman"/>
          <w:color w:val="auto"/>
          <w:spacing w:val="-2"/>
          <w:sz w:val="24"/>
          <w:szCs w:val="24"/>
          <w:highlight w:val="none"/>
        </w:rPr>
        <w:t>。</w:t>
      </w:r>
    </w:p>
    <w:p w14:paraId="4CF28D76">
      <w:pPr>
        <w:keepNext w:val="0"/>
        <w:keepLines w:val="0"/>
        <w:pageBreakBefore w:val="0"/>
        <w:widowControl/>
        <w:kinsoku/>
        <w:wordWrap w:val="0"/>
        <w:overflowPunct/>
        <w:topLinePunct/>
        <w:autoSpaceDE/>
        <w:autoSpaceDN/>
        <w:bidi w:val="0"/>
        <w:adjustRightInd w:val="0"/>
        <w:snapToGrid w:val="0"/>
        <w:spacing w:line="360" w:lineRule="auto"/>
        <w:ind w:right="0" w:firstLine="44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9"/>
          <w:sz w:val="24"/>
          <w:szCs w:val="24"/>
          <w:highlight w:val="none"/>
        </w:rPr>
        <w:t>（</w:t>
      </w:r>
      <w:r>
        <w:rPr>
          <w:rFonts w:hint="default" w:ascii="Times New Roman" w:hAnsi="Times New Roman" w:eastAsia="Times New Roman" w:cs="Times New Roman"/>
          <w:color w:val="auto"/>
          <w:spacing w:val="-9"/>
          <w:sz w:val="24"/>
          <w:szCs w:val="24"/>
          <w:highlight w:val="none"/>
        </w:rPr>
        <w:t>18</w:t>
      </w:r>
      <w:r>
        <w:rPr>
          <w:rFonts w:hint="default" w:ascii="Times New Roman" w:hAnsi="Times New Roman" w:eastAsia="宋体" w:cs="Times New Roman"/>
          <w:color w:val="auto"/>
          <w:spacing w:val="-9"/>
          <w:sz w:val="24"/>
          <w:szCs w:val="24"/>
          <w:highlight w:val="none"/>
        </w:rPr>
        <w:t>）《畜禽养殖场（户）粪污处理设施建设技术指南》（农办牧</w:t>
      </w:r>
      <w:r>
        <w:rPr>
          <w:rFonts w:hint="default" w:ascii="Times New Roman" w:hAnsi="Times New Roman" w:eastAsia="Times New Roman" w:cs="Times New Roman"/>
          <w:color w:val="auto"/>
          <w:spacing w:val="-9"/>
          <w:sz w:val="24"/>
          <w:szCs w:val="24"/>
          <w:highlight w:val="none"/>
        </w:rPr>
        <w:t>[</w:t>
      </w:r>
      <w:r>
        <w:rPr>
          <w:rFonts w:hint="default" w:ascii="Times New Roman" w:hAnsi="Times New Roman" w:eastAsia="Times New Roman" w:cs="Times New Roman"/>
          <w:color w:val="auto"/>
          <w:spacing w:val="-10"/>
          <w:sz w:val="24"/>
          <w:szCs w:val="24"/>
          <w:highlight w:val="none"/>
        </w:rPr>
        <w:t>2022]19</w:t>
      </w:r>
      <w:r>
        <w:rPr>
          <w:rFonts w:hint="default" w:ascii="Times New Roman" w:hAnsi="Times New Roman" w:eastAsia="宋体" w:cs="Times New Roman"/>
          <w:color w:val="auto"/>
          <w:spacing w:val="-10"/>
          <w:sz w:val="24"/>
          <w:szCs w:val="24"/>
          <w:highlight w:val="none"/>
        </w:rPr>
        <w:t>号）。</w:t>
      </w:r>
    </w:p>
    <w:p w14:paraId="60E01B75">
      <w:pPr>
        <w:keepNext w:val="0"/>
        <w:keepLines w:val="0"/>
        <w:pageBreakBefore w:val="0"/>
        <w:widowControl/>
        <w:kinsoku/>
        <w:wordWrap w:val="0"/>
        <w:overflowPunct/>
        <w:topLinePunct/>
        <w:autoSpaceDE/>
        <w:autoSpaceDN/>
        <w:bidi w:val="0"/>
        <w:adjustRightInd w:val="0"/>
        <w:snapToGrid w:val="0"/>
        <w:spacing w:line="360" w:lineRule="auto"/>
        <w:ind w:right="0" w:firstLine="49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19</w:t>
      </w:r>
      <w:r>
        <w:rPr>
          <w:rFonts w:hint="default" w:ascii="Times New Roman" w:hAnsi="Times New Roman" w:eastAsia="宋体" w:cs="Times New Roman"/>
          <w:color w:val="auto"/>
          <w:spacing w:val="3"/>
          <w:sz w:val="24"/>
          <w:szCs w:val="24"/>
          <w:highlight w:val="none"/>
        </w:rPr>
        <w:t>）《黑龙江省人民政府办公厅关于印发黑龙江省黑土地保护工程实施方案</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2021</w:t>
      </w:r>
      <w:r>
        <w:rPr>
          <w:rFonts w:hint="eastAsia" w:ascii="Times New Roman" w:hAnsi="Times New Roman" w:eastAsia="宋体" w:cs="Times New Roman"/>
          <w:color w:val="auto"/>
          <w:spacing w:val="-3"/>
          <w:sz w:val="24"/>
          <w:szCs w:val="24"/>
          <w:highlight w:val="none"/>
          <w:lang w:val="en-US" w:eastAsia="zh-CN"/>
        </w:rPr>
        <w:t>-</w:t>
      </w:r>
      <w:r>
        <w:rPr>
          <w:rFonts w:hint="default" w:ascii="Times New Roman" w:hAnsi="Times New Roman" w:eastAsia="Times New Roman" w:cs="Times New Roman"/>
          <w:color w:val="auto"/>
          <w:spacing w:val="-3"/>
          <w:sz w:val="24"/>
          <w:szCs w:val="24"/>
          <w:highlight w:val="none"/>
        </w:rPr>
        <w:t>2025</w:t>
      </w:r>
      <w:r>
        <w:rPr>
          <w:rFonts w:hint="default" w:ascii="Times New Roman" w:hAnsi="Times New Roman" w:eastAsia="宋体" w:cs="Times New Roman"/>
          <w:color w:val="auto"/>
          <w:spacing w:val="-3"/>
          <w:sz w:val="24"/>
          <w:szCs w:val="24"/>
          <w:highlight w:val="none"/>
        </w:rPr>
        <w:t>年）的通知》。</w:t>
      </w:r>
    </w:p>
    <w:p w14:paraId="4F06690F">
      <w:pPr>
        <w:keepNext w:val="0"/>
        <w:keepLines w:val="0"/>
        <w:pageBreakBefore w:val="0"/>
        <w:widowControl/>
        <w:kinsoku/>
        <w:wordWrap w:val="0"/>
        <w:overflowPunct/>
        <w:topLinePunct/>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color w:val="auto"/>
          <w:spacing w:val="-7"/>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20</w:t>
      </w:r>
      <w:r>
        <w:rPr>
          <w:rFonts w:hint="default" w:ascii="Times New Roman" w:hAnsi="Times New Roman" w:eastAsia="宋体" w:cs="Times New Roman"/>
          <w:color w:val="auto"/>
          <w:spacing w:val="-3"/>
          <w:sz w:val="24"/>
          <w:szCs w:val="24"/>
          <w:highlight w:val="none"/>
        </w:rPr>
        <w:t>）《关于做好畜禽规模养殖项目环境影响评价</w:t>
      </w:r>
      <w:r>
        <w:rPr>
          <w:rFonts w:hint="default" w:ascii="Times New Roman" w:hAnsi="Times New Roman" w:eastAsia="宋体" w:cs="Times New Roman"/>
          <w:color w:val="auto"/>
          <w:spacing w:val="-4"/>
          <w:sz w:val="24"/>
          <w:szCs w:val="24"/>
          <w:highlight w:val="none"/>
        </w:rPr>
        <w:t>管理工作的通知》（环办环评</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2018</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31</w:t>
      </w:r>
      <w:r>
        <w:rPr>
          <w:rFonts w:hint="default" w:ascii="Times New Roman" w:hAnsi="Times New Roman" w:eastAsia="宋体" w:cs="Times New Roman"/>
          <w:color w:val="auto"/>
          <w:spacing w:val="-7"/>
          <w:sz w:val="24"/>
          <w:szCs w:val="24"/>
          <w:highlight w:val="none"/>
        </w:rPr>
        <w:t>号）。</w:t>
      </w:r>
    </w:p>
    <w:p w14:paraId="3E9C42AB">
      <w:pPr>
        <w:keepNext w:val="0"/>
        <w:keepLines w:val="0"/>
        <w:pageBreakBefore w:val="0"/>
        <w:widowControl/>
        <w:kinsoku/>
        <w:wordWrap w:val="0"/>
        <w:overflowPunct/>
        <w:topLinePunct/>
        <w:autoSpaceDE/>
        <w:autoSpaceDN/>
        <w:bidi w:val="0"/>
        <w:adjustRightInd w:val="0"/>
        <w:snapToGrid w:val="0"/>
        <w:spacing w:line="360" w:lineRule="auto"/>
        <w:ind w:right="0" w:firstLine="452"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宋体" w:cs="Times New Roman"/>
          <w:color w:val="auto"/>
          <w:spacing w:val="-7"/>
          <w:sz w:val="24"/>
          <w:szCs w:val="24"/>
          <w:highlight w:val="none"/>
          <w:lang w:val="en-US" w:eastAsia="zh-CN"/>
        </w:rPr>
        <w:t>21</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宋体" w:cs="Times New Roman"/>
          <w:color w:val="auto"/>
          <w:spacing w:val="-22"/>
          <w:sz w:val="24"/>
          <w:szCs w:val="24"/>
          <w:highlight w:val="none"/>
        </w:rPr>
        <w:t>《黑龙江省“十四五”生态环境保护规划》（黑政规〔</w:t>
      </w:r>
      <w:r>
        <w:rPr>
          <w:rFonts w:hint="default" w:ascii="Times New Roman" w:hAnsi="Times New Roman" w:eastAsia="Times New Roman" w:cs="Times New Roman"/>
          <w:color w:val="auto"/>
          <w:spacing w:val="-22"/>
          <w:sz w:val="24"/>
          <w:szCs w:val="24"/>
          <w:highlight w:val="none"/>
        </w:rPr>
        <w:t>2021</w:t>
      </w:r>
      <w:r>
        <w:rPr>
          <w:rFonts w:hint="default" w:ascii="Times New Roman" w:hAnsi="Times New Roman" w:eastAsia="宋体" w:cs="Times New Roman"/>
          <w:color w:val="auto"/>
          <w:spacing w:val="-22"/>
          <w:sz w:val="24"/>
          <w:szCs w:val="24"/>
          <w:highlight w:val="none"/>
        </w:rPr>
        <w:t>〕</w:t>
      </w:r>
      <w:r>
        <w:rPr>
          <w:rFonts w:hint="default" w:ascii="Times New Roman" w:hAnsi="Times New Roman" w:eastAsia="Times New Roman" w:cs="Times New Roman"/>
          <w:color w:val="auto"/>
          <w:spacing w:val="-22"/>
          <w:sz w:val="24"/>
          <w:szCs w:val="24"/>
          <w:highlight w:val="none"/>
        </w:rPr>
        <w:t>18</w:t>
      </w:r>
      <w:r>
        <w:rPr>
          <w:rFonts w:hint="default" w:ascii="Times New Roman" w:hAnsi="Times New Roman" w:eastAsia="宋体" w:cs="Times New Roman"/>
          <w:color w:val="auto"/>
          <w:spacing w:val="-22"/>
          <w:sz w:val="24"/>
          <w:szCs w:val="24"/>
          <w:highlight w:val="none"/>
        </w:rPr>
        <w:t>号，</w:t>
      </w:r>
      <w:r>
        <w:rPr>
          <w:rFonts w:hint="default" w:ascii="Times New Roman" w:hAnsi="Times New Roman" w:eastAsia="Times New Roman" w:cs="Times New Roman"/>
          <w:color w:val="auto"/>
          <w:spacing w:val="-22"/>
          <w:sz w:val="24"/>
          <w:szCs w:val="24"/>
          <w:highlight w:val="none"/>
        </w:rPr>
        <w:t>2021</w:t>
      </w:r>
      <w:r>
        <w:rPr>
          <w:rFonts w:hint="default" w:ascii="Times New Roman" w:hAnsi="Times New Roman" w:eastAsia="宋体" w:cs="Times New Roman"/>
          <w:color w:val="auto"/>
          <w:spacing w:val="-22"/>
          <w:sz w:val="24"/>
          <w:szCs w:val="24"/>
          <w:highlight w:val="none"/>
          <w:lang w:val="en-US" w:eastAsia="zh-CN"/>
        </w:rPr>
        <w:t>年</w:t>
      </w:r>
      <w:r>
        <w:rPr>
          <w:rFonts w:hint="default" w:ascii="Times New Roman" w:hAnsi="Times New Roman" w:eastAsia="Times New Roman" w:cs="Times New Roman"/>
          <w:color w:val="auto"/>
          <w:spacing w:val="-22"/>
          <w:sz w:val="24"/>
          <w:szCs w:val="24"/>
          <w:highlight w:val="none"/>
        </w:rPr>
        <w:t>12</w:t>
      </w:r>
      <w:r>
        <w:rPr>
          <w:rFonts w:hint="default" w:ascii="Times New Roman" w:hAnsi="Times New Roman" w:eastAsia="宋体" w:cs="Times New Roman"/>
          <w:color w:val="auto"/>
          <w:spacing w:val="-22"/>
          <w:sz w:val="24"/>
          <w:szCs w:val="24"/>
          <w:highlight w:val="none"/>
          <w:lang w:val="en-US" w:eastAsia="zh-CN"/>
        </w:rPr>
        <w:t>月</w:t>
      </w:r>
      <w:r>
        <w:rPr>
          <w:rFonts w:hint="default" w:ascii="Times New Roman" w:hAnsi="Times New Roman" w:eastAsia="Times New Roman" w:cs="Times New Roman"/>
          <w:color w:val="auto"/>
          <w:spacing w:val="-22"/>
          <w:sz w:val="24"/>
          <w:szCs w:val="24"/>
          <w:highlight w:val="none"/>
        </w:rPr>
        <w:t>17</w:t>
      </w:r>
      <w:r>
        <w:rPr>
          <w:rFonts w:hint="default" w:ascii="Times New Roman" w:hAnsi="Times New Roman" w:eastAsia="宋体" w:cs="Times New Roman"/>
          <w:color w:val="auto"/>
          <w:spacing w:val="-22"/>
          <w:sz w:val="24"/>
          <w:szCs w:val="24"/>
          <w:highlight w:val="none"/>
          <w:lang w:val="en-US" w:eastAsia="zh-CN"/>
        </w:rPr>
        <w:t>日</w:t>
      </w:r>
      <w:r>
        <w:rPr>
          <w:rFonts w:hint="default" w:ascii="Times New Roman" w:hAnsi="Times New Roman" w:eastAsia="宋体" w:cs="Times New Roman"/>
          <w:color w:val="auto"/>
          <w:spacing w:val="-57"/>
          <w:w w:val="89"/>
          <w:sz w:val="24"/>
          <w:szCs w:val="24"/>
          <w:highlight w:val="none"/>
        </w:rPr>
        <w:t>）；</w:t>
      </w:r>
    </w:p>
    <w:p w14:paraId="63C9ADF3">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lang w:val="en-US" w:eastAsia="zh-CN"/>
        </w:rPr>
        <w:t>22</w:t>
      </w:r>
      <w:r>
        <w:rPr>
          <w:rFonts w:hint="default" w:ascii="Times New Roman" w:hAnsi="Times New Roman" w:eastAsia="宋体" w:cs="Times New Roman"/>
          <w:color w:val="auto"/>
          <w:spacing w:val="-2"/>
          <w:sz w:val="24"/>
          <w:szCs w:val="24"/>
          <w:highlight w:val="none"/>
        </w:rPr>
        <w:t>）《建设项目危险废物环境影响评价指南》（公告</w:t>
      </w:r>
      <w:r>
        <w:rPr>
          <w:rFonts w:hint="default" w:ascii="Times New Roman" w:hAnsi="Times New Roman" w:eastAsia="Times New Roman" w:cs="Times New Roman"/>
          <w:color w:val="auto"/>
          <w:spacing w:val="-2"/>
          <w:sz w:val="24"/>
          <w:szCs w:val="24"/>
          <w:highlight w:val="none"/>
        </w:rPr>
        <w:t>2017</w:t>
      </w:r>
      <w:r>
        <w:rPr>
          <w:rFonts w:hint="default" w:ascii="Times New Roman" w:hAnsi="Times New Roman" w:eastAsia="宋体" w:cs="Times New Roman"/>
          <w:color w:val="auto"/>
          <w:spacing w:val="-2"/>
          <w:sz w:val="24"/>
          <w:szCs w:val="24"/>
          <w:highlight w:val="none"/>
        </w:rPr>
        <w:t>第</w:t>
      </w:r>
      <w:r>
        <w:rPr>
          <w:rFonts w:hint="default" w:ascii="Times New Roman" w:hAnsi="Times New Roman" w:eastAsia="Times New Roman" w:cs="Times New Roman"/>
          <w:color w:val="auto"/>
          <w:spacing w:val="-2"/>
          <w:sz w:val="24"/>
          <w:szCs w:val="24"/>
          <w:highlight w:val="none"/>
        </w:rPr>
        <w:t>43</w:t>
      </w:r>
      <w:r>
        <w:rPr>
          <w:rFonts w:hint="default" w:ascii="Times New Roman" w:hAnsi="Times New Roman" w:eastAsia="宋体" w:cs="Times New Roman"/>
          <w:color w:val="auto"/>
          <w:spacing w:val="-2"/>
          <w:sz w:val="24"/>
          <w:szCs w:val="24"/>
          <w:highlight w:val="none"/>
        </w:rPr>
        <w:t>号</w:t>
      </w:r>
      <w:r>
        <w:rPr>
          <w:rFonts w:hint="default" w:ascii="Times New Roman" w:hAnsi="Times New Roman" w:eastAsia="宋体" w:cs="Times New Roman"/>
          <w:color w:val="auto"/>
          <w:spacing w:val="-10"/>
          <w:sz w:val="24"/>
          <w:szCs w:val="24"/>
          <w:highlight w:val="none"/>
        </w:rPr>
        <w:t>）；</w:t>
      </w:r>
    </w:p>
    <w:p w14:paraId="5740C602">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23</w:t>
      </w:r>
      <w:r>
        <w:rPr>
          <w:rFonts w:hint="default" w:ascii="Times New Roman" w:hAnsi="Times New Roman" w:eastAsia="宋体" w:cs="Times New Roman"/>
          <w:color w:val="auto"/>
          <w:spacing w:val="-1"/>
          <w:sz w:val="24"/>
          <w:szCs w:val="24"/>
          <w:highlight w:val="none"/>
        </w:rPr>
        <w:t>）《建设项目环境影响评价分类管理名录》（</w:t>
      </w:r>
      <w:r>
        <w:rPr>
          <w:rFonts w:hint="default" w:ascii="Times New Roman" w:hAnsi="Times New Roman" w:eastAsia="Times New Roman" w:cs="Times New Roman"/>
          <w:color w:val="auto"/>
          <w:spacing w:val="-1"/>
          <w:sz w:val="24"/>
          <w:szCs w:val="24"/>
          <w:highlight w:val="none"/>
        </w:rPr>
        <w:t>2021</w:t>
      </w:r>
      <w:r>
        <w:rPr>
          <w:rFonts w:hint="default" w:ascii="Times New Roman" w:hAnsi="Times New Roman" w:eastAsia="宋体" w:cs="Times New Roman"/>
          <w:color w:val="auto"/>
          <w:spacing w:val="-1"/>
          <w:sz w:val="24"/>
          <w:szCs w:val="24"/>
          <w:highlight w:val="none"/>
        </w:rPr>
        <w:t>版</w:t>
      </w:r>
      <w:r>
        <w:rPr>
          <w:rFonts w:hint="default" w:ascii="Times New Roman" w:hAnsi="Times New Roman" w:eastAsia="宋体" w:cs="Times New Roman"/>
          <w:color w:val="auto"/>
          <w:spacing w:val="8"/>
          <w:sz w:val="24"/>
          <w:szCs w:val="24"/>
          <w:highlight w:val="none"/>
        </w:rPr>
        <w:t>）；</w:t>
      </w:r>
    </w:p>
    <w:p w14:paraId="09D20147">
      <w:pPr>
        <w:keepNext w:val="0"/>
        <w:keepLines w:val="0"/>
        <w:pageBreakBefore w:val="0"/>
        <w:widowControl/>
        <w:kinsoku/>
        <w:wordWrap w:val="0"/>
        <w:overflowPunct/>
        <w:topLinePunct/>
        <w:autoSpaceDE/>
        <w:autoSpaceDN/>
        <w:bidi w:val="0"/>
        <w:adjustRightInd w:val="0"/>
        <w:snapToGrid w:val="0"/>
        <w:spacing w:line="360" w:lineRule="auto"/>
        <w:ind w:left="0" w:right="0" w:firstLine="440"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0"/>
          <w:sz w:val="24"/>
          <w:szCs w:val="24"/>
          <w:highlight w:val="none"/>
        </w:rPr>
        <w:t>（</w:t>
      </w:r>
      <w:r>
        <w:rPr>
          <w:rFonts w:hint="default" w:ascii="Times New Roman" w:hAnsi="Times New Roman" w:eastAsia="宋体" w:cs="Times New Roman"/>
          <w:color w:val="auto"/>
          <w:spacing w:val="-10"/>
          <w:sz w:val="24"/>
          <w:szCs w:val="24"/>
          <w:highlight w:val="none"/>
          <w:lang w:val="en-US" w:eastAsia="zh-CN"/>
        </w:rPr>
        <w:t>24</w:t>
      </w:r>
      <w:r>
        <w:rPr>
          <w:rFonts w:hint="default" w:ascii="Times New Roman" w:hAnsi="Times New Roman" w:eastAsia="宋体" w:cs="Times New Roman"/>
          <w:color w:val="auto"/>
          <w:spacing w:val="-10"/>
          <w:sz w:val="24"/>
          <w:szCs w:val="24"/>
          <w:highlight w:val="none"/>
        </w:rPr>
        <w:t>）《国务院办公厅关于加强环境监管执法的通知》（国办发〔</w:t>
      </w:r>
      <w:r>
        <w:rPr>
          <w:rFonts w:hint="default" w:ascii="Times New Roman" w:hAnsi="Times New Roman" w:eastAsia="Times New Roman" w:cs="Times New Roman"/>
          <w:color w:val="auto"/>
          <w:spacing w:val="-10"/>
          <w:sz w:val="24"/>
          <w:szCs w:val="24"/>
          <w:highlight w:val="none"/>
        </w:rPr>
        <w:t>2014</w:t>
      </w:r>
      <w:r>
        <w:rPr>
          <w:rFonts w:hint="default" w:ascii="Times New Roman" w:hAnsi="Times New Roman" w:eastAsia="宋体" w:cs="Times New Roman"/>
          <w:color w:val="auto"/>
          <w:spacing w:val="-10"/>
          <w:sz w:val="24"/>
          <w:szCs w:val="24"/>
          <w:highlight w:val="none"/>
        </w:rPr>
        <w:t>〕</w:t>
      </w:r>
      <w:r>
        <w:rPr>
          <w:rFonts w:hint="default" w:ascii="Times New Roman" w:hAnsi="Times New Roman" w:eastAsia="Times New Roman" w:cs="Times New Roman"/>
          <w:color w:val="auto"/>
          <w:spacing w:val="-10"/>
          <w:sz w:val="24"/>
          <w:szCs w:val="24"/>
          <w:highlight w:val="none"/>
        </w:rPr>
        <w:t>56</w:t>
      </w:r>
      <w:r>
        <w:rPr>
          <w:rFonts w:hint="default" w:ascii="Times New Roman" w:hAnsi="Times New Roman" w:eastAsia="宋体" w:cs="Times New Roman"/>
          <w:color w:val="auto"/>
          <w:spacing w:val="-10"/>
          <w:sz w:val="24"/>
          <w:szCs w:val="24"/>
          <w:highlight w:val="none"/>
        </w:rPr>
        <w:t>号</w:t>
      </w:r>
      <w:r>
        <w:rPr>
          <w:rFonts w:hint="default" w:ascii="Times New Roman" w:hAnsi="Times New Roman" w:eastAsia="宋体" w:cs="Times New Roman"/>
          <w:color w:val="auto"/>
          <w:spacing w:val="-6"/>
          <w:sz w:val="24"/>
          <w:szCs w:val="24"/>
          <w:highlight w:val="none"/>
        </w:rPr>
        <w:t>）；</w:t>
      </w:r>
    </w:p>
    <w:p w14:paraId="66B3A756">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宋体" w:cs="Times New Roman"/>
          <w:color w:val="auto"/>
          <w:spacing w:val="-4"/>
          <w:sz w:val="24"/>
          <w:szCs w:val="24"/>
          <w:highlight w:val="none"/>
          <w:lang w:val="en-US" w:eastAsia="zh-CN"/>
        </w:rPr>
        <w:t>25</w:t>
      </w:r>
      <w:r>
        <w:rPr>
          <w:rFonts w:hint="default" w:ascii="Times New Roman" w:hAnsi="Times New Roman" w:eastAsia="宋体" w:cs="Times New Roman"/>
          <w:color w:val="auto"/>
          <w:spacing w:val="-4"/>
          <w:sz w:val="24"/>
          <w:szCs w:val="24"/>
          <w:highlight w:val="none"/>
        </w:rPr>
        <w:t>）环境保护部印发《</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生态保护红线、环境质量底线、资源</w:t>
      </w:r>
      <w:r>
        <w:rPr>
          <w:rFonts w:hint="default" w:ascii="Times New Roman" w:hAnsi="Times New Roman" w:eastAsia="宋体" w:cs="Times New Roman"/>
          <w:color w:val="auto"/>
          <w:spacing w:val="-5"/>
          <w:sz w:val="24"/>
          <w:szCs w:val="24"/>
          <w:highlight w:val="none"/>
        </w:rPr>
        <w:t>利用上线和环境</w:t>
      </w:r>
      <w:r>
        <w:rPr>
          <w:rFonts w:hint="default" w:ascii="Times New Roman" w:hAnsi="Times New Roman" w:eastAsia="宋体" w:cs="Times New Roman"/>
          <w:color w:val="auto"/>
          <w:spacing w:val="-1"/>
          <w:sz w:val="24"/>
          <w:szCs w:val="24"/>
          <w:highlight w:val="none"/>
        </w:rPr>
        <w:t>准入负面清单</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编制技术指南（试行）》（环办环评</w:t>
      </w:r>
      <w:r>
        <w:rPr>
          <w:rFonts w:hint="default" w:ascii="Times New Roman" w:hAnsi="Times New Roman" w:eastAsia="Times New Roman" w:cs="Times New Roman"/>
          <w:color w:val="auto"/>
          <w:spacing w:val="-1"/>
          <w:sz w:val="24"/>
          <w:szCs w:val="24"/>
          <w:highlight w:val="none"/>
        </w:rPr>
        <w:t>[2017]99</w:t>
      </w:r>
      <w:r>
        <w:rPr>
          <w:rFonts w:hint="default" w:ascii="Times New Roman" w:hAnsi="Times New Roman" w:eastAsia="宋体" w:cs="Times New Roman"/>
          <w:color w:val="auto"/>
          <w:spacing w:val="-1"/>
          <w:sz w:val="24"/>
          <w:szCs w:val="24"/>
          <w:highlight w:val="none"/>
        </w:rPr>
        <w:t>号</w:t>
      </w:r>
      <w:r>
        <w:rPr>
          <w:rFonts w:hint="default" w:ascii="Times New Roman" w:hAnsi="Times New Roman" w:eastAsia="宋体" w:cs="Times New Roman"/>
          <w:color w:val="auto"/>
          <w:spacing w:val="-12"/>
          <w:sz w:val="24"/>
          <w:szCs w:val="24"/>
          <w:highlight w:val="none"/>
        </w:rPr>
        <w:t>）；</w:t>
      </w:r>
    </w:p>
    <w:p w14:paraId="23A1570C">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left"/>
        <w:textAlignment w:val="baseline"/>
        <w:rPr>
          <w:rFonts w:hint="default" w:ascii="Times New Roman" w:hAnsi="Times New Roman" w:eastAsia="宋体" w:cs="Times New Roman"/>
          <w:color w:val="auto"/>
          <w:spacing w:val="-11"/>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lang w:val="en-US" w:eastAsia="zh-CN"/>
        </w:rPr>
        <w:t>26</w:t>
      </w:r>
      <w:r>
        <w:rPr>
          <w:rFonts w:hint="default" w:ascii="Times New Roman" w:hAnsi="Times New Roman" w:eastAsia="宋体" w:cs="Times New Roman"/>
          <w:color w:val="auto"/>
          <w:spacing w:val="-3"/>
          <w:sz w:val="24"/>
          <w:szCs w:val="24"/>
          <w:highlight w:val="none"/>
        </w:rPr>
        <w:t>）国务院办公厅《关于加快推进畜禽养殖</w:t>
      </w:r>
      <w:r>
        <w:rPr>
          <w:rFonts w:hint="default" w:ascii="Times New Roman" w:hAnsi="Times New Roman" w:eastAsia="宋体" w:cs="Times New Roman"/>
          <w:color w:val="auto"/>
          <w:spacing w:val="-4"/>
          <w:sz w:val="24"/>
          <w:szCs w:val="24"/>
          <w:highlight w:val="none"/>
        </w:rPr>
        <w:t>废弃物资源化利用的意见》（国办发〔</w:t>
      </w:r>
      <w:r>
        <w:rPr>
          <w:rFonts w:hint="default" w:ascii="Times New Roman" w:hAnsi="Times New Roman" w:eastAsia="Times New Roman" w:cs="Times New Roman"/>
          <w:color w:val="auto"/>
          <w:spacing w:val="-4"/>
          <w:sz w:val="24"/>
          <w:szCs w:val="24"/>
          <w:highlight w:val="none"/>
        </w:rPr>
        <w:t>2017</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48</w:t>
      </w:r>
      <w:r>
        <w:rPr>
          <w:rFonts w:hint="default" w:ascii="Times New Roman" w:hAnsi="Times New Roman" w:eastAsia="宋体" w:cs="Times New Roman"/>
          <w:color w:val="auto"/>
          <w:spacing w:val="-4"/>
          <w:sz w:val="24"/>
          <w:szCs w:val="24"/>
          <w:highlight w:val="none"/>
        </w:rPr>
        <w:t>号</w:t>
      </w:r>
      <w:r>
        <w:rPr>
          <w:rFonts w:hint="default" w:ascii="Times New Roman" w:hAnsi="Times New Roman" w:eastAsia="宋体" w:cs="Times New Roman"/>
          <w:color w:val="auto"/>
          <w:spacing w:val="-11"/>
          <w:sz w:val="24"/>
          <w:szCs w:val="24"/>
          <w:highlight w:val="none"/>
        </w:rPr>
        <w:t>）；</w:t>
      </w:r>
    </w:p>
    <w:p w14:paraId="41800132">
      <w:pPr>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宋体" w:cs="Times New Roman"/>
          <w:color w:val="auto"/>
          <w:spacing w:val="-6"/>
          <w:sz w:val="24"/>
          <w:szCs w:val="24"/>
          <w:highlight w:val="none"/>
          <w:lang w:val="en-US" w:eastAsia="zh-CN"/>
        </w:rPr>
        <w:t>27</w:t>
      </w:r>
      <w:r>
        <w:rPr>
          <w:rFonts w:hint="default" w:ascii="Times New Roman" w:hAnsi="Times New Roman" w:eastAsia="宋体" w:cs="Times New Roman"/>
          <w:color w:val="auto"/>
          <w:spacing w:val="-6"/>
          <w:sz w:val="24"/>
          <w:szCs w:val="24"/>
          <w:highlight w:val="none"/>
        </w:rPr>
        <w:t>）《土壤污染防治行动计划》自</w:t>
      </w:r>
      <w:r>
        <w:rPr>
          <w:rFonts w:hint="default" w:ascii="Times New Roman" w:hAnsi="Times New Roman" w:eastAsia="Times New Roman" w:cs="Times New Roman"/>
          <w:color w:val="auto"/>
          <w:spacing w:val="-6"/>
          <w:sz w:val="24"/>
          <w:szCs w:val="24"/>
          <w:highlight w:val="none"/>
        </w:rPr>
        <w:t>2016</w:t>
      </w:r>
      <w:r>
        <w:rPr>
          <w:rFonts w:hint="default" w:ascii="Times New Roman" w:hAnsi="Times New Roman" w:eastAsia="宋体" w:cs="Times New Roman"/>
          <w:color w:val="auto"/>
          <w:spacing w:val="-6"/>
          <w:sz w:val="24"/>
          <w:szCs w:val="24"/>
          <w:highlight w:val="none"/>
        </w:rPr>
        <w:t>年</w:t>
      </w:r>
      <w:r>
        <w:rPr>
          <w:rFonts w:hint="default" w:ascii="Times New Roman" w:hAnsi="Times New Roman" w:eastAsia="Times New Roman" w:cs="Times New Roman"/>
          <w:color w:val="auto"/>
          <w:spacing w:val="-6"/>
          <w:sz w:val="24"/>
          <w:szCs w:val="24"/>
          <w:highlight w:val="none"/>
        </w:rPr>
        <w:t>5</w:t>
      </w:r>
      <w:r>
        <w:rPr>
          <w:rFonts w:hint="default" w:ascii="Times New Roman" w:hAnsi="Times New Roman" w:eastAsia="宋体" w:cs="Times New Roman"/>
          <w:color w:val="auto"/>
          <w:spacing w:val="-6"/>
          <w:sz w:val="24"/>
          <w:szCs w:val="24"/>
          <w:highlight w:val="none"/>
        </w:rPr>
        <w:t>月</w:t>
      </w:r>
      <w:r>
        <w:rPr>
          <w:rFonts w:hint="default" w:ascii="Times New Roman" w:hAnsi="Times New Roman" w:eastAsia="Times New Roman" w:cs="Times New Roman"/>
          <w:color w:val="auto"/>
          <w:spacing w:val="-6"/>
          <w:sz w:val="24"/>
          <w:szCs w:val="24"/>
          <w:highlight w:val="none"/>
        </w:rPr>
        <w:t>28</w:t>
      </w:r>
      <w:r>
        <w:rPr>
          <w:rFonts w:hint="default" w:ascii="Times New Roman" w:hAnsi="Times New Roman" w:eastAsia="宋体" w:cs="Times New Roman"/>
          <w:color w:val="auto"/>
          <w:spacing w:val="-6"/>
          <w:sz w:val="24"/>
          <w:szCs w:val="24"/>
          <w:highlight w:val="none"/>
        </w:rPr>
        <w:t>日起实施；</w:t>
      </w:r>
    </w:p>
    <w:p w14:paraId="2245F231">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lang w:val="en-US" w:eastAsia="zh-CN"/>
        </w:rPr>
        <w:t>28</w:t>
      </w:r>
      <w:r>
        <w:rPr>
          <w:rFonts w:hint="default" w:ascii="Times New Roman" w:hAnsi="Times New Roman" w:eastAsia="宋体" w:cs="Times New Roman"/>
          <w:color w:val="auto"/>
          <w:spacing w:val="-3"/>
          <w:sz w:val="24"/>
          <w:szCs w:val="24"/>
          <w:highlight w:val="none"/>
        </w:rPr>
        <w:t>）《关于做好畜禽规模养殖项目环境影响评价</w:t>
      </w:r>
      <w:r>
        <w:rPr>
          <w:rFonts w:hint="default" w:ascii="Times New Roman" w:hAnsi="Times New Roman" w:eastAsia="宋体" w:cs="Times New Roman"/>
          <w:color w:val="auto"/>
          <w:spacing w:val="-4"/>
          <w:sz w:val="24"/>
          <w:szCs w:val="24"/>
          <w:highlight w:val="none"/>
        </w:rPr>
        <w:t>管理工作的通知》（环办环评</w:t>
      </w:r>
      <w:r>
        <w:rPr>
          <w:rFonts w:hint="default" w:ascii="Times New Roman" w:hAnsi="Times New Roman" w:eastAsia="Times New Roman" w:cs="Times New Roman"/>
          <w:color w:val="auto"/>
          <w:spacing w:val="-5"/>
          <w:sz w:val="24"/>
          <w:szCs w:val="24"/>
          <w:highlight w:val="none"/>
        </w:rPr>
        <w:t>[2018]31</w:t>
      </w:r>
      <w:r>
        <w:rPr>
          <w:rFonts w:hint="default" w:ascii="Times New Roman" w:hAnsi="Times New Roman" w:eastAsia="宋体" w:cs="Times New Roman"/>
          <w:color w:val="auto"/>
          <w:spacing w:val="-5"/>
          <w:sz w:val="24"/>
          <w:szCs w:val="24"/>
          <w:highlight w:val="none"/>
        </w:rPr>
        <w:t>号</w:t>
      </w:r>
      <w:r>
        <w:rPr>
          <w:rFonts w:hint="default" w:ascii="Times New Roman" w:hAnsi="Times New Roman" w:eastAsia="宋体" w:cs="Times New Roman"/>
          <w:color w:val="auto"/>
          <w:spacing w:val="-10"/>
          <w:sz w:val="24"/>
          <w:szCs w:val="24"/>
          <w:highlight w:val="none"/>
        </w:rPr>
        <w:t>）；</w:t>
      </w:r>
    </w:p>
    <w:p w14:paraId="22576471">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宋体" w:cs="Times New Roman"/>
          <w:color w:val="auto"/>
          <w:spacing w:val="-5"/>
          <w:sz w:val="24"/>
          <w:szCs w:val="24"/>
          <w:highlight w:val="none"/>
          <w:lang w:val="en-US" w:eastAsia="zh-CN"/>
        </w:rPr>
        <w:t>29</w:t>
      </w:r>
      <w:r>
        <w:rPr>
          <w:rFonts w:hint="default" w:ascii="Times New Roman" w:hAnsi="Times New Roman" w:eastAsia="宋体" w:cs="Times New Roman"/>
          <w:color w:val="auto"/>
          <w:spacing w:val="-5"/>
          <w:sz w:val="24"/>
          <w:szCs w:val="24"/>
          <w:highlight w:val="none"/>
        </w:rPr>
        <w:t>）《环境影响评价公众参与办法》（部令第</w:t>
      </w:r>
      <w:r>
        <w:rPr>
          <w:rFonts w:hint="default" w:ascii="Times New Roman" w:hAnsi="Times New Roman" w:eastAsia="Times New Roman" w:cs="Times New Roman"/>
          <w:color w:val="auto"/>
          <w:spacing w:val="-5"/>
          <w:sz w:val="24"/>
          <w:szCs w:val="24"/>
          <w:highlight w:val="none"/>
        </w:rPr>
        <w:t>4</w:t>
      </w:r>
      <w:r>
        <w:rPr>
          <w:rFonts w:hint="default" w:ascii="Times New Roman" w:hAnsi="Times New Roman" w:eastAsia="宋体" w:cs="Times New Roman"/>
          <w:color w:val="auto"/>
          <w:spacing w:val="-5"/>
          <w:sz w:val="24"/>
          <w:szCs w:val="24"/>
          <w:highlight w:val="none"/>
        </w:rPr>
        <w:t>号</w:t>
      </w:r>
      <w:r>
        <w:rPr>
          <w:rFonts w:hint="default" w:ascii="Times New Roman" w:hAnsi="Times New Roman" w:eastAsia="Times New Roman" w:cs="Times New Roman"/>
          <w:color w:val="auto"/>
          <w:spacing w:val="-5"/>
          <w:sz w:val="24"/>
          <w:szCs w:val="24"/>
          <w:highlight w:val="none"/>
        </w:rPr>
        <w:t>201</w:t>
      </w:r>
      <w:r>
        <w:rPr>
          <w:rFonts w:hint="default" w:ascii="Times New Roman" w:hAnsi="Times New Roman" w:eastAsia="Times New Roman" w:cs="Times New Roman"/>
          <w:color w:val="auto"/>
          <w:spacing w:val="-6"/>
          <w:sz w:val="24"/>
          <w:szCs w:val="24"/>
          <w:highlight w:val="none"/>
        </w:rPr>
        <w:t>9</w:t>
      </w:r>
      <w:r>
        <w:rPr>
          <w:rFonts w:hint="default" w:ascii="Times New Roman" w:hAnsi="Times New Roman" w:eastAsia="宋体" w:cs="Times New Roman"/>
          <w:color w:val="auto"/>
          <w:spacing w:val="-6"/>
          <w:sz w:val="24"/>
          <w:szCs w:val="24"/>
          <w:highlight w:val="none"/>
        </w:rPr>
        <w:t>年</w:t>
      </w:r>
      <w:r>
        <w:rPr>
          <w:rFonts w:hint="default" w:ascii="Times New Roman" w:hAnsi="Times New Roman" w:eastAsia="Times New Roman" w:cs="Times New Roman"/>
          <w:color w:val="auto"/>
          <w:spacing w:val="-6"/>
          <w:sz w:val="24"/>
          <w:szCs w:val="24"/>
          <w:highlight w:val="none"/>
        </w:rPr>
        <w:t>1</w:t>
      </w:r>
      <w:r>
        <w:rPr>
          <w:rFonts w:hint="default" w:ascii="Times New Roman" w:hAnsi="Times New Roman" w:eastAsia="宋体" w:cs="Times New Roman"/>
          <w:color w:val="auto"/>
          <w:spacing w:val="-6"/>
          <w:sz w:val="24"/>
          <w:szCs w:val="24"/>
          <w:highlight w:val="none"/>
        </w:rPr>
        <w:t>月</w:t>
      </w:r>
      <w:r>
        <w:rPr>
          <w:rFonts w:hint="default" w:ascii="Times New Roman" w:hAnsi="Times New Roman" w:eastAsia="Times New Roman" w:cs="Times New Roman"/>
          <w:color w:val="auto"/>
          <w:spacing w:val="-6"/>
          <w:sz w:val="24"/>
          <w:szCs w:val="24"/>
          <w:highlight w:val="none"/>
        </w:rPr>
        <w:t>1</w:t>
      </w:r>
      <w:r>
        <w:rPr>
          <w:rFonts w:hint="default" w:ascii="Times New Roman" w:hAnsi="Times New Roman" w:eastAsia="宋体" w:cs="Times New Roman"/>
          <w:color w:val="auto"/>
          <w:spacing w:val="-6"/>
          <w:sz w:val="24"/>
          <w:szCs w:val="24"/>
          <w:highlight w:val="none"/>
        </w:rPr>
        <w:t>日实施</w:t>
      </w:r>
      <w:r>
        <w:rPr>
          <w:rFonts w:hint="default" w:ascii="Times New Roman" w:hAnsi="Times New Roman" w:eastAsia="宋体" w:cs="Times New Roman"/>
          <w:color w:val="auto"/>
          <w:spacing w:val="-11"/>
          <w:sz w:val="24"/>
          <w:szCs w:val="24"/>
          <w:highlight w:val="none"/>
        </w:rPr>
        <w:t>）；</w:t>
      </w:r>
    </w:p>
    <w:p w14:paraId="56E539C2">
      <w:pPr>
        <w:keepNext w:val="0"/>
        <w:keepLines w:val="0"/>
        <w:pageBreakBefore w:val="0"/>
        <w:widowControl/>
        <w:kinsoku/>
        <w:wordWrap w:val="0"/>
        <w:overflowPunct/>
        <w:topLinePunct/>
        <w:autoSpaceDE/>
        <w:autoSpaceDN/>
        <w:bidi w:val="0"/>
        <w:adjustRightInd w:val="0"/>
        <w:snapToGrid w:val="0"/>
        <w:spacing w:line="360" w:lineRule="auto"/>
        <w:ind w:left="0" w:right="0" w:firstLine="444"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9"/>
          <w:sz w:val="24"/>
          <w:szCs w:val="24"/>
          <w:highlight w:val="none"/>
        </w:rPr>
        <w:t>（</w:t>
      </w:r>
      <w:r>
        <w:rPr>
          <w:rFonts w:hint="default" w:ascii="Times New Roman" w:hAnsi="Times New Roman" w:eastAsia="宋体" w:cs="Times New Roman"/>
          <w:color w:val="auto"/>
          <w:spacing w:val="-9"/>
          <w:sz w:val="24"/>
          <w:szCs w:val="24"/>
          <w:highlight w:val="none"/>
          <w:lang w:val="en-US" w:eastAsia="zh-CN"/>
        </w:rPr>
        <w:t>30</w:t>
      </w:r>
      <w:r>
        <w:rPr>
          <w:rFonts w:hint="default" w:ascii="Times New Roman" w:hAnsi="Times New Roman" w:eastAsia="宋体" w:cs="Times New Roman"/>
          <w:color w:val="auto"/>
          <w:spacing w:val="-9"/>
          <w:sz w:val="24"/>
          <w:szCs w:val="24"/>
          <w:highlight w:val="none"/>
        </w:rPr>
        <w:t>）《黑龙江省重点生态功能区产业准入负面清单（</w:t>
      </w:r>
      <w:r>
        <w:rPr>
          <w:rFonts w:hint="default" w:ascii="Times New Roman" w:hAnsi="Times New Roman" w:eastAsia="宋体" w:cs="Times New Roman"/>
          <w:color w:val="auto"/>
          <w:spacing w:val="-10"/>
          <w:sz w:val="24"/>
          <w:szCs w:val="24"/>
          <w:highlight w:val="none"/>
        </w:rPr>
        <w:t>试行）》（黑发改规</w:t>
      </w:r>
      <w:r>
        <w:rPr>
          <w:rFonts w:hint="default" w:ascii="Times New Roman" w:hAnsi="Times New Roman" w:eastAsia="Times New Roman" w:cs="Times New Roman"/>
          <w:color w:val="auto"/>
          <w:spacing w:val="-10"/>
          <w:sz w:val="24"/>
          <w:szCs w:val="24"/>
          <w:highlight w:val="none"/>
        </w:rPr>
        <w:t>[2017]4</w:t>
      </w:r>
      <w:r>
        <w:rPr>
          <w:rFonts w:hint="default" w:ascii="Times New Roman" w:hAnsi="Times New Roman" w:eastAsia="宋体" w:cs="Times New Roman"/>
          <w:color w:val="auto"/>
          <w:spacing w:val="-24"/>
          <w:sz w:val="24"/>
          <w:szCs w:val="24"/>
          <w:highlight w:val="none"/>
        </w:rPr>
        <w:t>号</w:t>
      </w:r>
      <w:r>
        <w:rPr>
          <w:rFonts w:hint="default" w:ascii="Times New Roman" w:hAnsi="Times New Roman" w:eastAsia="宋体" w:cs="Times New Roman"/>
          <w:color w:val="auto"/>
          <w:spacing w:val="-12"/>
          <w:sz w:val="24"/>
          <w:szCs w:val="24"/>
          <w:highlight w:val="none"/>
        </w:rPr>
        <w:t>）；</w:t>
      </w:r>
    </w:p>
    <w:p w14:paraId="188CBED2">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31</w:t>
      </w:r>
      <w:r>
        <w:rPr>
          <w:rFonts w:hint="default" w:ascii="Times New Roman" w:hAnsi="Times New Roman" w:eastAsia="宋体" w:cs="Times New Roman"/>
          <w:color w:val="auto"/>
          <w:spacing w:val="-1"/>
          <w:sz w:val="24"/>
          <w:szCs w:val="24"/>
          <w:highlight w:val="none"/>
        </w:rPr>
        <w:t>）《大气污染物防治行动计划》（国发</w:t>
      </w:r>
      <w:r>
        <w:rPr>
          <w:rFonts w:hint="default" w:ascii="Times New Roman" w:hAnsi="Times New Roman" w:eastAsia="Times New Roman" w:cs="Times New Roman"/>
          <w:color w:val="auto"/>
          <w:spacing w:val="-1"/>
          <w:sz w:val="24"/>
          <w:szCs w:val="24"/>
          <w:highlight w:val="none"/>
        </w:rPr>
        <w:t>[2013]37</w:t>
      </w:r>
      <w:r>
        <w:rPr>
          <w:rFonts w:hint="default" w:ascii="Times New Roman" w:hAnsi="Times New Roman" w:eastAsia="宋体" w:cs="Times New Roman"/>
          <w:color w:val="auto"/>
          <w:spacing w:val="-1"/>
          <w:sz w:val="24"/>
          <w:szCs w:val="24"/>
          <w:highlight w:val="none"/>
        </w:rPr>
        <w:t>号</w:t>
      </w:r>
      <w:r>
        <w:rPr>
          <w:rFonts w:hint="default" w:ascii="Times New Roman" w:hAnsi="Times New Roman" w:eastAsia="宋体" w:cs="Times New Roman"/>
          <w:color w:val="auto"/>
          <w:spacing w:val="-8"/>
          <w:sz w:val="24"/>
          <w:szCs w:val="24"/>
          <w:highlight w:val="none"/>
        </w:rPr>
        <w:t>）；</w:t>
      </w:r>
    </w:p>
    <w:p w14:paraId="691275AB">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32</w:t>
      </w:r>
      <w:r>
        <w:rPr>
          <w:rFonts w:hint="default" w:ascii="Times New Roman" w:hAnsi="Times New Roman" w:eastAsia="宋体" w:cs="Times New Roman"/>
          <w:color w:val="auto"/>
          <w:spacing w:val="-1"/>
          <w:sz w:val="24"/>
          <w:szCs w:val="24"/>
          <w:highlight w:val="none"/>
        </w:rPr>
        <w:t>）《水污染防治行动计划》（国发</w:t>
      </w:r>
      <w:r>
        <w:rPr>
          <w:rFonts w:hint="default" w:ascii="Times New Roman" w:hAnsi="Times New Roman" w:eastAsia="Times New Roman" w:cs="Times New Roman"/>
          <w:color w:val="auto"/>
          <w:spacing w:val="-1"/>
          <w:sz w:val="24"/>
          <w:szCs w:val="24"/>
          <w:highlight w:val="none"/>
        </w:rPr>
        <w:t>[2015]17</w:t>
      </w:r>
      <w:r>
        <w:rPr>
          <w:rFonts w:hint="default" w:ascii="Times New Roman" w:hAnsi="Times New Roman" w:eastAsia="宋体" w:cs="Times New Roman"/>
          <w:color w:val="auto"/>
          <w:spacing w:val="-1"/>
          <w:sz w:val="24"/>
          <w:szCs w:val="24"/>
          <w:highlight w:val="none"/>
        </w:rPr>
        <w:t>号</w:t>
      </w:r>
      <w:r>
        <w:rPr>
          <w:rFonts w:hint="default" w:ascii="Times New Roman" w:hAnsi="Times New Roman" w:eastAsia="宋体" w:cs="Times New Roman"/>
          <w:color w:val="auto"/>
          <w:spacing w:val="-9"/>
          <w:sz w:val="24"/>
          <w:szCs w:val="24"/>
          <w:highlight w:val="none"/>
        </w:rPr>
        <w:t>）；</w:t>
      </w:r>
    </w:p>
    <w:p w14:paraId="74DF7013">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lang w:val="en-US" w:eastAsia="zh-CN"/>
        </w:rPr>
        <w:t>33</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z w:val="24"/>
          <w:szCs w:val="24"/>
          <w:highlight w:val="none"/>
        </w:rPr>
        <w:t>《病死</w:t>
      </w:r>
      <w:r>
        <w:rPr>
          <w:rFonts w:hint="default" w:ascii="Times New Roman" w:hAnsi="Times New Roman" w:eastAsia="宋体" w:cs="Times New Roman"/>
          <w:color w:val="auto"/>
          <w:sz w:val="24"/>
          <w:szCs w:val="24"/>
          <w:highlight w:val="none"/>
          <w:lang w:val="en-US" w:eastAsia="zh-CN"/>
        </w:rPr>
        <w:t>及</w:t>
      </w:r>
      <w:r>
        <w:rPr>
          <w:rFonts w:hint="default" w:ascii="Times New Roman" w:hAnsi="Times New Roman" w:eastAsia="宋体" w:cs="Times New Roman"/>
          <w:color w:val="auto"/>
          <w:sz w:val="24"/>
          <w:szCs w:val="24"/>
          <w:highlight w:val="none"/>
        </w:rPr>
        <w:t>病害动物无害化处理技术规范》（农业部，2017年7月3日）；</w:t>
      </w:r>
    </w:p>
    <w:p w14:paraId="5A761D4B">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34</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z w:val="24"/>
          <w:szCs w:val="24"/>
          <w:highlight w:val="none"/>
        </w:rPr>
        <w:t>《建设项目危险废物环境影响评价技术指南</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z w:val="24"/>
          <w:szCs w:val="24"/>
          <w:highlight w:val="none"/>
        </w:rPr>
        <w:t>2017年</w:t>
      </w:r>
      <w:r>
        <w:rPr>
          <w:rFonts w:hint="default" w:ascii="Times New Roman" w:hAnsi="Times New Roman" w:eastAsia="宋体" w:cs="Times New Roman"/>
          <w:color w:val="auto"/>
          <w:sz w:val="24"/>
          <w:szCs w:val="24"/>
          <w:highlight w:val="none"/>
          <w:lang w:val="en-US" w:eastAsia="zh-CN"/>
        </w:rPr>
        <w:t>9</w:t>
      </w:r>
      <w:r>
        <w:rPr>
          <w:rFonts w:hint="default" w:ascii="Times New Roman" w:hAnsi="Times New Roman" w:eastAsia="宋体" w:cs="Times New Roman"/>
          <w:color w:val="auto"/>
          <w:sz w:val="24"/>
          <w:szCs w:val="24"/>
          <w:highlight w:val="none"/>
        </w:rPr>
        <w:t>月1日</w:t>
      </w:r>
      <w:r>
        <w:rPr>
          <w:rFonts w:hint="default" w:ascii="Times New Roman" w:hAnsi="Times New Roman" w:eastAsia="宋体" w:cs="Times New Roman"/>
          <w:color w:val="auto"/>
          <w:spacing w:val="-8"/>
          <w:sz w:val="24"/>
          <w:szCs w:val="24"/>
          <w:highlight w:val="none"/>
        </w:rPr>
        <w:t>）；</w:t>
      </w:r>
    </w:p>
    <w:p w14:paraId="32A9A697">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35</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kern w:val="2"/>
          <w:sz w:val="24"/>
          <w:szCs w:val="24"/>
          <w:highlight w:val="none"/>
        </w:rPr>
        <w:t>规模畜禽养殖场污染防治最佳可行技术指南</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kern w:val="2"/>
          <w:sz w:val="24"/>
          <w:szCs w:val="24"/>
          <w:highlight w:val="none"/>
        </w:rPr>
        <w:t>（HJ-BAT-10）（2013）</w:t>
      </w:r>
      <w:r>
        <w:rPr>
          <w:rFonts w:hint="default" w:ascii="Times New Roman" w:hAnsi="Times New Roman" w:eastAsia="宋体" w:cs="Times New Roman"/>
          <w:color w:val="auto"/>
          <w:spacing w:val="-9"/>
          <w:sz w:val="24"/>
          <w:szCs w:val="24"/>
          <w:highlight w:val="none"/>
        </w:rPr>
        <w:t>；</w:t>
      </w:r>
    </w:p>
    <w:p w14:paraId="0F798220">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lang w:val="en-US" w:eastAsia="zh-CN"/>
        </w:rPr>
        <w:t>36</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z w:val="24"/>
          <w:szCs w:val="24"/>
          <w:highlight w:val="none"/>
        </w:rPr>
        <w:t>《病死</w:t>
      </w:r>
      <w:r>
        <w:rPr>
          <w:rFonts w:hint="default" w:ascii="Times New Roman" w:hAnsi="Times New Roman" w:eastAsia="宋体" w:cs="Times New Roman"/>
          <w:color w:val="auto"/>
          <w:sz w:val="24"/>
          <w:szCs w:val="24"/>
          <w:highlight w:val="none"/>
          <w:lang w:val="en-US" w:eastAsia="zh-CN"/>
        </w:rPr>
        <w:t>及</w:t>
      </w:r>
      <w:r>
        <w:rPr>
          <w:rFonts w:hint="default" w:ascii="Times New Roman" w:hAnsi="Times New Roman" w:eastAsia="宋体" w:cs="Times New Roman"/>
          <w:color w:val="auto"/>
          <w:sz w:val="24"/>
          <w:szCs w:val="24"/>
          <w:highlight w:val="none"/>
        </w:rPr>
        <w:t>病害动物无害化处理技术规范》（农业部，2017年7月3日）；</w:t>
      </w:r>
    </w:p>
    <w:p w14:paraId="18C596C5">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65" w:name="_Toc11425"/>
      <w:r>
        <w:rPr>
          <w:rFonts w:hint="default" w:ascii="Times New Roman" w:hAnsi="Times New Roman" w:eastAsia="宋体" w:cs="Times New Roman"/>
          <w:b/>
          <w:bCs/>
          <w:color w:val="auto"/>
          <w:spacing w:val="-2"/>
          <w:sz w:val="24"/>
          <w:szCs w:val="24"/>
          <w:highlight w:val="none"/>
          <w:lang w:val="en-US" w:eastAsia="zh-CN"/>
        </w:rPr>
        <w:t>2.3.3地方法规、标准与规划</w:t>
      </w:r>
      <w:bookmarkEnd w:id="65"/>
    </w:p>
    <w:p w14:paraId="5A692B92">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）《黑龙江省建设项目环境保护管理办法》黑龙江省人民政府令第</w:t>
      </w:r>
      <w:r>
        <w:rPr>
          <w:rFonts w:hint="default" w:ascii="Times New Roman" w:hAnsi="Times New Roman" w:eastAsia="Times New Roman" w:cs="Times New Roman"/>
          <w:color w:val="auto"/>
          <w:spacing w:val="-2"/>
          <w:sz w:val="24"/>
          <w:szCs w:val="24"/>
          <w:highlight w:val="none"/>
        </w:rPr>
        <w:t>2</w:t>
      </w:r>
      <w:r>
        <w:rPr>
          <w:rFonts w:hint="default" w:ascii="Times New Roman" w:hAnsi="Times New Roman" w:eastAsia="Times New Roman" w:cs="Times New Roman"/>
          <w:color w:val="auto"/>
          <w:spacing w:val="-3"/>
          <w:sz w:val="24"/>
          <w:szCs w:val="24"/>
          <w:highlight w:val="none"/>
        </w:rPr>
        <w:t>3</w:t>
      </w:r>
      <w:r>
        <w:rPr>
          <w:rFonts w:hint="default" w:ascii="Times New Roman" w:hAnsi="Times New Roman" w:eastAsia="宋体" w:cs="Times New Roman"/>
          <w:color w:val="auto"/>
          <w:spacing w:val="-3"/>
          <w:sz w:val="24"/>
          <w:szCs w:val="24"/>
          <w:highlight w:val="none"/>
        </w:rPr>
        <w:t>号；</w:t>
      </w:r>
    </w:p>
    <w:p w14:paraId="30BA8D52">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2</w:t>
      </w:r>
      <w:r>
        <w:rPr>
          <w:rFonts w:hint="default" w:ascii="Times New Roman" w:hAnsi="Times New Roman" w:eastAsia="宋体" w:cs="Times New Roman"/>
          <w:color w:val="auto"/>
          <w:spacing w:val="-1"/>
          <w:sz w:val="24"/>
          <w:szCs w:val="24"/>
          <w:highlight w:val="none"/>
        </w:rPr>
        <w:t>）《黑龙江省环境保护条例》</w:t>
      </w:r>
      <w:r>
        <w:rPr>
          <w:rFonts w:hint="default" w:ascii="Times New Roman" w:hAnsi="Times New Roman" w:eastAsia="Times New Roman" w:cs="Times New Roman"/>
          <w:color w:val="auto"/>
          <w:spacing w:val="-1"/>
          <w:sz w:val="24"/>
          <w:szCs w:val="24"/>
          <w:highlight w:val="none"/>
        </w:rPr>
        <w:t>(2018</w:t>
      </w:r>
      <w:r>
        <w:rPr>
          <w:rFonts w:hint="default" w:ascii="Times New Roman" w:hAnsi="Times New Roman" w:eastAsia="宋体" w:cs="Times New Roman"/>
          <w:color w:val="auto"/>
          <w:spacing w:val="-1"/>
          <w:sz w:val="24"/>
          <w:szCs w:val="24"/>
          <w:highlight w:val="none"/>
        </w:rPr>
        <w:t>年</w:t>
      </w:r>
      <w:r>
        <w:rPr>
          <w:rFonts w:hint="default" w:ascii="Times New Roman" w:hAnsi="Times New Roman" w:eastAsia="Times New Roman" w:cs="Times New Roman"/>
          <w:color w:val="auto"/>
          <w:spacing w:val="-1"/>
          <w:sz w:val="24"/>
          <w:szCs w:val="24"/>
          <w:highlight w:val="none"/>
        </w:rPr>
        <w:t>4</w:t>
      </w:r>
      <w:r>
        <w:rPr>
          <w:rFonts w:hint="default" w:ascii="Times New Roman" w:hAnsi="Times New Roman" w:eastAsia="宋体" w:cs="Times New Roman"/>
          <w:color w:val="auto"/>
          <w:spacing w:val="-1"/>
          <w:sz w:val="24"/>
          <w:szCs w:val="24"/>
          <w:highlight w:val="none"/>
        </w:rPr>
        <w:t>月</w:t>
      </w:r>
      <w:r>
        <w:rPr>
          <w:rFonts w:hint="default" w:ascii="Times New Roman" w:hAnsi="Times New Roman" w:eastAsia="Times New Roman" w:cs="Times New Roman"/>
          <w:color w:val="auto"/>
          <w:spacing w:val="-1"/>
          <w:sz w:val="24"/>
          <w:szCs w:val="24"/>
          <w:highlight w:val="none"/>
        </w:rPr>
        <w:t>26</w:t>
      </w:r>
      <w:r>
        <w:rPr>
          <w:rFonts w:hint="default" w:ascii="Times New Roman" w:hAnsi="Times New Roman" w:eastAsia="宋体" w:cs="Times New Roman"/>
          <w:color w:val="auto"/>
          <w:spacing w:val="-2"/>
          <w:sz w:val="24"/>
          <w:szCs w:val="24"/>
          <w:highlight w:val="none"/>
        </w:rPr>
        <w:t>日</w:t>
      </w:r>
      <w:r>
        <w:rPr>
          <w:rFonts w:hint="default" w:ascii="Times New Roman" w:hAnsi="Times New Roman" w:eastAsia="Times New Roman"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rPr>
        <w:t>；</w:t>
      </w:r>
    </w:p>
    <w:p w14:paraId="5C255193">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）《黑龙江省畜禽养殖污染总量减排技术指南》（试行</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2"/>
          <w:sz w:val="24"/>
          <w:szCs w:val="24"/>
          <w:highlight w:val="none"/>
        </w:rPr>
        <w:t>2013</w:t>
      </w:r>
      <w:r>
        <w:rPr>
          <w:rFonts w:hint="default" w:ascii="Times New Roman" w:hAnsi="Times New Roman" w:eastAsia="宋体" w:cs="Times New Roman"/>
          <w:color w:val="auto"/>
          <w:spacing w:val="-2"/>
          <w:sz w:val="24"/>
          <w:szCs w:val="24"/>
          <w:highlight w:val="none"/>
        </w:rPr>
        <w:t>年</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月；</w:t>
      </w:r>
    </w:p>
    <w:p w14:paraId="7A8AE978">
      <w:pPr>
        <w:keepNext w:val="0"/>
        <w:keepLines w:val="0"/>
        <w:pageBreakBefore w:val="0"/>
        <w:widowControl/>
        <w:kinsoku/>
        <w:wordWrap w:val="0"/>
        <w:overflowPunct/>
        <w:topLinePunct/>
        <w:autoSpaceDE/>
        <w:autoSpaceDN/>
        <w:bidi w:val="0"/>
        <w:adjustRightInd w:val="0"/>
        <w:snapToGrid w:val="0"/>
        <w:spacing w:line="360" w:lineRule="auto"/>
        <w:ind w:left="0" w:right="0" w:firstLine="44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9"/>
          <w:sz w:val="24"/>
          <w:szCs w:val="24"/>
          <w:highlight w:val="none"/>
        </w:rPr>
        <w:t>（</w:t>
      </w:r>
      <w:r>
        <w:rPr>
          <w:rFonts w:hint="default" w:ascii="Times New Roman" w:hAnsi="Times New Roman" w:eastAsia="Times New Roman" w:cs="Times New Roman"/>
          <w:color w:val="auto"/>
          <w:spacing w:val="-9"/>
          <w:sz w:val="24"/>
          <w:szCs w:val="24"/>
          <w:highlight w:val="none"/>
        </w:rPr>
        <w:t>4</w:t>
      </w:r>
      <w:r>
        <w:rPr>
          <w:rFonts w:hint="default" w:ascii="Times New Roman" w:hAnsi="Times New Roman" w:eastAsia="宋体" w:cs="Times New Roman"/>
          <w:color w:val="auto"/>
          <w:spacing w:val="-9"/>
          <w:sz w:val="24"/>
          <w:szCs w:val="24"/>
          <w:highlight w:val="none"/>
        </w:rPr>
        <w:t>）《黑龙江省畜禽养殖场</w:t>
      </w:r>
      <w:r>
        <w:rPr>
          <w:rFonts w:hint="default" w:ascii="Times New Roman" w:hAnsi="Times New Roman" w:eastAsia="Times New Roman" w:cs="Times New Roman"/>
          <w:color w:val="auto"/>
          <w:spacing w:val="-9"/>
          <w:sz w:val="24"/>
          <w:szCs w:val="24"/>
          <w:highlight w:val="none"/>
        </w:rPr>
        <w:t>(</w:t>
      </w:r>
      <w:r>
        <w:rPr>
          <w:rFonts w:hint="default" w:ascii="Times New Roman" w:hAnsi="Times New Roman" w:eastAsia="宋体" w:cs="Times New Roman"/>
          <w:color w:val="auto"/>
          <w:spacing w:val="-9"/>
          <w:sz w:val="24"/>
          <w:szCs w:val="24"/>
          <w:highlight w:val="none"/>
        </w:rPr>
        <w:t>小区</w:t>
      </w:r>
      <w:r>
        <w:rPr>
          <w:rFonts w:hint="default" w:ascii="Times New Roman" w:hAnsi="Times New Roman" w:eastAsia="Times New Roman" w:cs="Times New Roman"/>
          <w:color w:val="auto"/>
          <w:spacing w:val="-9"/>
          <w:sz w:val="24"/>
          <w:szCs w:val="24"/>
          <w:highlight w:val="none"/>
        </w:rPr>
        <w:t>)</w:t>
      </w:r>
      <w:r>
        <w:rPr>
          <w:rFonts w:hint="default" w:ascii="Times New Roman" w:hAnsi="Times New Roman" w:eastAsia="宋体" w:cs="Times New Roman"/>
          <w:color w:val="auto"/>
          <w:spacing w:val="-9"/>
          <w:sz w:val="24"/>
          <w:szCs w:val="24"/>
          <w:highlight w:val="none"/>
        </w:rPr>
        <w:t>备案程序管理办法》（黑政</w:t>
      </w:r>
      <w:r>
        <w:rPr>
          <w:rFonts w:hint="default" w:ascii="Times New Roman" w:hAnsi="Times New Roman" w:eastAsia="宋体" w:cs="Times New Roman"/>
          <w:color w:val="auto"/>
          <w:spacing w:val="-10"/>
          <w:sz w:val="24"/>
          <w:szCs w:val="24"/>
          <w:highlight w:val="none"/>
        </w:rPr>
        <w:t>办发</w:t>
      </w:r>
      <w:r>
        <w:rPr>
          <w:rFonts w:hint="default" w:ascii="Times New Roman" w:hAnsi="Times New Roman" w:eastAsia="Times New Roman" w:cs="Times New Roman"/>
          <w:color w:val="auto"/>
          <w:spacing w:val="-10"/>
          <w:sz w:val="24"/>
          <w:szCs w:val="24"/>
          <w:highlight w:val="none"/>
        </w:rPr>
        <w:t>[2010]13</w:t>
      </w:r>
      <w:r>
        <w:rPr>
          <w:rFonts w:hint="default" w:ascii="Times New Roman" w:hAnsi="Times New Roman" w:eastAsia="宋体" w:cs="Times New Roman"/>
          <w:color w:val="auto"/>
          <w:spacing w:val="-10"/>
          <w:sz w:val="24"/>
          <w:szCs w:val="24"/>
          <w:highlight w:val="none"/>
        </w:rPr>
        <w:t>号</w:t>
      </w:r>
      <w:r>
        <w:rPr>
          <w:rFonts w:hint="default" w:ascii="Times New Roman" w:hAnsi="Times New Roman" w:eastAsia="宋体" w:cs="Times New Roman"/>
          <w:color w:val="auto"/>
          <w:spacing w:val="-33"/>
          <w:sz w:val="24"/>
          <w:szCs w:val="24"/>
          <w:highlight w:val="none"/>
        </w:rPr>
        <w:t>）；</w:t>
      </w:r>
    </w:p>
    <w:p w14:paraId="6F803A5F">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5</w:t>
      </w:r>
      <w:r>
        <w:rPr>
          <w:rFonts w:hint="default" w:ascii="Times New Roman" w:hAnsi="Times New Roman" w:eastAsia="宋体" w:cs="Times New Roman"/>
          <w:color w:val="auto"/>
          <w:spacing w:val="-1"/>
          <w:sz w:val="24"/>
          <w:szCs w:val="24"/>
          <w:highlight w:val="none"/>
        </w:rPr>
        <w:t>）《双鸭山市畜禽养殖禁养区划定方案》（双政办规〔</w:t>
      </w:r>
      <w:r>
        <w:rPr>
          <w:rFonts w:hint="default" w:ascii="Times New Roman" w:hAnsi="Times New Roman" w:eastAsia="Times New Roman" w:cs="Times New Roman"/>
          <w:color w:val="auto"/>
          <w:spacing w:val="-1"/>
          <w:sz w:val="24"/>
          <w:szCs w:val="24"/>
          <w:highlight w:val="none"/>
        </w:rPr>
        <w:t>2</w:t>
      </w:r>
      <w:r>
        <w:rPr>
          <w:rFonts w:hint="default" w:ascii="Times New Roman" w:hAnsi="Times New Roman" w:eastAsia="Times New Roman" w:cs="Times New Roman"/>
          <w:color w:val="auto"/>
          <w:spacing w:val="-2"/>
          <w:sz w:val="24"/>
          <w:szCs w:val="24"/>
          <w:highlight w:val="none"/>
        </w:rPr>
        <w:t>022</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4</w:t>
      </w:r>
      <w:r>
        <w:rPr>
          <w:rFonts w:hint="default" w:ascii="Times New Roman" w:hAnsi="Times New Roman" w:eastAsia="宋体" w:cs="Times New Roman"/>
          <w:color w:val="auto"/>
          <w:spacing w:val="-2"/>
          <w:sz w:val="24"/>
          <w:szCs w:val="24"/>
          <w:highlight w:val="none"/>
        </w:rPr>
        <w:t>号</w:t>
      </w:r>
      <w:r>
        <w:rPr>
          <w:rFonts w:hint="default" w:ascii="Times New Roman" w:hAnsi="Times New Roman" w:eastAsia="宋体" w:cs="Times New Roman"/>
          <w:color w:val="auto"/>
          <w:spacing w:val="-12"/>
          <w:sz w:val="24"/>
          <w:szCs w:val="24"/>
          <w:highlight w:val="none"/>
        </w:rPr>
        <w:t>）；</w:t>
      </w:r>
    </w:p>
    <w:p w14:paraId="48A98E17">
      <w:pPr>
        <w:keepNext w:val="0"/>
        <w:keepLines w:val="0"/>
        <w:pageBreakBefore w:val="0"/>
        <w:widowControl/>
        <w:kinsoku/>
        <w:wordWrap w:val="0"/>
        <w:overflowPunct/>
        <w:topLinePunct/>
        <w:autoSpaceDE/>
        <w:autoSpaceDN/>
        <w:bidi w:val="0"/>
        <w:adjustRightInd w:val="0"/>
        <w:snapToGrid w:val="0"/>
        <w:spacing w:line="360" w:lineRule="auto"/>
        <w:ind w:left="0" w:right="0" w:firstLine="42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3"/>
          <w:sz w:val="24"/>
          <w:szCs w:val="24"/>
          <w:highlight w:val="none"/>
        </w:rPr>
        <w:t>（</w:t>
      </w:r>
      <w:r>
        <w:rPr>
          <w:rFonts w:hint="default" w:ascii="Times New Roman" w:hAnsi="Times New Roman" w:eastAsia="Times New Roman" w:cs="Times New Roman"/>
          <w:color w:val="auto"/>
          <w:spacing w:val="-13"/>
          <w:sz w:val="24"/>
          <w:szCs w:val="24"/>
          <w:highlight w:val="none"/>
        </w:rPr>
        <w:t>6</w:t>
      </w:r>
      <w:r>
        <w:rPr>
          <w:rFonts w:hint="default" w:ascii="Times New Roman" w:hAnsi="Times New Roman" w:eastAsia="宋体" w:cs="Times New Roman"/>
          <w:color w:val="auto"/>
          <w:spacing w:val="-13"/>
          <w:sz w:val="24"/>
          <w:szCs w:val="24"/>
          <w:highlight w:val="none"/>
        </w:rPr>
        <w:t>）</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集贤县畜禽禁养区划定方案</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eastAsia="zh-CN"/>
        </w:rPr>
        <w:t>（</w:t>
      </w:r>
      <w:r>
        <w:rPr>
          <w:rFonts w:hint="default" w:ascii="Times New Roman" w:hAnsi="Times New Roman" w:eastAsia="宋体" w:cs="Times New Roman"/>
          <w:color w:val="auto"/>
          <w:spacing w:val="-1"/>
          <w:sz w:val="24"/>
          <w:szCs w:val="24"/>
          <w:highlight w:val="none"/>
          <w:lang w:val="en-US" w:eastAsia="zh-CN"/>
        </w:rPr>
        <w:t>集贤县人民政府，2017年5月）</w:t>
      </w:r>
      <w:r>
        <w:rPr>
          <w:rFonts w:hint="default" w:ascii="Times New Roman" w:hAnsi="Times New Roman" w:eastAsia="宋体" w:cs="Times New Roman"/>
          <w:color w:val="auto"/>
          <w:spacing w:val="-1"/>
          <w:sz w:val="24"/>
          <w:szCs w:val="24"/>
          <w:highlight w:val="none"/>
        </w:rPr>
        <w:t>；</w:t>
      </w:r>
    </w:p>
    <w:p w14:paraId="4A4FA0A9">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7</w:t>
      </w:r>
      <w:r>
        <w:rPr>
          <w:rFonts w:hint="default" w:ascii="Times New Roman" w:hAnsi="Times New Roman" w:eastAsia="宋体" w:cs="Times New Roman"/>
          <w:color w:val="auto"/>
          <w:spacing w:val="-1"/>
          <w:sz w:val="24"/>
          <w:szCs w:val="24"/>
          <w:highlight w:val="none"/>
        </w:rPr>
        <w:t>）《黑龙江省“十四五”黑土地保护规划》（黑政办规〔</w:t>
      </w:r>
      <w:r>
        <w:rPr>
          <w:rFonts w:hint="default" w:ascii="Times New Roman" w:hAnsi="Times New Roman" w:eastAsia="Times New Roman" w:cs="Times New Roman"/>
          <w:color w:val="auto"/>
          <w:spacing w:val="-1"/>
          <w:sz w:val="24"/>
          <w:szCs w:val="24"/>
          <w:highlight w:val="none"/>
        </w:rPr>
        <w:t>2021</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40</w:t>
      </w:r>
      <w:r>
        <w:rPr>
          <w:rFonts w:hint="default" w:ascii="Times New Roman" w:hAnsi="Times New Roman" w:eastAsia="宋体" w:cs="Times New Roman"/>
          <w:color w:val="auto"/>
          <w:spacing w:val="-2"/>
          <w:sz w:val="24"/>
          <w:szCs w:val="24"/>
          <w:highlight w:val="none"/>
        </w:rPr>
        <w:t>号</w:t>
      </w:r>
      <w:r>
        <w:rPr>
          <w:rFonts w:hint="default" w:ascii="Times New Roman" w:hAnsi="Times New Roman" w:eastAsia="宋体" w:cs="Times New Roman"/>
          <w:color w:val="auto"/>
          <w:spacing w:val="-12"/>
          <w:sz w:val="24"/>
          <w:szCs w:val="24"/>
          <w:highlight w:val="none"/>
        </w:rPr>
        <w:t>）；</w:t>
      </w:r>
    </w:p>
    <w:p w14:paraId="28E81F97">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8</w:t>
      </w:r>
      <w:r>
        <w:rPr>
          <w:rFonts w:hint="default" w:ascii="Times New Roman" w:hAnsi="Times New Roman" w:eastAsia="宋体" w:cs="Times New Roman"/>
          <w:color w:val="auto"/>
          <w:spacing w:val="-1"/>
          <w:sz w:val="24"/>
          <w:szCs w:val="24"/>
          <w:highlight w:val="none"/>
        </w:rPr>
        <w:t>）《双鸭山市“十四五”生态环境保护规划》（双政规〔</w:t>
      </w:r>
      <w:r>
        <w:rPr>
          <w:rFonts w:hint="default" w:ascii="Times New Roman" w:hAnsi="Times New Roman" w:eastAsia="Times New Roman" w:cs="Times New Roman"/>
          <w:color w:val="auto"/>
          <w:spacing w:val="-1"/>
          <w:sz w:val="24"/>
          <w:szCs w:val="24"/>
          <w:highlight w:val="none"/>
        </w:rPr>
        <w:t>20</w:t>
      </w:r>
      <w:r>
        <w:rPr>
          <w:rFonts w:hint="default" w:ascii="Times New Roman" w:hAnsi="Times New Roman" w:eastAsia="Times New Roman" w:cs="Times New Roman"/>
          <w:color w:val="auto"/>
          <w:spacing w:val="-2"/>
          <w:sz w:val="24"/>
          <w:szCs w:val="24"/>
          <w:highlight w:val="none"/>
        </w:rPr>
        <w:t>22</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9</w:t>
      </w:r>
      <w:r>
        <w:rPr>
          <w:rFonts w:hint="default" w:ascii="Times New Roman" w:hAnsi="Times New Roman" w:eastAsia="宋体" w:cs="Times New Roman"/>
          <w:color w:val="auto"/>
          <w:spacing w:val="-2"/>
          <w:sz w:val="24"/>
          <w:szCs w:val="24"/>
          <w:highlight w:val="none"/>
        </w:rPr>
        <w:t>号</w:t>
      </w:r>
      <w:r>
        <w:rPr>
          <w:rFonts w:hint="default" w:ascii="Times New Roman" w:hAnsi="Times New Roman" w:eastAsia="宋体" w:cs="Times New Roman"/>
          <w:color w:val="auto"/>
          <w:spacing w:val="-12"/>
          <w:sz w:val="24"/>
          <w:szCs w:val="24"/>
          <w:highlight w:val="none"/>
        </w:rPr>
        <w:t>）；</w:t>
      </w:r>
    </w:p>
    <w:p w14:paraId="5F596DFC">
      <w:pPr>
        <w:keepNext w:val="0"/>
        <w:keepLines w:val="0"/>
        <w:pageBreakBefore w:val="0"/>
        <w:widowControl/>
        <w:kinsoku/>
        <w:wordWrap w:val="0"/>
        <w:overflowPunct/>
        <w:topLinePunct/>
        <w:autoSpaceDE/>
        <w:autoSpaceDN/>
        <w:bidi w:val="0"/>
        <w:adjustRightInd w:val="0"/>
        <w:snapToGrid w:val="0"/>
        <w:spacing w:line="360" w:lineRule="auto"/>
        <w:ind w:left="0" w:right="0" w:firstLine="44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Times New Roman" w:cs="Times New Roman"/>
          <w:color w:val="auto"/>
          <w:spacing w:val="-8"/>
          <w:sz w:val="24"/>
          <w:szCs w:val="24"/>
          <w:highlight w:val="none"/>
        </w:rPr>
        <w:t>9</w:t>
      </w:r>
      <w:r>
        <w:rPr>
          <w:rFonts w:hint="default" w:ascii="Times New Roman" w:hAnsi="Times New Roman" w:eastAsia="宋体" w:cs="Times New Roman"/>
          <w:color w:val="auto"/>
          <w:spacing w:val="-8"/>
          <w:sz w:val="24"/>
          <w:szCs w:val="24"/>
          <w:highlight w:val="none"/>
        </w:rPr>
        <w:t>）《双鸭山市畜牧产业发展实施方案（</w:t>
      </w:r>
      <w:r>
        <w:rPr>
          <w:rFonts w:hint="default" w:ascii="Times New Roman" w:hAnsi="Times New Roman" w:eastAsia="Times New Roman" w:cs="Times New Roman"/>
          <w:color w:val="auto"/>
          <w:spacing w:val="-8"/>
          <w:sz w:val="24"/>
          <w:szCs w:val="24"/>
          <w:highlight w:val="none"/>
        </w:rPr>
        <w:t>2022</w:t>
      </w: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Times New Roman" w:cs="Times New Roman"/>
          <w:color w:val="auto"/>
          <w:spacing w:val="-8"/>
          <w:sz w:val="24"/>
          <w:szCs w:val="24"/>
          <w:highlight w:val="none"/>
        </w:rPr>
        <w:t>2026</w:t>
      </w:r>
      <w:r>
        <w:rPr>
          <w:rFonts w:hint="default" w:ascii="Times New Roman" w:hAnsi="Times New Roman" w:eastAsia="宋体" w:cs="Times New Roman"/>
          <w:color w:val="auto"/>
          <w:spacing w:val="-8"/>
          <w:sz w:val="24"/>
          <w:szCs w:val="24"/>
          <w:highlight w:val="none"/>
        </w:rPr>
        <w:t>年）》（双政办规〔</w:t>
      </w:r>
      <w:r>
        <w:rPr>
          <w:rFonts w:hint="default" w:ascii="Times New Roman" w:hAnsi="Times New Roman" w:eastAsia="Times New Roman" w:cs="Times New Roman"/>
          <w:color w:val="auto"/>
          <w:spacing w:val="-8"/>
          <w:sz w:val="24"/>
          <w:szCs w:val="24"/>
          <w:highlight w:val="none"/>
        </w:rPr>
        <w:t>2022</w:t>
      </w: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Times New Roman" w:cs="Times New Roman"/>
          <w:color w:val="auto"/>
          <w:spacing w:val="-10"/>
          <w:sz w:val="24"/>
          <w:szCs w:val="24"/>
          <w:highlight w:val="none"/>
        </w:rPr>
        <w:t>4</w:t>
      </w:r>
      <w:r>
        <w:rPr>
          <w:rFonts w:hint="default" w:ascii="Times New Roman" w:hAnsi="Times New Roman" w:eastAsia="宋体" w:cs="Times New Roman"/>
          <w:color w:val="auto"/>
          <w:spacing w:val="-10"/>
          <w:sz w:val="24"/>
          <w:szCs w:val="24"/>
          <w:highlight w:val="none"/>
        </w:rPr>
        <w:t>号）。</w:t>
      </w:r>
    </w:p>
    <w:p w14:paraId="3A80ECE3">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66" w:name="_Toc20683"/>
      <w:r>
        <w:rPr>
          <w:rFonts w:hint="default" w:ascii="Times New Roman" w:hAnsi="Times New Roman" w:eastAsia="宋体" w:cs="Times New Roman"/>
          <w:b/>
          <w:bCs/>
          <w:color w:val="auto"/>
          <w:spacing w:val="-2"/>
          <w:sz w:val="24"/>
          <w:szCs w:val="24"/>
          <w:highlight w:val="none"/>
          <w:lang w:val="en-US" w:eastAsia="zh-CN"/>
        </w:rPr>
        <w:t>2.3.4相关导则及技术规范</w:t>
      </w:r>
      <w:bookmarkEnd w:id="66"/>
    </w:p>
    <w:p w14:paraId="23E31C0C">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）《建设项目环境影响评价技术导则总纲》（</w:t>
      </w:r>
      <w:r>
        <w:rPr>
          <w:rFonts w:hint="default" w:ascii="Times New Roman" w:hAnsi="Times New Roman" w:eastAsia="Times New Roman" w:cs="Times New Roman"/>
          <w:color w:val="auto"/>
          <w:spacing w:val="-2"/>
          <w:sz w:val="24"/>
          <w:szCs w:val="24"/>
          <w:highlight w:val="none"/>
        </w:rPr>
        <w:t>HJ2.1-2016</w:t>
      </w:r>
      <w:r>
        <w:rPr>
          <w:rFonts w:hint="default" w:ascii="Times New Roman" w:hAnsi="Times New Roman" w:eastAsia="宋体" w:cs="Times New Roman"/>
          <w:color w:val="auto"/>
          <w:spacing w:val="-7"/>
          <w:sz w:val="24"/>
          <w:szCs w:val="24"/>
          <w:highlight w:val="none"/>
        </w:rPr>
        <w:t>）；</w:t>
      </w:r>
    </w:p>
    <w:p w14:paraId="3055EF6E">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pacing w:val="-9"/>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2</w:t>
      </w:r>
      <w:r>
        <w:rPr>
          <w:rFonts w:hint="default" w:ascii="Times New Roman" w:hAnsi="Times New Roman" w:eastAsia="宋体" w:cs="Times New Roman"/>
          <w:color w:val="auto"/>
          <w:spacing w:val="-2"/>
          <w:sz w:val="24"/>
          <w:szCs w:val="24"/>
          <w:highlight w:val="none"/>
        </w:rPr>
        <w:t>）《环境影响评价技术导则大气环境》（</w:t>
      </w:r>
      <w:r>
        <w:rPr>
          <w:rFonts w:hint="default" w:ascii="Times New Roman" w:hAnsi="Times New Roman" w:eastAsia="Times New Roman" w:cs="Times New Roman"/>
          <w:color w:val="auto"/>
          <w:spacing w:val="-2"/>
          <w:sz w:val="24"/>
          <w:szCs w:val="24"/>
          <w:highlight w:val="none"/>
        </w:rPr>
        <w:t>HJ2.2-2018</w:t>
      </w:r>
      <w:r>
        <w:rPr>
          <w:rFonts w:hint="default" w:ascii="Times New Roman" w:hAnsi="Times New Roman" w:eastAsia="宋体" w:cs="Times New Roman"/>
          <w:color w:val="auto"/>
          <w:spacing w:val="-9"/>
          <w:sz w:val="24"/>
          <w:szCs w:val="24"/>
          <w:highlight w:val="none"/>
        </w:rPr>
        <w:t>）；</w:t>
      </w:r>
    </w:p>
    <w:p w14:paraId="329C49E3">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）《环境影响评价技术导则地表水环境》（</w:t>
      </w:r>
      <w:r>
        <w:rPr>
          <w:rFonts w:hint="default" w:ascii="Times New Roman" w:hAnsi="Times New Roman" w:eastAsia="Times New Roman" w:cs="Times New Roman"/>
          <w:color w:val="auto"/>
          <w:spacing w:val="-2"/>
          <w:sz w:val="24"/>
          <w:szCs w:val="24"/>
          <w:highlight w:val="none"/>
        </w:rPr>
        <w:t>HJ2.3-2018</w:t>
      </w:r>
      <w:r>
        <w:rPr>
          <w:rFonts w:hint="default" w:ascii="Times New Roman" w:hAnsi="Times New Roman" w:eastAsia="宋体" w:cs="Times New Roman"/>
          <w:color w:val="auto"/>
          <w:spacing w:val="-5"/>
          <w:sz w:val="24"/>
          <w:szCs w:val="24"/>
          <w:highlight w:val="none"/>
        </w:rPr>
        <w:t>）；</w:t>
      </w:r>
    </w:p>
    <w:p w14:paraId="4EA0E9F3">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4</w:t>
      </w:r>
      <w:r>
        <w:rPr>
          <w:rFonts w:hint="default" w:ascii="Times New Roman" w:hAnsi="Times New Roman" w:eastAsia="宋体" w:cs="Times New Roman"/>
          <w:color w:val="auto"/>
          <w:spacing w:val="-2"/>
          <w:sz w:val="24"/>
          <w:szCs w:val="24"/>
          <w:highlight w:val="none"/>
        </w:rPr>
        <w:t>）《环境影响评价技术导则声环境》（</w:t>
      </w:r>
      <w:r>
        <w:rPr>
          <w:rFonts w:hint="default" w:ascii="Times New Roman" w:hAnsi="Times New Roman" w:eastAsia="Times New Roman" w:cs="Times New Roman"/>
          <w:color w:val="auto"/>
          <w:spacing w:val="-2"/>
          <w:sz w:val="24"/>
          <w:szCs w:val="24"/>
          <w:highlight w:val="none"/>
        </w:rPr>
        <w:t>HJ2.4-2021</w:t>
      </w:r>
      <w:r>
        <w:rPr>
          <w:rFonts w:hint="default" w:ascii="Times New Roman" w:hAnsi="Times New Roman" w:eastAsia="宋体" w:cs="Times New Roman"/>
          <w:color w:val="auto"/>
          <w:spacing w:val="-11"/>
          <w:sz w:val="24"/>
          <w:szCs w:val="24"/>
          <w:highlight w:val="none"/>
        </w:rPr>
        <w:t>）；</w:t>
      </w:r>
    </w:p>
    <w:p w14:paraId="63391F59">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5</w:t>
      </w:r>
      <w:r>
        <w:rPr>
          <w:rFonts w:hint="default" w:ascii="Times New Roman" w:hAnsi="Times New Roman" w:eastAsia="宋体" w:cs="Times New Roman"/>
          <w:color w:val="auto"/>
          <w:spacing w:val="-2"/>
          <w:sz w:val="24"/>
          <w:szCs w:val="24"/>
          <w:highlight w:val="none"/>
        </w:rPr>
        <w:t>）《环境影响评价技术导则地下水环境》（</w:t>
      </w:r>
      <w:r>
        <w:rPr>
          <w:rFonts w:hint="default" w:ascii="Times New Roman" w:hAnsi="Times New Roman" w:eastAsia="Times New Roman" w:cs="Times New Roman"/>
          <w:color w:val="auto"/>
          <w:spacing w:val="-2"/>
          <w:sz w:val="24"/>
          <w:szCs w:val="24"/>
          <w:highlight w:val="none"/>
        </w:rPr>
        <w:t>HJ610-2016</w:t>
      </w:r>
      <w:r>
        <w:rPr>
          <w:rFonts w:hint="default" w:ascii="Times New Roman" w:hAnsi="Times New Roman" w:eastAsia="宋体" w:cs="Times New Roman"/>
          <w:color w:val="auto"/>
          <w:spacing w:val="-6"/>
          <w:sz w:val="24"/>
          <w:szCs w:val="24"/>
          <w:highlight w:val="none"/>
        </w:rPr>
        <w:t>）；</w:t>
      </w:r>
    </w:p>
    <w:p w14:paraId="3F0D39E0">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6</w:t>
      </w:r>
      <w:r>
        <w:rPr>
          <w:rFonts w:hint="default" w:ascii="Times New Roman" w:hAnsi="Times New Roman" w:eastAsia="宋体" w:cs="Times New Roman"/>
          <w:color w:val="auto"/>
          <w:spacing w:val="-2"/>
          <w:sz w:val="24"/>
          <w:szCs w:val="24"/>
          <w:highlight w:val="none"/>
        </w:rPr>
        <w:t>）《环境影响评价技术导则生态影响》（</w:t>
      </w:r>
      <w:r>
        <w:rPr>
          <w:rFonts w:hint="default" w:ascii="Times New Roman" w:hAnsi="Times New Roman" w:eastAsia="Times New Roman" w:cs="Times New Roman"/>
          <w:color w:val="auto"/>
          <w:spacing w:val="-2"/>
          <w:sz w:val="24"/>
          <w:szCs w:val="24"/>
          <w:highlight w:val="none"/>
        </w:rPr>
        <w:t>HJ19-2022</w:t>
      </w:r>
      <w:r>
        <w:rPr>
          <w:rFonts w:hint="default" w:ascii="Times New Roman" w:hAnsi="Times New Roman" w:eastAsia="宋体" w:cs="Times New Roman"/>
          <w:color w:val="auto"/>
          <w:spacing w:val="-9"/>
          <w:sz w:val="24"/>
          <w:szCs w:val="24"/>
          <w:highlight w:val="none"/>
        </w:rPr>
        <w:t>）；</w:t>
      </w:r>
    </w:p>
    <w:p w14:paraId="26D376C8">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7</w:t>
      </w:r>
      <w:r>
        <w:rPr>
          <w:rFonts w:hint="default" w:ascii="Times New Roman" w:hAnsi="Times New Roman" w:eastAsia="宋体" w:cs="Times New Roman"/>
          <w:color w:val="auto"/>
          <w:spacing w:val="-1"/>
          <w:sz w:val="24"/>
          <w:szCs w:val="24"/>
          <w:highlight w:val="none"/>
        </w:rPr>
        <w:t>）《环境影响评价技术导则土壤环境（试行</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HJ964-2018</w:t>
      </w:r>
      <w:r>
        <w:rPr>
          <w:rFonts w:hint="default" w:ascii="Times New Roman" w:hAnsi="Times New Roman" w:eastAsia="宋体" w:cs="Times New Roman"/>
          <w:color w:val="auto"/>
          <w:spacing w:val="-14"/>
          <w:sz w:val="24"/>
          <w:szCs w:val="24"/>
          <w:highlight w:val="none"/>
        </w:rPr>
        <w:t>）；</w:t>
      </w:r>
    </w:p>
    <w:p w14:paraId="2A6ED043">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8</w:t>
      </w:r>
      <w:r>
        <w:rPr>
          <w:rFonts w:hint="default" w:ascii="Times New Roman" w:hAnsi="Times New Roman" w:eastAsia="宋体" w:cs="Times New Roman"/>
          <w:color w:val="auto"/>
          <w:spacing w:val="-1"/>
          <w:sz w:val="24"/>
          <w:szCs w:val="24"/>
          <w:highlight w:val="none"/>
        </w:rPr>
        <w:t>）《建设项目环境风险评价技术导则》（</w:t>
      </w:r>
      <w:r>
        <w:rPr>
          <w:rFonts w:hint="default" w:ascii="Times New Roman" w:hAnsi="Times New Roman" w:eastAsia="Times New Roman" w:cs="Times New Roman"/>
          <w:color w:val="auto"/>
          <w:spacing w:val="-1"/>
          <w:sz w:val="24"/>
          <w:szCs w:val="24"/>
          <w:highlight w:val="none"/>
        </w:rPr>
        <w:t>HJ169-2018</w:t>
      </w:r>
      <w:r>
        <w:rPr>
          <w:rFonts w:hint="default" w:ascii="Times New Roman" w:hAnsi="Times New Roman" w:eastAsia="宋体" w:cs="Times New Roman"/>
          <w:color w:val="auto"/>
          <w:spacing w:val="-6"/>
          <w:sz w:val="24"/>
          <w:szCs w:val="24"/>
          <w:highlight w:val="none"/>
        </w:rPr>
        <w:t>）；</w:t>
      </w:r>
    </w:p>
    <w:p w14:paraId="05795DC9">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9</w:t>
      </w:r>
      <w:r>
        <w:rPr>
          <w:rFonts w:hint="default" w:ascii="Times New Roman" w:hAnsi="Times New Roman" w:eastAsia="宋体" w:cs="Times New Roman"/>
          <w:color w:val="auto"/>
          <w:spacing w:val="-3"/>
          <w:sz w:val="24"/>
          <w:szCs w:val="24"/>
          <w:highlight w:val="none"/>
        </w:rPr>
        <w:t>）《畜禽规模养殖污染防治条例》（国务院令第</w:t>
      </w:r>
      <w:r>
        <w:rPr>
          <w:rFonts w:hint="default" w:ascii="Times New Roman" w:hAnsi="Times New Roman" w:eastAsia="Times New Roman" w:cs="Times New Roman"/>
          <w:color w:val="auto"/>
          <w:spacing w:val="-3"/>
          <w:sz w:val="24"/>
          <w:szCs w:val="24"/>
          <w:highlight w:val="none"/>
        </w:rPr>
        <w:t>643</w:t>
      </w:r>
      <w:r>
        <w:rPr>
          <w:rFonts w:hint="default" w:ascii="Times New Roman" w:hAnsi="Times New Roman" w:eastAsia="宋体" w:cs="Times New Roman"/>
          <w:color w:val="auto"/>
          <w:spacing w:val="-3"/>
          <w:sz w:val="24"/>
          <w:szCs w:val="24"/>
          <w:highlight w:val="none"/>
        </w:rPr>
        <w:t>号</w:t>
      </w:r>
      <w:r>
        <w:rPr>
          <w:rFonts w:hint="default" w:ascii="Times New Roman" w:hAnsi="Times New Roman" w:eastAsia="宋体" w:cs="Times New Roman"/>
          <w:color w:val="auto"/>
          <w:spacing w:val="-5"/>
          <w:sz w:val="24"/>
          <w:szCs w:val="24"/>
          <w:highlight w:val="none"/>
        </w:rPr>
        <w:t>）；</w:t>
      </w:r>
    </w:p>
    <w:p w14:paraId="77357820">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10</w:t>
      </w:r>
      <w:r>
        <w:rPr>
          <w:rFonts w:hint="default" w:ascii="Times New Roman" w:hAnsi="Times New Roman" w:eastAsia="宋体" w:cs="Times New Roman"/>
          <w:color w:val="auto"/>
          <w:spacing w:val="-1"/>
          <w:sz w:val="24"/>
          <w:szCs w:val="24"/>
          <w:highlight w:val="none"/>
        </w:rPr>
        <w:t>）《畜禽养殖业污染治理工程技术规范》（</w:t>
      </w:r>
      <w:r>
        <w:rPr>
          <w:rFonts w:hint="default" w:ascii="Times New Roman" w:hAnsi="Times New Roman" w:eastAsia="Times New Roman" w:cs="Times New Roman"/>
          <w:color w:val="auto"/>
          <w:spacing w:val="-1"/>
          <w:sz w:val="24"/>
          <w:szCs w:val="24"/>
          <w:highlight w:val="none"/>
        </w:rPr>
        <w:t>HJ497-2009</w:t>
      </w:r>
      <w:r>
        <w:rPr>
          <w:rFonts w:hint="default" w:ascii="Times New Roman" w:hAnsi="Times New Roman" w:eastAsia="宋体" w:cs="Times New Roman"/>
          <w:color w:val="auto"/>
          <w:spacing w:val="-5"/>
          <w:sz w:val="24"/>
          <w:szCs w:val="24"/>
          <w:highlight w:val="none"/>
        </w:rPr>
        <w:t>）；</w:t>
      </w:r>
    </w:p>
    <w:p w14:paraId="1EF0C4B9">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11</w:t>
      </w:r>
      <w:r>
        <w:rPr>
          <w:rFonts w:hint="default" w:ascii="Times New Roman" w:hAnsi="Times New Roman" w:eastAsia="宋体" w:cs="Times New Roman"/>
          <w:color w:val="auto"/>
          <w:spacing w:val="-1"/>
          <w:sz w:val="24"/>
          <w:szCs w:val="24"/>
          <w:highlight w:val="none"/>
        </w:rPr>
        <w:t>）《畜禽养殖业污染防治技术规范》（</w:t>
      </w:r>
      <w:r>
        <w:rPr>
          <w:rFonts w:hint="default" w:ascii="Times New Roman" w:hAnsi="Times New Roman" w:eastAsia="Times New Roman" w:cs="Times New Roman"/>
          <w:color w:val="auto"/>
          <w:spacing w:val="-1"/>
          <w:sz w:val="24"/>
          <w:szCs w:val="24"/>
          <w:highlight w:val="none"/>
        </w:rPr>
        <w:t>HJ/T81-2001</w:t>
      </w:r>
      <w:r>
        <w:rPr>
          <w:rFonts w:hint="default" w:ascii="Times New Roman" w:hAnsi="Times New Roman" w:eastAsia="宋体" w:cs="Times New Roman"/>
          <w:color w:val="auto"/>
          <w:spacing w:val="-7"/>
          <w:sz w:val="24"/>
          <w:szCs w:val="24"/>
          <w:highlight w:val="none"/>
        </w:rPr>
        <w:t>）；</w:t>
      </w:r>
    </w:p>
    <w:p w14:paraId="5325A9A0">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12</w:t>
      </w:r>
      <w:r>
        <w:rPr>
          <w:rFonts w:hint="default" w:ascii="Times New Roman" w:hAnsi="Times New Roman" w:eastAsia="宋体" w:cs="Times New Roman"/>
          <w:color w:val="auto"/>
          <w:spacing w:val="-1"/>
          <w:sz w:val="24"/>
          <w:szCs w:val="24"/>
          <w:highlight w:val="none"/>
        </w:rPr>
        <w:t>）《畜禽粪便无害化处理技术规范》（</w:t>
      </w:r>
      <w:r>
        <w:rPr>
          <w:rFonts w:hint="default" w:ascii="Times New Roman" w:hAnsi="Times New Roman" w:eastAsia="Times New Roman" w:cs="Times New Roman"/>
          <w:color w:val="auto"/>
          <w:spacing w:val="-1"/>
          <w:sz w:val="24"/>
          <w:szCs w:val="24"/>
          <w:highlight w:val="none"/>
        </w:rPr>
        <w:t>NY/T1168-2006</w:t>
      </w:r>
      <w:r>
        <w:rPr>
          <w:rFonts w:hint="default" w:ascii="Times New Roman" w:hAnsi="Times New Roman" w:eastAsia="宋体" w:cs="Times New Roman"/>
          <w:color w:val="auto"/>
          <w:spacing w:val="-6"/>
          <w:sz w:val="24"/>
          <w:szCs w:val="24"/>
          <w:highlight w:val="none"/>
        </w:rPr>
        <w:t>）；</w:t>
      </w:r>
    </w:p>
    <w:p w14:paraId="6245287C">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13</w:t>
      </w:r>
      <w:r>
        <w:rPr>
          <w:rFonts w:hint="default" w:ascii="Times New Roman" w:hAnsi="Times New Roman" w:eastAsia="宋体" w:cs="Times New Roman"/>
          <w:color w:val="auto"/>
          <w:spacing w:val="-1"/>
          <w:sz w:val="24"/>
          <w:szCs w:val="24"/>
          <w:highlight w:val="none"/>
        </w:rPr>
        <w:t>）《畜禽粪便还田技术规范》（</w:t>
      </w:r>
      <w:r>
        <w:rPr>
          <w:rFonts w:hint="default" w:ascii="Times New Roman" w:hAnsi="Times New Roman" w:eastAsia="Times New Roman" w:cs="Times New Roman"/>
          <w:color w:val="auto"/>
          <w:spacing w:val="-1"/>
          <w:sz w:val="24"/>
          <w:szCs w:val="24"/>
          <w:highlight w:val="none"/>
        </w:rPr>
        <w:t>GB/T25246-2010</w:t>
      </w:r>
      <w:r>
        <w:rPr>
          <w:rFonts w:hint="default" w:ascii="Times New Roman" w:hAnsi="Times New Roman" w:eastAsia="宋体" w:cs="Times New Roman"/>
          <w:color w:val="auto"/>
          <w:spacing w:val="-7"/>
          <w:sz w:val="24"/>
          <w:szCs w:val="24"/>
          <w:highlight w:val="none"/>
        </w:rPr>
        <w:t>）；</w:t>
      </w:r>
    </w:p>
    <w:p w14:paraId="73DE329E">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14</w:t>
      </w:r>
      <w:r>
        <w:rPr>
          <w:rFonts w:hint="default" w:ascii="Times New Roman" w:hAnsi="Times New Roman" w:eastAsia="宋体" w:cs="Times New Roman"/>
          <w:color w:val="auto"/>
          <w:spacing w:val="-1"/>
          <w:sz w:val="24"/>
          <w:szCs w:val="24"/>
          <w:highlight w:val="none"/>
        </w:rPr>
        <w:t>）《病死及病害动物无害化处理技术规范》（农医发</w:t>
      </w:r>
      <w:r>
        <w:rPr>
          <w:rFonts w:hint="default" w:ascii="Times New Roman" w:hAnsi="Times New Roman" w:eastAsia="Times New Roman" w:cs="Times New Roman"/>
          <w:color w:val="auto"/>
          <w:spacing w:val="-1"/>
          <w:sz w:val="24"/>
          <w:szCs w:val="24"/>
          <w:highlight w:val="none"/>
        </w:rPr>
        <w:t>[2017]25</w:t>
      </w:r>
      <w:r>
        <w:rPr>
          <w:rFonts w:hint="default" w:ascii="Times New Roman" w:hAnsi="Times New Roman" w:eastAsia="宋体" w:cs="Times New Roman"/>
          <w:color w:val="auto"/>
          <w:spacing w:val="-1"/>
          <w:sz w:val="24"/>
          <w:szCs w:val="24"/>
          <w:highlight w:val="none"/>
        </w:rPr>
        <w:t>号</w:t>
      </w:r>
      <w:r>
        <w:rPr>
          <w:rFonts w:hint="default" w:ascii="Times New Roman" w:hAnsi="Times New Roman" w:eastAsia="宋体" w:cs="Times New Roman"/>
          <w:color w:val="auto"/>
          <w:spacing w:val="-11"/>
          <w:sz w:val="24"/>
          <w:szCs w:val="24"/>
          <w:highlight w:val="none"/>
        </w:rPr>
        <w:t>）；</w:t>
      </w:r>
    </w:p>
    <w:p w14:paraId="4D61614F">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15</w:t>
      </w:r>
      <w:r>
        <w:rPr>
          <w:rFonts w:hint="default" w:ascii="Times New Roman" w:hAnsi="Times New Roman" w:eastAsia="宋体" w:cs="Times New Roman"/>
          <w:color w:val="auto"/>
          <w:spacing w:val="-1"/>
          <w:sz w:val="24"/>
          <w:szCs w:val="24"/>
          <w:highlight w:val="none"/>
        </w:rPr>
        <w:t>）《建筑设计防火规范》（</w:t>
      </w:r>
      <w:r>
        <w:rPr>
          <w:rFonts w:hint="default" w:ascii="Times New Roman" w:hAnsi="Times New Roman" w:eastAsia="Times New Roman" w:cs="Times New Roman"/>
          <w:color w:val="auto"/>
          <w:spacing w:val="-1"/>
          <w:sz w:val="24"/>
          <w:szCs w:val="24"/>
          <w:highlight w:val="none"/>
        </w:rPr>
        <w:t>GB50016-2014</w:t>
      </w:r>
      <w:r>
        <w:rPr>
          <w:rFonts w:hint="default" w:ascii="Times New Roman" w:hAnsi="Times New Roman" w:eastAsia="宋体" w:cs="Times New Roman"/>
          <w:color w:val="auto"/>
          <w:spacing w:val="-10"/>
          <w:sz w:val="24"/>
          <w:szCs w:val="24"/>
          <w:highlight w:val="none"/>
        </w:rPr>
        <w:t>）；</w:t>
      </w:r>
    </w:p>
    <w:p w14:paraId="449D2CEA">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16</w:t>
      </w:r>
      <w:r>
        <w:rPr>
          <w:rFonts w:hint="default" w:ascii="Times New Roman" w:hAnsi="Times New Roman" w:eastAsia="宋体" w:cs="Times New Roman"/>
          <w:color w:val="auto"/>
          <w:spacing w:val="-2"/>
          <w:sz w:val="24"/>
          <w:szCs w:val="24"/>
          <w:highlight w:val="none"/>
        </w:rPr>
        <w:t>）《排污许可证申请与核发技术规范畜禽养殖行业》（</w:t>
      </w:r>
      <w:r>
        <w:rPr>
          <w:rFonts w:hint="default" w:ascii="Times New Roman" w:hAnsi="Times New Roman" w:eastAsia="Times New Roman" w:cs="Times New Roman"/>
          <w:color w:val="auto"/>
          <w:spacing w:val="-2"/>
          <w:sz w:val="24"/>
          <w:szCs w:val="24"/>
          <w:highlight w:val="none"/>
        </w:rPr>
        <w:t>H</w:t>
      </w:r>
      <w:r>
        <w:rPr>
          <w:rFonts w:hint="default" w:ascii="Times New Roman" w:hAnsi="Times New Roman" w:eastAsia="Times New Roman" w:cs="Times New Roman"/>
          <w:color w:val="auto"/>
          <w:spacing w:val="-3"/>
          <w:sz w:val="24"/>
          <w:szCs w:val="24"/>
          <w:highlight w:val="none"/>
        </w:rPr>
        <w:t>J1029-2019</w:t>
      </w:r>
      <w:r>
        <w:rPr>
          <w:rFonts w:hint="default" w:ascii="Times New Roman" w:hAnsi="Times New Roman" w:eastAsia="宋体" w:cs="Times New Roman"/>
          <w:color w:val="auto"/>
          <w:spacing w:val="-14"/>
          <w:sz w:val="24"/>
          <w:szCs w:val="24"/>
          <w:highlight w:val="none"/>
        </w:rPr>
        <w:t>）；</w:t>
      </w:r>
    </w:p>
    <w:p w14:paraId="7F5D52AC">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17</w:t>
      </w:r>
      <w:r>
        <w:rPr>
          <w:rFonts w:hint="default" w:ascii="Times New Roman" w:hAnsi="Times New Roman" w:eastAsia="宋体" w:cs="Times New Roman"/>
          <w:color w:val="auto"/>
          <w:sz w:val="24"/>
          <w:szCs w:val="24"/>
          <w:highlight w:val="none"/>
        </w:rPr>
        <w:t>）《病害动物和病害动物产品生物安全处</w:t>
      </w:r>
      <w:r>
        <w:rPr>
          <w:rFonts w:hint="default" w:ascii="Times New Roman" w:hAnsi="Times New Roman" w:eastAsia="宋体" w:cs="Times New Roman"/>
          <w:color w:val="auto"/>
          <w:spacing w:val="-1"/>
          <w:sz w:val="24"/>
          <w:szCs w:val="24"/>
          <w:highlight w:val="none"/>
        </w:rPr>
        <w:t>理规程》（</w:t>
      </w:r>
      <w:r>
        <w:rPr>
          <w:rFonts w:hint="default" w:ascii="Times New Roman" w:hAnsi="Times New Roman" w:eastAsia="Times New Roman" w:cs="Times New Roman"/>
          <w:color w:val="auto"/>
          <w:spacing w:val="-1"/>
          <w:sz w:val="24"/>
          <w:szCs w:val="24"/>
          <w:highlight w:val="none"/>
        </w:rPr>
        <w:t>GB16548-2006</w:t>
      </w:r>
      <w:r>
        <w:rPr>
          <w:rFonts w:hint="default" w:ascii="Times New Roman" w:hAnsi="Times New Roman" w:eastAsia="宋体" w:cs="Times New Roman"/>
          <w:color w:val="auto"/>
          <w:spacing w:val="-14"/>
          <w:sz w:val="24"/>
          <w:szCs w:val="24"/>
          <w:highlight w:val="none"/>
        </w:rPr>
        <w:t>）；</w:t>
      </w:r>
    </w:p>
    <w:p w14:paraId="7871B73F">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18</w:t>
      </w:r>
      <w:r>
        <w:rPr>
          <w:rFonts w:hint="default" w:ascii="Times New Roman" w:hAnsi="Times New Roman" w:eastAsia="宋体" w:cs="Times New Roman"/>
          <w:color w:val="auto"/>
          <w:spacing w:val="-1"/>
          <w:sz w:val="24"/>
          <w:szCs w:val="24"/>
          <w:highlight w:val="none"/>
        </w:rPr>
        <w:t>）《排污单位自行监测技术指南总则》（</w:t>
      </w:r>
      <w:r>
        <w:rPr>
          <w:rFonts w:hint="default" w:ascii="Times New Roman" w:hAnsi="Times New Roman" w:eastAsia="Times New Roman" w:cs="Times New Roman"/>
          <w:color w:val="auto"/>
          <w:spacing w:val="-1"/>
          <w:sz w:val="24"/>
          <w:szCs w:val="24"/>
          <w:highlight w:val="none"/>
        </w:rPr>
        <w:t>HJ819-2017</w:t>
      </w:r>
      <w:r>
        <w:rPr>
          <w:rFonts w:hint="default" w:ascii="Times New Roman" w:hAnsi="Times New Roman" w:eastAsia="宋体" w:cs="Times New Roman"/>
          <w:color w:val="auto"/>
          <w:spacing w:val="-14"/>
          <w:sz w:val="24"/>
          <w:szCs w:val="24"/>
          <w:highlight w:val="none"/>
        </w:rPr>
        <w:t>）；</w:t>
      </w:r>
    </w:p>
    <w:p w14:paraId="5F98C215">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19</w:t>
      </w:r>
      <w:r>
        <w:rPr>
          <w:rFonts w:hint="default" w:ascii="Times New Roman" w:hAnsi="Times New Roman" w:eastAsia="宋体" w:cs="Times New Roman"/>
          <w:color w:val="auto"/>
          <w:spacing w:val="-1"/>
          <w:sz w:val="24"/>
          <w:szCs w:val="24"/>
          <w:highlight w:val="none"/>
        </w:rPr>
        <w:t>）《固体废物鉴别标准通则》（</w:t>
      </w:r>
      <w:r>
        <w:rPr>
          <w:rFonts w:hint="default" w:ascii="Times New Roman" w:hAnsi="Times New Roman" w:eastAsia="Times New Roman" w:cs="Times New Roman"/>
          <w:color w:val="auto"/>
          <w:spacing w:val="-1"/>
          <w:sz w:val="24"/>
          <w:szCs w:val="24"/>
          <w:highlight w:val="none"/>
        </w:rPr>
        <w:t>GB34330</w:t>
      </w:r>
      <w:r>
        <w:rPr>
          <w:rFonts w:hint="default" w:ascii="Times New Roman" w:hAnsi="Times New Roman" w:eastAsia="宋体" w:cs="Times New Roman"/>
          <w:color w:val="auto"/>
          <w:spacing w:val="-1"/>
          <w:sz w:val="24"/>
          <w:szCs w:val="24"/>
          <w:highlight w:val="none"/>
          <w:lang w:val="en-US" w:eastAsia="zh-CN"/>
        </w:rPr>
        <w:t>-</w:t>
      </w:r>
      <w:r>
        <w:rPr>
          <w:rFonts w:hint="default" w:ascii="Times New Roman" w:hAnsi="Times New Roman" w:eastAsia="Times New Roman" w:cs="Times New Roman"/>
          <w:color w:val="auto"/>
          <w:spacing w:val="-1"/>
          <w:sz w:val="24"/>
          <w:szCs w:val="24"/>
          <w:highlight w:val="none"/>
        </w:rPr>
        <w:t>2017</w:t>
      </w:r>
      <w:r>
        <w:rPr>
          <w:rFonts w:hint="default" w:ascii="Times New Roman" w:hAnsi="Times New Roman" w:eastAsia="宋体" w:cs="Times New Roman"/>
          <w:color w:val="auto"/>
          <w:spacing w:val="-6"/>
          <w:sz w:val="24"/>
          <w:szCs w:val="24"/>
          <w:highlight w:val="none"/>
        </w:rPr>
        <w:t>）；</w:t>
      </w:r>
    </w:p>
    <w:p w14:paraId="46E57424">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20</w:t>
      </w:r>
      <w:r>
        <w:rPr>
          <w:rFonts w:hint="default" w:ascii="Times New Roman" w:hAnsi="Times New Roman" w:eastAsia="宋体" w:cs="Times New Roman"/>
          <w:color w:val="auto"/>
          <w:spacing w:val="-4"/>
          <w:sz w:val="24"/>
          <w:szCs w:val="24"/>
          <w:highlight w:val="none"/>
        </w:rPr>
        <w:t>）《建设项目危险废物环境影响评价指南》（</w:t>
      </w:r>
      <w:r>
        <w:rPr>
          <w:rFonts w:hint="default" w:ascii="Times New Roman" w:hAnsi="Times New Roman" w:eastAsia="Times New Roman" w:cs="Times New Roman"/>
          <w:color w:val="auto"/>
          <w:spacing w:val="-4"/>
          <w:sz w:val="24"/>
          <w:szCs w:val="24"/>
          <w:highlight w:val="none"/>
        </w:rPr>
        <w:t>2017</w:t>
      </w:r>
      <w:r>
        <w:rPr>
          <w:rFonts w:hint="default" w:ascii="Times New Roman" w:hAnsi="Times New Roman" w:eastAsia="宋体" w:cs="Times New Roman"/>
          <w:color w:val="auto"/>
          <w:spacing w:val="-4"/>
          <w:sz w:val="24"/>
          <w:szCs w:val="24"/>
          <w:highlight w:val="none"/>
        </w:rPr>
        <w:t>年</w:t>
      </w:r>
      <w:r>
        <w:rPr>
          <w:rFonts w:hint="default" w:ascii="Times New Roman" w:hAnsi="Times New Roman" w:eastAsia="Times New Roman" w:cs="Times New Roman"/>
          <w:color w:val="auto"/>
          <w:spacing w:val="-4"/>
          <w:sz w:val="24"/>
          <w:szCs w:val="24"/>
          <w:highlight w:val="none"/>
        </w:rPr>
        <w:t>10</w:t>
      </w:r>
      <w:r>
        <w:rPr>
          <w:rFonts w:hint="default" w:ascii="Times New Roman" w:hAnsi="Times New Roman" w:eastAsia="宋体" w:cs="Times New Roman"/>
          <w:color w:val="auto"/>
          <w:spacing w:val="-4"/>
          <w:sz w:val="24"/>
          <w:szCs w:val="24"/>
          <w:highlight w:val="none"/>
        </w:rPr>
        <w:t>月</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rPr>
        <w:t>日</w:t>
      </w:r>
      <w:r>
        <w:rPr>
          <w:rFonts w:hint="default" w:ascii="Times New Roman" w:hAnsi="Times New Roman" w:eastAsia="宋体" w:cs="Times New Roman"/>
          <w:color w:val="auto"/>
          <w:spacing w:val="-12"/>
          <w:sz w:val="24"/>
          <w:szCs w:val="24"/>
          <w:highlight w:val="none"/>
        </w:rPr>
        <w:t>）；</w:t>
      </w:r>
    </w:p>
    <w:p w14:paraId="7057DA81">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21</w:t>
      </w:r>
      <w:r>
        <w:rPr>
          <w:rFonts w:hint="default" w:ascii="Times New Roman" w:hAnsi="Times New Roman" w:eastAsia="宋体" w:cs="Times New Roman"/>
          <w:color w:val="auto"/>
          <w:sz w:val="24"/>
          <w:szCs w:val="24"/>
          <w:highlight w:val="none"/>
        </w:rPr>
        <w:t>）《排污许可证申请与核发技术规范农副食品加工业》（</w:t>
      </w:r>
      <w:r>
        <w:rPr>
          <w:rFonts w:hint="default" w:ascii="Times New Roman" w:hAnsi="Times New Roman" w:eastAsia="Times New Roman" w:cs="Times New Roman"/>
          <w:color w:val="auto"/>
          <w:sz w:val="24"/>
          <w:szCs w:val="24"/>
          <w:highlight w:val="none"/>
        </w:rPr>
        <w:t>HJ1110-2020</w:t>
      </w:r>
      <w:r>
        <w:rPr>
          <w:rFonts w:hint="default" w:ascii="Times New Roman" w:hAnsi="Times New Roman" w:eastAsia="宋体" w:cs="Times New Roman"/>
          <w:color w:val="auto"/>
          <w:spacing w:val="-17"/>
          <w:sz w:val="24"/>
          <w:szCs w:val="24"/>
          <w:highlight w:val="none"/>
        </w:rPr>
        <w:t>）；</w:t>
      </w:r>
    </w:p>
    <w:p w14:paraId="33148A64">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22</w:t>
      </w:r>
      <w:r>
        <w:rPr>
          <w:rFonts w:hint="default" w:ascii="Times New Roman" w:hAnsi="Times New Roman" w:eastAsia="宋体" w:cs="Times New Roman"/>
          <w:color w:val="auto"/>
          <w:spacing w:val="-2"/>
          <w:sz w:val="24"/>
          <w:szCs w:val="24"/>
          <w:highlight w:val="none"/>
        </w:rPr>
        <w:t>）《排污单位自行监测技术指南畜禽养殖行业》（</w:t>
      </w:r>
      <w:r>
        <w:rPr>
          <w:rFonts w:hint="default" w:ascii="Times New Roman" w:hAnsi="Times New Roman" w:eastAsia="Times New Roman" w:cs="Times New Roman"/>
          <w:color w:val="auto"/>
          <w:spacing w:val="-2"/>
          <w:sz w:val="24"/>
          <w:szCs w:val="24"/>
          <w:highlight w:val="none"/>
        </w:rPr>
        <w:t>H</w:t>
      </w:r>
      <w:r>
        <w:rPr>
          <w:rFonts w:hint="default" w:ascii="Times New Roman" w:hAnsi="Times New Roman" w:eastAsia="Times New Roman" w:cs="Times New Roman"/>
          <w:color w:val="auto"/>
          <w:spacing w:val="-3"/>
          <w:sz w:val="24"/>
          <w:szCs w:val="24"/>
          <w:highlight w:val="none"/>
        </w:rPr>
        <w:t>J1252-2022</w:t>
      </w:r>
      <w:r>
        <w:rPr>
          <w:rFonts w:hint="default" w:ascii="Times New Roman" w:hAnsi="Times New Roman" w:eastAsia="宋体" w:cs="Times New Roman"/>
          <w:color w:val="auto"/>
          <w:spacing w:val="-14"/>
          <w:sz w:val="24"/>
          <w:szCs w:val="24"/>
          <w:highlight w:val="none"/>
        </w:rPr>
        <w:t>）；</w:t>
      </w:r>
    </w:p>
    <w:p w14:paraId="00BC163F">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23</w:t>
      </w:r>
      <w:r>
        <w:rPr>
          <w:rFonts w:hint="default" w:ascii="Times New Roman" w:hAnsi="Times New Roman" w:eastAsia="宋体" w:cs="Times New Roman"/>
          <w:color w:val="auto"/>
          <w:sz w:val="24"/>
          <w:szCs w:val="24"/>
          <w:highlight w:val="none"/>
        </w:rPr>
        <w:t>）《排污单位自行监测技术指南农副食品加工</w:t>
      </w:r>
      <w:r>
        <w:rPr>
          <w:rFonts w:hint="default" w:ascii="Times New Roman" w:hAnsi="Times New Roman" w:eastAsia="宋体" w:cs="Times New Roman"/>
          <w:color w:val="auto"/>
          <w:spacing w:val="-1"/>
          <w:sz w:val="24"/>
          <w:szCs w:val="24"/>
          <w:highlight w:val="none"/>
        </w:rPr>
        <w:t>业》（</w:t>
      </w:r>
      <w:r>
        <w:rPr>
          <w:rFonts w:hint="default" w:ascii="Times New Roman" w:hAnsi="Times New Roman" w:eastAsia="Times New Roman" w:cs="Times New Roman"/>
          <w:color w:val="auto"/>
          <w:spacing w:val="-1"/>
          <w:sz w:val="24"/>
          <w:szCs w:val="24"/>
          <w:highlight w:val="none"/>
        </w:rPr>
        <w:t>HJ986-2018</w:t>
      </w:r>
      <w:r>
        <w:rPr>
          <w:rFonts w:hint="default" w:ascii="Times New Roman" w:hAnsi="Times New Roman" w:eastAsia="宋体" w:cs="Times New Roman"/>
          <w:color w:val="auto"/>
          <w:spacing w:val="-14"/>
          <w:sz w:val="24"/>
          <w:szCs w:val="24"/>
          <w:highlight w:val="none"/>
        </w:rPr>
        <w:t>）；</w:t>
      </w:r>
    </w:p>
    <w:p w14:paraId="52AF089E">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24</w:t>
      </w:r>
      <w:r>
        <w:rPr>
          <w:rFonts w:hint="default" w:ascii="Times New Roman" w:hAnsi="Times New Roman" w:eastAsia="宋体" w:cs="Times New Roman"/>
          <w:color w:val="auto"/>
          <w:spacing w:val="-3"/>
          <w:sz w:val="24"/>
          <w:szCs w:val="24"/>
          <w:highlight w:val="none"/>
        </w:rPr>
        <w:t>）《生态环境部办公厅关于进一步明确畜禽粪污还田利用要求强化养</w:t>
      </w:r>
      <w:r>
        <w:rPr>
          <w:rFonts w:hint="default" w:ascii="Times New Roman" w:hAnsi="Times New Roman" w:eastAsia="宋体" w:cs="Times New Roman"/>
          <w:color w:val="auto"/>
          <w:spacing w:val="-4"/>
          <w:sz w:val="24"/>
          <w:szCs w:val="24"/>
          <w:highlight w:val="none"/>
        </w:rPr>
        <w:t>殖污染</w:t>
      </w:r>
      <w:r>
        <w:rPr>
          <w:rFonts w:hint="default" w:ascii="Times New Roman" w:hAnsi="Times New Roman" w:eastAsia="宋体" w:cs="Times New Roman"/>
          <w:color w:val="auto"/>
          <w:spacing w:val="-2"/>
          <w:sz w:val="24"/>
          <w:szCs w:val="24"/>
          <w:highlight w:val="none"/>
        </w:rPr>
        <w:t>监管的通知》（农办牧〔</w:t>
      </w:r>
      <w:r>
        <w:rPr>
          <w:rFonts w:hint="default" w:ascii="Times New Roman" w:hAnsi="Times New Roman" w:eastAsia="Times New Roman" w:cs="Times New Roman"/>
          <w:color w:val="auto"/>
          <w:spacing w:val="-2"/>
          <w:sz w:val="24"/>
          <w:szCs w:val="24"/>
          <w:highlight w:val="none"/>
        </w:rPr>
        <w:t>2020</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23</w:t>
      </w:r>
      <w:r>
        <w:rPr>
          <w:rFonts w:hint="default" w:ascii="Times New Roman" w:hAnsi="Times New Roman" w:eastAsia="宋体" w:cs="Times New Roman"/>
          <w:color w:val="auto"/>
          <w:spacing w:val="-2"/>
          <w:sz w:val="24"/>
          <w:szCs w:val="24"/>
          <w:highlight w:val="none"/>
        </w:rPr>
        <w:t>号</w:t>
      </w:r>
      <w:r>
        <w:rPr>
          <w:rFonts w:hint="default" w:ascii="Times New Roman" w:hAnsi="Times New Roman" w:eastAsia="宋体" w:cs="Times New Roman"/>
          <w:color w:val="auto"/>
          <w:spacing w:val="-3"/>
          <w:sz w:val="24"/>
          <w:szCs w:val="24"/>
          <w:highlight w:val="none"/>
        </w:rPr>
        <w:t>）。</w:t>
      </w:r>
    </w:p>
    <w:p w14:paraId="72D954C9">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67" w:name="_Toc3216"/>
      <w:r>
        <w:rPr>
          <w:rFonts w:hint="default" w:ascii="Times New Roman" w:hAnsi="Times New Roman" w:eastAsia="宋体" w:cs="Times New Roman"/>
          <w:b/>
          <w:bCs/>
          <w:color w:val="auto"/>
          <w:spacing w:val="-2"/>
          <w:sz w:val="24"/>
          <w:szCs w:val="24"/>
          <w:highlight w:val="none"/>
          <w:lang w:val="en-US" w:eastAsia="zh-CN"/>
        </w:rPr>
        <w:t>2.3.5建设项目有关文件</w:t>
      </w:r>
      <w:bookmarkEnd w:id="67"/>
    </w:p>
    <w:p w14:paraId="19BEA085">
      <w:pPr>
        <w:keepNext w:val="0"/>
        <w:keepLines w:val="0"/>
        <w:pageBreakBefore w:val="0"/>
        <w:widowControl/>
        <w:kinsoku/>
        <w:wordWrap w:val="0"/>
        <w:overflowPunct/>
        <w:topLinePunct/>
        <w:autoSpaceDE/>
        <w:autoSpaceDN/>
        <w:bidi w:val="0"/>
        <w:adjustRightInd w:val="0"/>
        <w:snapToGrid w:val="0"/>
        <w:spacing w:line="360" w:lineRule="auto"/>
        <w:ind w:lef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）项目建设单位与评价单位签订的环境影响评价合同。</w:t>
      </w:r>
    </w:p>
    <w:p w14:paraId="39588013">
      <w:pPr>
        <w:keepNext w:val="0"/>
        <w:keepLines w:val="0"/>
        <w:pageBreakBefore w:val="0"/>
        <w:widowControl/>
        <w:kinsoku/>
        <w:wordWrap w:val="0"/>
        <w:overflowPunct/>
        <w:topLinePunct/>
        <w:autoSpaceDE/>
        <w:autoSpaceDN/>
        <w:bidi w:val="0"/>
        <w:adjustRightInd w:val="0"/>
        <w:snapToGrid w:val="0"/>
        <w:spacing w:line="360" w:lineRule="auto"/>
        <w:ind w:lef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）项目建设单位提供的其他资料。</w:t>
      </w:r>
    </w:p>
    <w:p w14:paraId="2C3DD8FA">
      <w:pPr>
        <w:keepNext w:val="0"/>
        <w:keepLines w:val="0"/>
        <w:pageBreakBefore w:val="0"/>
        <w:widowControl/>
        <w:kinsoku/>
        <w:wordWrap w:val="0"/>
        <w:overflowPunct/>
        <w:topLinePunct/>
        <w:autoSpaceDE/>
        <w:autoSpaceDN/>
        <w:bidi w:val="0"/>
        <w:adjustRightInd w:val="0"/>
        <w:snapToGrid w:val="0"/>
        <w:spacing w:before="159" w:line="360" w:lineRule="auto"/>
        <w:ind w:left="11"/>
        <w:textAlignment w:val="baseline"/>
        <w:outlineLvl w:val="1"/>
        <w:rPr>
          <w:rFonts w:hint="default" w:ascii="Times New Roman" w:hAnsi="Times New Roman" w:eastAsia="Times New Roman" w:cs="Times New Roman"/>
          <w:b/>
          <w:bCs/>
          <w:color w:val="auto"/>
          <w:spacing w:val="-5"/>
          <w:sz w:val="28"/>
          <w:szCs w:val="28"/>
          <w:highlight w:val="none"/>
        </w:rPr>
      </w:pPr>
      <w:bookmarkStart w:id="68" w:name="_Toc31460"/>
      <w:bookmarkStart w:id="69" w:name="_Toc18633"/>
      <w:bookmarkStart w:id="70" w:name="_Toc18293"/>
      <w:r>
        <w:rPr>
          <w:rFonts w:hint="default" w:ascii="Times New Roman" w:hAnsi="Times New Roman" w:eastAsia="Times New Roman" w:cs="Times New Roman"/>
          <w:b/>
          <w:bCs/>
          <w:color w:val="auto"/>
          <w:spacing w:val="-5"/>
          <w:sz w:val="28"/>
          <w:szCs w:val="28"/>
          <w:highlight w:val="none"/>
        </w:rPr>
        <w:t>2.4环境影响因素识别、评价因子筛选及评价标准</w:t>
      </w:r>
      <w:bookmarkEnd w:id="68"/>
      <w:bookmarkEnd w:id="69"/>
      <w:bookmarkEnd w:id="70"/>
    </w:p>
    <w:p w14:paraId="4F73F0BB">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71" w:name="_Toc15275"/>
      <w:r>
        <w:rPr>
          <w:rFonts w:hint="default" w:ascii="Times New Roman" w:hAnsi="Times New Roman" w:eastAsia="宋体" w:cs="Times New Roman"/>
          <w:b/>
          <w:bCs/>
          <w:color w:val="auto"/>
          <w:spacing w:val="-2"/>
          <w:sz w:val="24"/>
          <w:szCs w:val="24"/>
          <w:highlight w:val="none"/>
          <w:lang w:val="en-US" w:eastAsia="zh-CN"/>
        </w:rPr>
        <w:t>2.4.1环境影响因素识别</w:t>
      </w:r>
      <w:bookmarkEnd w:id="71"/>
    </w:p>
    <w:p w14:paraId="04F096C7">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本项目为养殖项目，</w:t>
      </w:r>
      <w:r>
        <w:rPr>
          <w:rFonts w:hint="default" w:ascii="Times New Roman" w:hAnsi="Times New Roman" w:eastAsia="宋体" w:cs="Times New Roman"/>
          <w:color w:val="auto"/>
          <w:sz w:val="24"/>
          <w:szCs w:val="24"/>
          <w:highlight w:val="none"/>
          <w:lang w:val="en-US" w:eastAsia="zh-CN"/>
        </w:rPr>
        <w:t>牛舍区拟采用干撒式发酵床工艺，其采用的干撒式发酵床发酵菌剂可将牛尿、牛粪一部分降解为水蒸气和二氧化碳，另一部分转化为粗蛋白、菌体蛋白和维生素等营养物质。从源头上消除了粪尿对生态环境的污染，实现粪污零排放，保护生态环境</w:t>
      </w:r>
      <w:r>
        <w:rPr>
          <w:rFonts w:hint="default" w:ascii="Times New Roman" w:hAnsi="Times New Roman" w:eastAsia="宋体" w:cs="Times New Roman"/>
          <w:color w:val="auto"/>
          <w:spacing w:val="-6"/>
          <w:sz w:val="24"/>
          <w:szCs w:val="24"/>
          <w:highlight w:val="none"/>
        </w:rPr>
        <w:t>。生活</w:t>
      </w:r>
      <w:r>
        <w:rPr>
          <w:rFonts w:hint="default" w:ascii="Times New Roman" w:hAnsi="Times New Roman" w:eastAsia="宋体" w:cs="Times New Roman"/>
          <w:color w:val="auto"/>
          <w:spacing w:val="-1"/>
          <w:sz w:val="24"/>
          <w:szCs w:val="24"/>
          <w:highlight w:val="none"/>
        </w:rPr>
        <w:t>污水排入化粪池，定期清掏，</w:t>
      </w:r>
      <w:r>
        <w:rPr>
          <w:rFonts w:hint="default" w:ascii="Times New Roman" w:hAnsi="Times New Roman" w:eastAsia="宋体" w:cs="Times New Roman"/>
          <w:color w:val="auto"/>
          <w:spacing w:val="-1"/>
          <w:sz w:val="24"/>
          <w:szCs w:val="24"/>
          <w:highlight w:val="none"/>
          <w:lang w:val="en-US" w:eastAsia="zh-CN"/>
        </w:rPr>
        <w:t>吸粪车清运，</w:t>
      </w:r>
      <w:r>
        <w:rPr>
          <w:rFonts w:hint="default" w:ascii="Times New Roman" w:hAnsi="Times New Roman" w:eastAsia="宋体" w:cs="Times New Roman"/>
          <w:color w:val="auto"/>
          <w:spacing w:val="-1"/>
          <w:sz w:val="24"/>
          <w:szCs w:val="24"/>
          <w:highlight w:val="none"/>
        </w:rPr>
        <w:t>不排</w:t>
      </w:r>
      <w:r>
        <w:rPr>
          <w:rFonts w:hint="default" w:ascii="Times New Roman" w:hAnsi="Times New Roman" w:eastAsia="宋体" w:cs="Times New Roman"/>
          <w:color w:val="auto"/>
          <w:spacing w:val="-2"/>
          <w:sz w:val="24"/>
          <w:szCs w:val="24"/>
          <w:highlight w:val="none"/>
        </w:rPr>
        <w:t>入地表水体。</w:t>
      </w:r>
    </w:p>
    <w:p w14:paraId="3A59CA44">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项目产生废气主要为牛舍、</w:t>
      </w:r>
      <w:r>
        <w:rPr>
          <w:rFonts w:hint="default" w:ascii="Times New Roman" w:hAnsi="Times New Roman" w:eastAsia="宋体" w:cs="Times New Roman"/>
          <w:color w:val="auto"/>
          <w:spacing w:val="-3"/>
          <w:sz w:val="24"/>
          <w:szCs w:val="24"/>
          <w:highlight w:val="none"/>
          <w:lang w:val="en-US" w:eastAsia="zh-CN"/>
        </w:rPr>
        <w:t>粪污储存间</w:t>
      </w:r>
      <w:r>
        <w:rPr>
          <w:rFonts w:hint="default" w:ascii="Times New Roman" w:hAnsi="Times New Roman" w:eastAsia="宋体" w:cs="Times New Roman"/>
          <w:color w:val="auto"/>
          <w:spacing w:val="-3"/>
          <w:sz w:val="24"/>
          <w:szCs w:val="24"/>
          <w:highlight w:val="none"/>
        </w:rPr>
        <w:t>产生的恶臭</w:t>
      </w:r>
      <w:r>
        <w:rPr>
          <w:rFonts w:hint="default" w:ascii="Times New Roman" w:hAnsi="Times New Roman" w:eastAsia="宋体" w:cs="Times New Roman"/>
          <w:color w:val="auto"/>
          <w:spacing w:val="-4"/>
          <w:sz w:val="24"/>
          <w:szCs w:val="24"/>
          <w:highlight w:val="none"/>
        </w:rPr>
        <w:t>。项目噪声源主要为</w:t>
      </w:r>
      <w:r>
        <w:rPr>
          <w:rFonts w:hint="default" w:ascii="Times New Roman" w:hAnsi="Times New Roman" w:eastAsia="宋体" w:cs="Times New Roman"/>
          <w:color w:val="auto"/>
          <w:spacing w:val="-1"/>
          <w:sz w:val="24"/>
          <w:szCs w:val="24"/>
          <w:highlight w:val="none"/>
        </w:rPr>
        <w:t>牛叫、风机等设备，噪声声级范围</w:t>
      </w:r>
      <w:r>
        <w:rPr>
          <w:rFonts w:hint="default" w:ascii="Times New Roman" w:hAnsi="Times New Roman" w:eastAsia="Times New Roman" w:cs="Times New Roman"/>
          <w:color w:val="auto"/>
          <w:spacing w:val="-1"/>
          <w:sz w:val="24"/>
          <w:szCs w:val="24"/>
          <w:highlight w:val="none"/>
        </w:rPr>
        <w:t>6</w:t>
      </w:r>
      <w:r>
        <w:rPr>
          <w:rFonts w:hint="default" w:ascii="Times New Roman" w:hAnsi="Times New Roman" w:eastAsia="宋体" w:cs="Times New Roman"/>
          <w:color w:val="auto"/>
          <w:spacing w:val="-1"/>
          <w:sz w:val="24"/>
          <w:szCs w:val="24"/>
          <w:highlight w:val="none"/>
          <w:lang w:val="en-US" w:eastAsia="zh-CN"/>
        </w:rPr>
        <w:t>0</w:t>
      </w:r>
      <w:r>
        <w:rPr>
          <w:rFonts w:hint="default" w:ascii="Times New Roman" w:hAnsi="Times New Roman" w:eastAsia="Times New Roman" w:cs="Times New Roman"/>
          <w:color w:val="auto"/>
          <w:spacing w:val="-1"/>
          <w:sz w:val="24"/>
          <w:szCs w:val="24"/>
          <w:highlight w:val="none"/>
        </w:rPr>
        <w:t>-90dB(A)</w:t>
      </w:r>
      <w:r>
        <w:rPr>
          <w:rFonts w:hint="default" w:ascii="Times New Roman" w:hAnsi="Times New Roman" w:eastAsia="宋体" w:cs="Times New Roman"/>
          <w:color w:val="auto"/>
          <w:spacing w:val="-1"/>
          <w:sz w:val="24"/>
          <w:szCs w:val="24"/>
          <w:highlight w:val="none"/>
        </w:rPr>
        <w:t>。</w:t>
      </w:r>
    </w:p>
    <w:p w14:paraId="393DA974">
      <w:pPr>
        <w:keepNext w:val="0"/>
        <w:keepLines w:val="0"/>
        <w:pageBreakBefore w:val="0"/>
        <w:widowControl/>
        <w:kinsoku/>
        <w:wordWrap w:val="0"/>
        <w:overflowPunct/>
        <w:topLinePunct/>
        <w:autoSpaceDE/>
        <w:autoSpaceDN/>
        <w:bidi w:val="0"/>
        <w:adjustRightInd w:val="0"/>
        <w:snapToGrid w:val="0"/>
        <w:spacing w:line="360" w:lineRule="auto"/>
        <w:ind w:left="0" w:right="0" w:firstLine="440"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10"/>
          <w:sz w:val="24"/>
          <w:szCs w:val="24"/>
          <w:highlight w:val="none"/>
        </w:rPr>
        <w:t>根据工程分析可知，项目建成后固体废物主要为</w:t>
      </w:r>
      <w:r>
        <w:rPr>
          <w:rFonts w:hint="default" w:ascii="Times New Roman" w:hAnsi="Times New Roman" w:eastAsia="宋体" w:cs="Times New Roman"/>
          <w:color w:val="auto"/>
          <w:sz w:val="24"/>
          <w:szCs w:val="24"/>
          <w:highlight w:val="none"/>
          <w:lang w:val="en-US" w:eastAsia="zh-CN"/>
        </w:rPr>
        <w:t>牛舍更换的发酵床垫料</w:t>
      </w:r>
      <w:r>
        <w:rPr>
          <w:rFonts w:hint="default" w:ascii="Times New Roman" w:hAnsi="Times New Roman" w:eastAsia="宋体" w:cs="Times New Roman"/>
          <w:color w:val="auto"/>
          <w:spacing w:val="-11"/>
          <w:sz w:val="24"/>
          <w:szCs w:val="24"/>
          <w:highlight w:val="none"/>
        </w:rPr>
        <w:t>、医疗废物</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防疫过程产生的废注射器和废药瓶、病牛治疗过程产生的废注射器和废药瓶）</w:t>
      </w:r>
      <w:r>
        <w:rPr>
          <w:rFonts w:hint="default" w:ascii="Times New Roman" w:hAnsi="Times New Roman" w:eastAsia="宋体" w:cs="Times New Roman"/>
          <w:color w:val="auto"/>
          <w:spacing w:val="-11"/>
          <w:sz w:val="24"/>
          <w:szCs w:val="24"/>
          <w:highlight w:val="none"/>
        </w:rPr>
        <w:t>、病死牛、</w:t>
      </w:r>
      <w:r>
        <w:rPr>
          <w:rFonts w:hint="default" w:ascii="Times New Roman" w:hAnsi="Times New Roman" w:eastAsia="宋体" w:cs="Times New Roman"/>
          <w:color w:val="auto"/>
          <w:spacing w:val="-1"/>
          <w:sz w:val="24"/>
          <w:szCs w:val="24"/>
          <w:highlight w:val="none"/>
          <w:lang w:eastAsia="zh-CN"/>
        </w:rPr>
        <w:t>分娩废物</w:t>
      </w:r>
      <w:r>
        <w:rPr>
          <w:rFonts w:hint="default" w:ascii="Times New Roman" w:hAnsi="Times New Roman" w:eastAsia="宋体" w:cs="Times New Roman"/>
          <w:color w:val="auto"/>
          <w:spacing w:val="-1"/>
          <w:sz w:val="24"/>
          <w:szCs w:val="24"/>
          <w:highlight w:val="none"/>
        </w:rPr>
        <w:t>、生活垃圾</w:t>
      </w:r>
      <w:r>
        <w:rPr>
          <w:rFonts w:hint="default" w:ascii="Times New Roman" w:hAnsi="Times New Roman" w:eastAsia="宋体" w:cs="Times New Roman"/>
          <w:color w:val="auto"/>
          <w:spacing w:val="-1"/>
          <w:sz w:val="24"/>
          <w:szCs w:val="24"/>
          <w:highlight w:val="none"/>
          <w:lang w:eastAsia="zh-CN"/>
        </w:rPr>
        <w:t>。</w:t>
      </w:r>
    </w:p>
    <w:p w14:paraId="47E5568E">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本次评价根据项目特点和区域环境特征，进行环境影响因子识别，本次评价主要对施工期产生的废气、废水、噪声、固体废物对环境产生的影响进行分析，对运营期废水、废气、噪声、固体废物对周围环境产生的影响进行评价和分析，以及污染控制措施的可行性作为重点评价内容。环境要素识别矩阵见表2.4-1。</w:t>
      </w:r>
    </w:p>
    <w:p w14:paraId="1F2DE0E6">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b/>
          <w:bCs/>
          <w:color w:val="auto"/>
          <w:spacing w:val="-3"/>
          <w:sz w:val="24"/>
          <w:szCs w:val="24"/>
          <w:highlight w:val="none"/>
        </w:rPr>
      </w:pPr>
      <w:r>
        <w:rPr>
          <w:rFonts w:hint="default" w:ascii="Times New Roman" w:hAnsi="Times New Roman" w:eastAsia="宋体" w:cs="Times New Roman"/>
          <w:b/>
          <w:bCs/>
          <w:color w:val="auto"/>
          <w:spacing w:val="-3"/>
          <w:sz w:val="24"/>
          <w:szCs w:val="24"/>
          <w:highlight w:val="none"/>
        </w:rPr>
        <w:t>表2.</w:t>
      </w:r>
      <w:r>
        <w:rPr>
          <w:rFonts w:hint="default" w:ascii="Times New Roman" w:hAnsi="Times New Roman" w:eastAsia="宋体" w:cs="Times New Roman"/>
          <w:b/>
          <w:bCs/>
          <w:color w:val="auto"/>
          <w:spacing w:val="-3"/>
          <w:sz w:val="24"/>
          <w:szCs w:val="24"/>
          <w:highlight w:val="none"/>
          <w:lang w:val="en-US" w:eastAsia="zh-CN"/>
        </w:rPr>
        <w:t>4</w:t>
      </w:r>
      <w:r>
        <w:rPr>
          <w:rFonts w:hint="default" w:ascii="Times New Roman" w:hAnsi="Times New Roman" w:eastAsia="宋体" w:cs="Times New Roman"/>
          <w:b/>
          <w:bCs/>
          <w:color w:val="auto"/>
          <w:spacing w:val="-3"/>
          <w:sz w:val="24"/>
          <w:szCs w:val="24"/>
          <w:highlight w:val="none"/>
        </w:rPr>
        <w:t>-1环境影响识别矩阵</w:t>
      </w:r>
    </w:p>
    <w:tbl>
      <w:tblPr>
        <w:tblStyle w:val="34"/>
        <w:tblW w:w="8897"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3"/>
        <w:gridCol w:w="1268"/>
        <w:gridCol w:w="1507"/>
        <w:gridCol w:w="1140"/>
        <w:gridCol w:w="1140"/>
        <w:gridCol w:w="1028"/>
        <w:gridCol w:w="1027"/>
        <w:gridCol w:w="904"/>
      </w:tblGrid>
      <w:tr w14:paraId="72BAFC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2151" w:type="dxa"/>
            <w:gridSpan w:val="2"/>
            <w:vMerge w:val="restart"/>
            <w:tcBorders>
              <w:top w:val="single" w:color="000000" w:sz="10" w:space="0"/>
              <w:left w:val="nil"/>
              <w:bottom w:val="nil"/>
            </w:tcBorders>
            <w:vAlign w:val="top"/>
          </w:tcPr>
          <w:p w14:paraId="373F78F8">
            <w:pPr>
              <w:pStyle w:val="35"/>
              <w:keepNext w:val="0"/>
              <w:keepLines w:val="0"/>
              <w:pageBreakBefore w:val="0"/>
              <w:kinsoku/>
              <w:wordWrap w:val="0"/>
              <w:overflowPunct/>
              <w:topLinePunct/>
              <w:autoSpaceDE/>
              <w:autoSpaceDN/>
              <w:bidi w:val="0"/>
              <w:adjustRightInd w:val="0"/>
              <w:snapToGrid w:val="0"/>
              <w:spacing w:before="216" w:line="221" w:lineRule="auto"/>
              <w:ind w:left="668"/>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影响因子</w:t>
            </w:r>
          </w:p>
        </w:tc>
        <w:tc>
          <w:tcPr>
            <w:tcW w:w="3787" w:type="dxa"/>
            <w:gridSpan w:val="3"/>
            <w:tcBorders>
              <w:top w:val="single" w:color="000000" w:sz="10" w:space="0"/>
            </w:tcBorders>
            <w:vAlign w:val="top"/>
          </w:tcPr>
          <w:p w14:paraId="5DEEC6B9">
            <w:pPr>
              <w:pStyle w:val="35"/>
              <w:keepNext w:val="0"/>
              <w:keepLines w:val="0"/>
              <w:pageBreakBefore w:val="0"/>
              <w:kinsoku/>
              <w:wordWrap w:val="0"/>
              <w:overflowPunct/>
              <w:topLinePunct/>
              <w:autoSpaceDE/>
              <w:autoSpaceDN/>
              <w:bidi w:val="0"/>
              <w:adjustRightInd w:val="0"/>
              <w:snapToGrid w:val="0"/>
              <w:spacing w:before="55" w:line="221" w:lineRule="auto"/>
              <w:ind w:left="1579"/>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施工期</w:t>
            </w:r>
          </w:p>
        </w:tc>
        <w:tc>
          <w:tcPr>
            <w:tcW w:w="2959" w:type="dxa"/>
            <w:gridSpan w:val="3"/>
            <w:tcBorders>
              <w:top w:val="single" w:color="000000" w:sz="10" w:space="0"/>
              <w:right w:val="nil"/>
            </w:tcBorders>
            <w:vAlign w:val="top"/>
          </w:tcPr>
          <w:p w14:paraId="4C277795">
            <w:pPr>
              <w:pStyle w:val="35"/>
              <w:keepNext w:val="0"/>
              <w:keepLines w:val="0"/>
              <w:pageBreakBefore w:val="0"/>
              <w:kinsoku/>
              <w:wordWrap w:val="0"/>
              <w:overflowPunct/>
              <w:topLinePunct/>
              <w:autoSpaceDE/>
              <w:autoSpaceDN/>
              <w:bidi w:val="0"/>
              <w:adjustRightInd w:val="0"/>
              <w:snapToGrid w:val="0"/>
              <w:spacing w:before="55" w:line="221" w:lineRule="auto"/>
              <w:ind w:left="1228"/>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运行期</w:t>
            </w:r>
          </w:p>
        </w:tc>
      </w:tr>
      <w:tr w14:paraId="62B55B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2151" w:type="dxa"/>
            <w:gridSpan w:val="2"/>
            <w:vMerge w:val="continue"/>
            <w:tcBorders>
              <w:top w:val="nil"/>
              <w:left w:val="nil"/>
            </w:tcBorders>
            <w:vAlign w:val="top"/>
          </w:tcPr>
          <w:p w14:paraId="270ED462">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507" w:type="dxa"/>
            <w:vAlign w:val="top"/>
          </w:tcPr>
          <w:p w14:paraId="6BD3573D">
            <w:pPr>
              <w:pStyle w:val="35"/>
              <w:keepNext w:val="0"/>
              <w:keepLines w:val="0"/>
              <w:pageBreakBefore w:val="0"/>
              <w:kinsoku/>
              <w:wordWrap w:val="0"/>
              <w:overflowPunct/>
              <w:topLinePunct/>
              <w:autoSpaceDE/>
              <w:autoSpaceDN/>
              <w:bidi w:val="0"/>
              <w:adjustRightInd w:val="0"/>
              <w:snapToGrid w:val="0"/>
              <w:spacing w:before="53" w:line="220" w:lineRule="auto"/>
              <w:ind w:left="122"/>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施工人员生活</w:t>
            </w:r>
          </w:p>
        </w:tc>
        <w:tc>
          <w:tcPr>
            <w:tcW w:w="1140" w:type="dxa"/>
            <w:vAlign w:val="top"/>
          </w:tcPr>
          <w:p w14:paraId="7C949CC1">
            <w:pPr>
              <w:pStyle w:val="35"/>
              <w:keepNext w:val="0"/>
              <w:keepLines w:val="0"/>
              <w:pageBreakBefore w:val="0"/>
              <w:kinsoku/>
              <w:wordWrap w:val="0"/>
              <w:overflowPunct/>
              <w:topLinePunct/>
              <w:autoSpaceDE/>
              <w:autoSpaceDN/>
              <w:bidi w:val="0"/>
              <w:adjustRightInd w:val="0"/>
              <w:snapToGrid w:val="0"/>
              <w:spacing w:before="53" w:line="220" w:lineRule="auto"/>
              <w:ind w:left="152"/>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运输车辆</w:t>
            </w:r>
          </w:p>
        </w:tc>
        <w:tc>
          <w:tcPr>
            <w:tcW w:w="1140" w:type="dxa"/>
            <w:vAlign w:val="top"/>
          </w:tcPr>
          <w:p w14:paraId="0163F13C">
            <w:pPr>
              <w:pStyle w:val="35"/>
              <w:keepNext w:val="0"/>
              <w:keepLines w:val="0"/>
              <w:pageBreakBefore w:val="0"/>
              <w:kinsoku/>
              <w:wordWrap w:val="0"/>
              <w:overflowPunct/>
              <w:topLinePunct/>
              <w:autoSpaceDE/>
              <w:autoSpaceDN/>
              <w:bidi w:val="0"/>
              <w:adjustRightInd w:val="0"/>
              <w:snapToGrid w:val="0"/>
              <w:spacing w:before="53" w:line="220" w:lineRule="auto"/>
              <w:ind w:left="151"/>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施工设备</w:t>
            </w:r>
          </w:p>
        </w:tc>
        <w:tc>
          <w:tcPr>
            <w:tcW w:w="1028" w:type="dxa"/>
            <w:vAlign w:val="top"/>
          </w:tcPr>
          <w:p w14:paraId="49897EE6">
            <w:pPr>
              <w:pStyle w:val="35"/>
              <w:keepNext w:val="0"/>
              <w:keepLines w:val="0"/>
              <w:pageBreakBefore w:val="0"/>
              <w:kinsoku/>
              <w:wordWrap w:val="0"/>
              <w:overflowPunct/>
              <w:topLinePunct/>
              <w:autoSpaceDE/>
              <w:autoSpaceDN/>
              <w:bidi w:val="0"/>
              <w:adjustRightInd w:val="0"/>
              <w:snapToGrid w:val="0"/>
              <w:spacing w:before="53" w:line="220" w:lineRule="auto"/>
              <w:ind w:left="96"/>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生产过程</w:t>
            </w:r>
          </w:p>
        </w:tc>
        <w:tc>
          <w:tcPr>
            <w:tcW w:w="1027" w:type="dxa"/>
            <w:vAlign w:val="top"/>
          </w:tcPr>
          <w:p w14:paraId="1E167A51">
            <w:pPr>
              <w:pStyle w:val="35"/>
              <w:keepNext w:val="0"/>
              <w:keepLines w:val="0"/>
              <w:pageBreakBefore w:val="0"/>
              <w:kinsoku/>
              <w:wordWrap w:val="0"/>
              <w:overflowPunct/>
              <w:topLinePunct/>
              <w:autoSpaceDE/>
              <w:autoSpaceDN/>
              <w:bidi w:val="0"/>
              <w:adjustRightInd w:val="0"/>
              <w:snapToGrid w:val="0"/>
              <w:spacing w:before="53" w:line="220" w:lineRule="auto"/>
              <w:ind w:left="98"/>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职工生活</w:t>
            </w:r>
          </w:p>
        </w:tc>
        <w:tc>
          <w:tcPr>
            <w:tcW w:w="904" w:type="dxa"/>
            <w:tcBorders>
              <w:right w:val="nil"/>
            </w:tcBorders>
            <w:vAlign w:val="top"/>
          </w:tcPr>
          <w:p w14:paraId="4CB71CC3">
            <w:pPr>
              <w:pStyle w:val="35"/>
              <w:keepNext w:val="0"/>
              <w:keepLines w:val="0"/>
              <w:pageBreakBefore w:val="0"/>
              <w:kinsoku/>
              <w:wordWrap w:val="0"/>
              <w:overflowPunct/>
              <w:topLinePunct/>
              <w:autoSpaceDE/>
              <w:autoSpaceDN/>
              <w:bidi w:val="0"/>
              <w:adjustRightInd w:val="0"/>
              <w:snapToGrid w:val="0"/>
              <w:spacing w:before="53" w:line="220" w:lineRule="auto"/>
              <w:ind w:left="99"/>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材料储存</w:t>
            </w:r>
          </w:p>
        </w:tc>
      </w:tr>
      <w:tr w14:paraId="5B9280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883" w:type="dxa"/>
            <w:vMerge w:val="restart"/>
            <w:tcBorders>
              <w:left w:val="nil"/>
              <w:bottom w:val="nil"/>
            </w:tcBorders>
            <w:vAlign w:val="top"/>
          </w:tcPr>
          <w:p w14:paraId="1DCF9CD3">
            <w:pPr>
              <w:pStyle w:val="35"/>
              <w:keepNext w:val="0"/>
              <w:keepLines w:val="0"/>
              <w:pageBreakBefore w:val="0"/>
              <w:kinsoku/>
              <w:wordWrap w:val="0"/>
              <w:overflowPunct/>
              <w:topLinePunct/>
              <w:autoSpaceDE/>
              <w:autoSpaceDN/>
              <w:bidi w:val="0"/>
              <w:adjustRightInd w:val="0"/>
              <w:snapToGrid w:val="0"/>
              <w:spacing w:before="224" w:line="221" w:lineRule="auto"/>
              <w:ind w:left="14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环境空</w:t>
            </w:r>
          </w:p>
          <w:p w14:paraId="0F302E46">
            <w:pPr>
              <w:pStyle w:val="35"/>
              <w:keepNext w:val="0"/>
              <w:keepLines w:val="0"/>
              <w:pageBreakBefore w:val="0"/>
              <w:kinsoku/>
              <w:wordWrap w:val="0"/>
              <w:overflowPunct/>
              <w:topLinePunct/>
              <w:autoSpaceDE/>
              <w:autoSpaceDN/>
              <w:bidi w:val="0"/>
              <w:adjustRightInd w:val="0"/>
              <w:snapToGrid w:val="0"/>
              <w:spacing w:before="60" w:line="222" w:lineRule="auto"/>
              <w:ind w:left="352"/>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气</w:t>
            </w:r>
          </w:p>
        </w:tc>
        <w:tc>
          <w:tcPr>
            <w:tcW w:w="1268" w:type="dxa"/>
            <w:vAlign w:val="top"/>
          </w:tcPr>
          <w:p w14:paraId="767CE4C1">
            <w:pPr>
              <w:keepNext w:val="0"/>
              <w:keepLines w:val="0"/>
              <w:pageBreakBefore w:val="0"/>
              <w:kinsoku/>
              <w:wordWrap w:val="0"/>
              <w:overflowPunct/>
              <w:topLinePunct/>
              <w:autoSpaceDE/>
              <w:autoSpaceDN/>
              <w:bidi w:val="0"/>
              <w:adjustRightInd w:val="0"/>
              <w:snapToGrid w:val="0"/>
              <w:spacing w:before="97" w:line="206" w:lineRule="auto"/>
              <w:ind w:left="441"/>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NH</w:t>
            </w:r>
            <w:r>
              <w:rPr>
                <w:rFonts w:hint="default" w:ascii="Times New Roman" w:hAnsi="Times New Roman" w:eastAsia="Times New Roman" w:cs="Times New Roman"/>
                <w:color w:val="auto"/>
                <w:spacing w:val="8"/>
                <w:position w:val="-2"/>
                <w:sz w:val="13"/>
                <w:szCs w:val="13"/>
                <w:highlight w:val="none"/>
              </w:rPr>
              <w:t>3</w:t>
            </w:r>
          </w:p>
        </w:tc>
        <w:tc>
          <w:tcPr>
            <w:tcW w:w="1507" w:type="dxa"/>
            <w:vAlign w:val="top"/>
          </w:tcPr>
          <w:p w14:paraId="171DFCA3">
            <w:pPr>
              <w:keepNext w:val="0"/>
              <w:keepLines w:val="0"/>
              <w:pageBreakBefore w:val="0"/>
              <w:kinsoku/>
              <w:wordWrap w:val="0"/>
              <w:overflowPunct/>
              <w:topLinePunct/>
              <w:autoSpaceDE/>
              <w:autoSpaceDN/>
              <w:bidi w:val="0"/>
              <w:adjustRightInd w:val="0"/>
              <w:snapToGrid w:val="0"/>
              <w:spacing w:before="90" w:line="215" w:lineRule="auto"/>
              <w:ind w:left="72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74064205">
            <w:pPr>
              <w:keepNext w:val="0"/>
              <w:keepLines w:val="0"/>
              <w:pageBreakBefore w:val="0"/>
              <w:kinsoku/>
              <w:wordWrap w:val="0"/>
              <w:overflowPunct/>
              <w:topLinePunct/>
              <w:autoSpaceDE/>
              <w:autoSpaceDN/>
              <w:bidi w:val="0"/>
              <w:adjustRightInd w:val="0"/>
              <w:snapToGrid w:val="0"/>
              <w:spacing w:before="90" w:line="215"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18D4356F">
            <w:pPr>
              <w:keepNext w:val="0"/>
              <w:keepLines w:val="0"/>
              <w:pageBreakBefore w:val="0"/>
              <w:kinsoku/>
              <w:wordWrap w:val="0"/>
              <w:overflowPunct/>
              <w:topLinePunct/>
              <w:autoSpaceDE/>
              <w:autoSpaceDN/>
              <w:bidi w:val="0"/>
              <w:adjustRightInd w:val="0"/>
              <w:snapToGrid w:val="0"/>
              <w:spacing w:before="90" w:line="215"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8" w:type="dxa"/>
            <w:vAlign w:val="top"/>
          </w:tcPr>
          <w:p w14:paraId="1FCAB25E">
            <w:pPr>
              <w:keepNext w:val="0"/>
              <w:keepLines w:val="0"/>
              <w:pageBreakBefore w:val="0"/>
              <w:kinsoku/>
              <w:wordWrap w:val="0"/>
              <w:overflowPunct/>
              <w:topLinePunct/>
              <w:autoSpaceDE/>
              <w:autoSpaceDN/>
              <w:bidi w:val="0"/>
              <w:adjustRightInd w:val="0"/>
              <w:snapToGrid w:val="0"/>
              <w:spacing w:before="90" w:line="215" w:lineRule="auto"/>
              <w:ind w:left="38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027" w:type="dxa"/>
            <w:vAlign w:val="top"/>
          </w:tcPr>
          <w:p w14:paraId="2178E05D">
            <w:pPr>
              <w:keepNext w:val="0"/>
              <w:keepLines w:val="0"/>
              <w:pageBreakBefore w:val="0"/>
              <w:kinsoku/>
              <w:wordWrap w:val="0"/>
              <w:overflowPunct/>
              <w:topLinePunct/>
              <w:autoSpaceDE/>
              <w:autoSpaceDN/>
              <w:bidi w:val="0"/>
              <w:adjustRightInd w:val="0"/>
              <w:snapToGrid w:val="0"/>
              <w:spacing w:before="90" w:line="215" w:lineRule="auto"/>
              <w:ind w:left="48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904" w:type="dxa"/>
            <w:tcBorders>
              <w:right w:val="nil"/>
            </w:tcBorders>
            <w:vAlign w:val="top"/>
          </w:tcPr>
          <w:p w14:paraId="314ABC11">
            <w:pPr>
              <w:keepNext w:val="0"/>
              <w:keepLines w:val="0"/>
              <w:pageBreakBefore w:val="0"/>
              <w:kinsoku/>
              <w:wordWrap w:val="0"/>
              <w:overflowPunct/>
              <w:topLinePunct/>
              <w:autoSpaceDE/>
              <w:autoSpaceDN/>
              <w:bidi w:val="0"/>
              <w:adjustRightInd w:val="0"/>
              <w:snapToGrid w:val="0"/>
              <w:spacing w:before="90" w:line="215"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2A156B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883" w:type="dxa"/>
            <w:vMerge w:val="continue"/>
            <w:tcBorders>
              <w:top w:val="nil"/>
              <w:left w:val="nil"/>
              <w:bottom w:val="nil"/>
            </w:tcBorders>
            <w:vAlign w:val="top"/>
          </w:tcPr>
          <w:p w14:paraId="794ACAFA">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268" w:type="dxa"/>
            <w:vAlign w:val="top"/>
          </w:tcPr>
          <w:p w14:paraId="0972729A">
            <w:pPr>
              <w:keepNext w:val="0"/>
              <w:keepLines w:val="0"/>
              <w:pageBreakBefore w:val="0"/>
              <w:kinsoku/>
              <w:wordWrap w:val="0"/>
              <w:overflowPunct/>
              <w:topLinePunct/>
              <w:autoSpaceDE/>
              <w:autoSpaceDN/>
              <w:bidi w:val="0"/>
              <w:adjustRightInd w:val="0"/>
              <w:snapToGrid w:val="0"/>
              <w:spacing w:before="94" w:line="206" w:lineRule="auto"/>
              <w:ind w:left="46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H</w:t>
            </w:r>
            <w:r>
              <w:rPr>
                <w:rFonts w:hint="default" w:ascii="Times New Roman" w:hAnsi="Times New Roman" w:eastAsia="Times New Roman" w:cs="Times New Roman"/>
                <w:color w:val="auto"/>
                <w:spacing w:val="1"/>
                <w:position w:val="-2"/>
                <w:sz w:val="13"/>
                <w:szCs w:val="13"/>
                <w:highlight w:val="none"/>
              </w:rPr>
              <w:t>2</w:t>
            </w:r>
            <w:r>
              <w:rPr>
                <w:rFonts w:hint="default" w:ascii="Times New Roman" w:hAnsi="Times New Roman" w:eastAsia="Times New Roman" w:cs="Times New Roman"/>
                <w:color w:val="auto"/>
                <w:spacing w:val="1"/>
                <w:sz w:val="21"/>
                <w:szCs w:val="21"/>
                <w:highlight w:val="none"/>
              </w:rPr>
              <w:t>S</w:t>
            </w:r>
          </w:p>
        </w:tc>
        <w:tc>
          <w:tcPr>
            <w:tcW w:w="1507" w:type="dxa"/>
            <w:vAlign w:val="top"/>
          </w:tcPr>
          <w:p w14:paraId="1660AE75">
            <w:pPr>
              <w:keepNext w:val="0"/>
              <w:keepLines w:val="0"/>
              <w:pageBreakBefore w:val="0"/>
              <w:kinsoku/>
              <w:wordWrap w:val="0"/>
              <w:overflowPunct/>
              <w:topLinePunct/>
              <w:autoSpaceDE/>
              <w:autoSpaceDN/>
              <w:bidi w:val="0"/>
              <w:adjustRightInd w:val="0"/>
              <w:snapToGrid w:val="0"/>
              <w:spacing w:before="90" w:line="212" w:lineRule="auto"/>
              <w:ind w:left="72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5971B755">
            <w:pPr>
              <w:keepNext w:val="0"/>
              <w:keepLines w:val="0"/>
              <w:pageBreakBefore w:val="0"/>
              <w:kinsoku/>
              <w:wordWrap w:val="0"/>
              <w:overflowPunct/>
              <w:topLinePunct/>
              <w:autoSpaceDE/>
              <w:autoSpaceDN/>
              <w:bidi w:val="0"/>
              <w:adjustRightInd w:val="0"/>
              <w:snapToGrid w:val="0"/>
              <w:spacing w:before="90" w:line="212"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2F8DF00D">
            <w:pPr>
              <w:keepNext w:val="0"/>
              <w:keepLines w:val="0"/>
              <w:pageBreakBefore w:val="0"/>
              <w:kinsoku/>
              <w:wordWrap w:val="0"/>
              <w:overflowPunct/>
              <w:topLinePunct/>
              <w:autoSpaceDE/>
              <w:autoSpaceDN/>
              <w:bidi w:val="0"/>
              <w:adjustRightInd w:val="0"/>
              <w:snapToGrid w:val="0"/>
              <w:spacing w:before="90" w:line="212"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8" w:type="dxa"/>
            <w:vAlign w:val="top"/>
          </w:tcPr>
          <w:p w14:paraId="7BC6F465">
            <w:pPr>
              <w:keepNext w:val="0"/>
              <w:keepLines w:val="0"/>
              <w:pageBreakBefore w:val="0"/>
              <w:kinsoku/>
              <w:wordWrap w:val="0"/>
              <w:overflowPunct/>
              <w:topLinePunct/>
              <w:autoSpaceDE/>
              <w:autoSpaceDN/>
              <w:bidi w:val="0"/>
              <w:adjustRightInd w:val="0"/>
              <w:snapToGrid w:val="0"/>
              <w:spacing w:before="90" w:line="212" w:lineRule="auto"/>
              <w:ind w:left="38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027" w:type="dxa"/>
            <w:vAlign w:val="top"/>
          </w:tcPr>
          <w:p w14:paraId="3D4E0011">
            <w:pPr>
              <w:keepNext w:val="0"/>
              <w:keepLines w:val="0"/>
              <w:pageBreakBefore w:val="0"/>
              <w:kinsoku/>
              <w:wordWrap w:val="0"/>
              <w:overflowPunct/>
              <w:topLinePunct/>
              <w:autoSpaceDE/>
              <w:autoSpaceDN/>
              <w:bidi w:val="0"/>
              <w:adjustRightInd w:val="0"/>
              <w:snapToGrid w:val="0"/>
              <w:spacing w:before="90" w:line="212" w:lineRule="auto"/>
              <w:ind w:left="48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904" w:type="dxa"/>
            <w:tcBorders>
              <w:right w:val="nil"/>
            </w:tcBorders>
            <w:vAlign w:val="top"/>
          </w:tcPr>
          <w:p w14:paraId="37A35D90">
            <w:pPr>
              <w:keepNext w:val="0"/>
              <w:keepLines w:val="0"/>
              <w:pageBreakBefore w:val="0"/>
              <w:kinsoku/>
              <w:wordWrap w:val="0"/>
              <w:overflowPunct/>
              <w:topLinePunct/>
              <w:autoSpaceDE/>
              <w:autoSpaceDN/>
              <w:bidi w:val="0"/>
              <w:adjustRightInd w:val="0"/>
              <w:snapToGrid w:val="0"/>
              <w:spacing w:before="90" w:line="212"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6911C4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883" w:type="dxa"/>
            <w:vMerge w:val="continue"/>
            <w:tcBorders>
              <w:top w:val="nil"/>
              <w:left w:val="nil"/>
            </w:tcBorders>
            <w:vAlign w:val="top"/>
          </w:tcPr>
          <w:p w14:paraId="702BBE8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268" w:type="dxa"/>
            <w:vAlign w:val="top"/>
          </w:tcPr>
          <w:p w14:paraId="1B888FCB">
            <w:pPr>
              <w:keepNext w:val="0"/>
              <w:keepLines w:val="0"/>
              <w:pageBreakBefore w:val="0"/>
              <w:kinsoku/>
              <w:wordWrap w:val="0"/>
              <w:overflowPunct/>
              <w:topLinePunct/>
              <w:autoSpaceDE/>
              <w:autoSpaceDN/>
              <w:bidi w:val="0"/>
              <w:adjustRightInd w:val="0"/>
              <w:snapToGrid w:val="0"/>
              <w:spacing w:before="96" w:line="187" w:lineRule="auto"/>
              <w:ind w:left="49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CO</w:t>
            </w:r>
          </w:p>
        </w:tc>
        <w:tc>
          <w:tcPr>
            <w:tcW w:w="1507" w:type="dxa"/>
            <w:vAlign w:val="top"/>
          </w:tcPr>
          <w:p w14:paraId="2699BE03">
            <w:pPr>
              <w:keepNext w:val="0"/>
              <w:keepLines w:val="0"/>
              <w:pageBreakBefore w:val="0"/>
              <w:kinsoku/>
              <w:wordWrap w:val="0"/>
              <w:overflowPunct/>
              <w:topLinePunct/>
              <w:autoSpaceDE/>
              <w:autoSpaceDN/>
              <w:bidi w:val="0"/>
              <w:adjustRightInd w:val="0"/>
              <w:snapToGrid w:val="0"/>
              <w:spacing w:before="92" w:line="210" w:lineRule="auto"/>
              <w:ind w:left="72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6E676E5F">
            <w:pPr>
              <w:keepNext w:val="0"/>
              <w:keepLines w:val="0"/>
              <w:pageBreakBefore w:val="0"/>
              <w:kinsoku/>
              <w:wordWrap w:val="0"/>
              <w:overflowPunct/>
              <w:topLinePunct/>
              <w:autoSpaceDE/>
              <w:autoSpaceDN/>
              <w:bidi w:val="0"/>
              <w:adjustRightInd w:val="0"/>
              <w:snapToGrid w:val="0"/>
              <w:spacing w:before="92" w:line="210" w:lineRule="auto"/>
              <w:ind w:left="43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140" w:type="dxa"/>
            <w:vAlign w:val="top"/>
          </w:tcPr>
          <w:p w14:paraId="6CBBD66C">
            <w:pPr>
              <w:keepNext w:val="0"/>
              <w:keepLines w:val="0"/>
              <w:pageBreakBefore w:val="0"/>
              <w:kinsoku/>
              <w:wordWrap w:val="0"/>
              <w:overflowPunct/>
              <w:topLinePunct/>
              <w:autoSpaceDE/>
              <w:autoSpaceDN/>
              <w:bidi w:val="0"/>
              <w:adjustRightInd w:val="0"/>
              <w:snapToGrid w:val="0"/>
              <w:spacing w:before="92" w:line="210"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8" w:type="dxa"/>
            <w:vAlign w:val="top"/>
          </w:tcPr>
          <w:p w14:paraId="50BB530C">
            <w:pPr>
              <w:keepNext w:val="0"/>
              <w:keepLines w:val="0"/>
              <w:pageBreakBefore w:val="0"/>
              <w:kinsoku/>
              <w:wordWrap w:val="0"/>
              <w:overflowPunct/>
              <w:topLinePunct/>
              <w:autoSpaceDE/>
              <w:autoSpaceDN/>
              <w:bidi w:val="0"/>
              <w:adjustRightInd w:val="0"/>
              <w:snapToGrid w:val="0"/>
              <w:spacing w:before="92" w:line="210" w:lineRule="auto"/>
              <w:ind w:left="481"/>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7" w:type="dxa"/>
            <w:vAlign w:val="top"/>
          </w:tcPr>
          <w:p w14:paraId="0625D948">
            <w:pPr>
              <w:keepNext w:val="0"/>
              <w:keepLines w:val="0"/>
              <w:pageBreakBefore w:val="0"/>
              <w:kinsoku/>
              <w:wordWrap w:val="0"/>
              <w:overflowPunct/>
              <w:topLinePunct/>
              <w:autoSpaceDE/>
              <w:autoSpaceDN/>
              <w:bidi w:val="0"/>
              <w:adjustRightInd w:val="0"/>
              <w:snapToGrid w:val="0"/>
              <w:spacing w:before="92" w:line="210" w:lineRule="auto"/>
              <w:ind w:left="48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904" w:type="dxa"/>
            <w:tcBorders>
              <w:right w:val="nil"/>
            </w:tcBorders>
            <w:vAlign w:val="top"/>
          </w:tcPr>
          <w:p w14:paraId="6A0B8820">
            <w:pPr>
              <w:keepNext w:val="0"/>
              <w:keepLines w:val="0"/>
              <w:pageBreakBefore w:val="0"/>
              <w:kinsoku/>
              <w:wordWrap w:val="0"/>
              <w:overflowPunct/>
              <w:topLinePunct/>
              <w:autoSpaceDE/>
              <w:autoSpaceDN/>
              <w:bidi w:val="0"/>
              <w:adjustRightInd w:val="0"/>
              <w:snapToGrid w:val="0"/>
              <w:spacing w:before="92" w:line="21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1A393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883" w:type="dxa"/>
            <w:vMerge w:val="restart"/>
            <w:tcBorders>
              <w:left w:val="nil"/>
              <w:bottom w:val="nil"/>
            </w:tcBorders>
            <w:vAlign w:val="top"/>
          </w:tcPr>
          <w:p w14:paraId="505587D5">
            <w:pPr>
              <w:pStyle w:val="35"/>
              <w:keepNext w:val="0"/>
              <w:keepLines w:val="0"/>
              <w:pageBreakBefore w:val="0"/>
              <w:kinsoku/>
              <w:wordWrap w:val="0"/>
              <w:overflowPunct/>
              <w:topLinePunct/>
              <w:autoSpaceDE/>
              <w:autoSpaceDN/>
              <w:bidi w:val="0"/>
              <w:adjustRightInd w:val="0"/>
              <w:snapToGrid w:val="0"/>
              <w:spacing w:before="223" w:line="221" w:lineRule="auto"/>
              <w:ind w:left="24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水体</w:t>
            </w:r>
          </w:p>
        </w:tc>
        <w:tc>
          <w:tcPr>
            <w:tcW w:w="1268" w:type="dxa"/>
            <w:vAlign w:val="top"/>
          </w:tcPr>
          <w:p w14:paraId="15DC1F82">
            <w:pPr>
              <w:pStyle w:val="35"/>
              <w:keepNext w:val="0"/>
              <w:keepLines w:val="0"/>
              <w:pageBreakBefore w:val="0"/>
              <w:kinsoku/>
              <w:wordWrap w:val="0"/>
              <w:overflowPunct/>
              <w:topLinePunct/>
              <w:autoSpaceDE/>
              <w:autoSpaceDN/>
              <w:bidi w:val="0"/>
              <w:adjustRightInd w:val="0"/>
              <w:snapToGrid w:val="0"/>
              <w:spacing w:before="62" w:line="213" w:lineRule="auto"/>
              <w:ind w:left="32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地表水</w:t>
            </w:r>
          </w:p>
        </w:tc>
        <w:tc>
          <w:tcPr>
            <w:tcW w:w="1507" w:type="dxa"/>
            <w:vAlign w:val="top"/>
          </w:tcPr>
          <w:p w14:paraId="33A04A5D">
            <w:pPr>
              <w:keepNext w:val="0"/>
              <w:keepLines w:val="0"/>
              <w:pageBreakBefore w:val="0"/>
              <w:kinsoku/>
              <w:wordWrap w:val="0"/>
              <w:overflowPunct/>
              <w:topLinePunct/>
              <w:autoSpaceDE/>
              <w:autoSpaceDN/>
              <w:bidi w:val="0"/>
              <w:adjustRightInd w:val="0"/>
              <w:snapToGrid w:val="0"/>
              <w:spacing w:before="95" w:line="208" w:lineRule="auto"/>
              <w:ind w:left="62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140" w:type="dxa"/>
            <w:vAlign w:val="top"/>
          </w:tcPr>
          <w:p w14:paraId="0FC5A0FC">
            <w:pPr>
              <w:keepNext w:val="0"/>
              <w:keepLines w:val="0"/>
              <w:pageBreakBefore w:val="0"/>
              <w:kinsoku/>
              <w:wordWrap w:val="0"/>
              <w:overflowPunct/>
              <w:topLinePunct/>
              <w:autoSpaceDE/>
              <w:autoSpaceDN/>
              <w:bidi w:val="0"/>
              <w:adjustRightInd w:val="0"/>
              <w:snapToGrid w:val="0"/>
              <w:spacing w:before="95" w:line="208"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3EF64FBC">
            <w:pPr>
              <w:keepNext w:val="0"/>
              <w:keepLines w:val="0"/>
              <w:pageBreakBefore w:val="0"/>
              <w:kinsoku/>
              <w:wordWrap w:val="0"/>
              <w:overflowPunct/>
              <w:topLinePunct/>
              <w:autoSpaceDE/>
              <w:autoSpaceDN/>
              <w:bidi w:val="0"/>
              <w:adjustRightInd w:val="0"/>
              <w:snapToGrid w:val="0"/>
              <w:spacing w:before="95" w:line="208"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8" w:type="dxa"/>
            <w:vAlign w:val="top"/>
          </w:tcPr>
          <w:p w14:paraId="0CAFCDEE">
            <w:pPr>
              <w:keepNext w:val="0"/>
              <w:keepLines w:val="0"/>
              <w:pageBreakBefore w:val="0"/>
              <w:kinsoku/>
              <w:wordWrap w:val="0"/>
              <w:overflowPunct/>
              <w:topLinePunct/>
              <w:autoSpaceDE/>
              <w:autoSpaceDN/>
              <w:bidi w:val="0"/>
              <w:adjustRightInd w:val="0"/>
              <w:snapToGrid w:val="0"/>
              <w:spacing w:before="95" w:line="208" w:lineRule="auto"/>
              <w:jc w:val="center"/>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pacing w:val="-4"/>
                <w:sz w:val="21"/>
                <w:szCs w:val="21"/>
                <w:highlight w:val="none"/>
                <w:lang w:val="en-US" w:eastAsia="zh-CN"/>
              </w:rPr>
              <w:t>/</w:t>
            </w:r>
          </w:p>
        </w:tc>
        <w:tc>
          <w:tcPr>
            <w:tcW w:w="1027" w:type="dxa"/>
            <w:vAlign w:val="top"/>
          </w:tcPr>
          <w:p w14:paraId="1D6BE7AD">
            <w:pPr>
              <w:keepNext w:val="0"/>
              <w:keepLines w:val="0"/>
              <w:pageBreakBefore w:val="0"/>
              <w:kinsoku/>
              <w:wordWrap w:val="0"/>
              <w:overflowPunct/>
              <w:topLinePunct/>
              <w:autoSpaceDE/>
              <w:autoSpaceDN/>
              <w:bidi w:val="0"/>
              <w:adjustRightInd w:val="0"/>
              <w:snapToGrid w:val="0"/>
              <w:spacing w:before="95" w:line="208" w:lineRule="auto"/>
              <w:ind w:left="386"/>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904" w:type="dxa"/>
            <w:tcBorders>
              <w:right w:val="nil"/>
            </w:tcBorders>
            <w:vAlign w:val="top"/>
          </w:tcPr>
          <w:p w14:paraId="785A45D0">
            <w:pPr>
              <w:keepNext w:val="0"/>
              <w:keepLines w:val="0"/>
              <w:pageBreakBefore w:val="0"/>
              <w:kinsoku/>
              <w:wordWrap w:val="0"/>
              <w:overflowPunct/>
              <w:topLinePunct/>
              <w:autoSpaceDE/>
              <w:autoSpaceDN/>
              <w:bidi w:val="0"/>
              <w:adjustRightInd w:val="0"/>
              <w:snapToGrid w:val="0"/>
              <w:spacing w:before="95" w:line="208"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0943A0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883" w:type="dxa"/>
            <w:vMerge w:val="continue"/>
            <w:tcBorders>
              <w:top w:val="nil"/>
              <w:left w:val="nil"/>
            </w:tcBorders>
            <w:vAlign w:val="top"/>
          </w:tcPr>
          <w:p w14:paraId="31918BB2">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268" w:type="dxa"/>
            <w:vAlign w:val="top"/>
          </w:tcPr>
          <w:p w14:paraId="67B6AC47">
            <w:pPr>
              <w:pStyle w:val="35"/>
              <w:keepNext w:val="0"/>
              <w:keepLines w:val="0"/>
              <w:pageBreakBefore w:val="0"/>
              <w:kinsoku/>
              <w:wordWrap w:val="0"/>
              <w:overflowPunct/>
              <w:topLinePunct/>
              <w:autoSpaceDE/>
              <w:autoSpaceDN/>
              <w:bidi w:val="0"/>
              <w:adjustRightInd w:val="0"/>
              <w:snapToGrid w:val="0"/>
              <w:spacing w:before="65" w:line="210" w:lineRule="auto"/>
              <w:ind w:left="32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地下水</w:t>
            </w:r>
          </w:p>
        </w:tc>
        <w:tc>
          <w:tcPr>
            <w:tcW w:w="1507" w:type="dxa"/>
            <w:vAlign w:val="top"/>
          </w:tcPr>
          <w:p w14:paraId="1C66F564">
            <w:pPr>
              <w:keepNext w:val="0"/>
              <w:keepLines w:val="0"/>
              <w:pageBreakBefore w:val="0"/>
              <w:kinsoku/>
              <w:wordWrap w:val="0"/>
              <w:overflowPunct/>
              <w:topLinePunct/>
              <w:autoSpaceDE/>
              <w:autoSpaceDN/>
              <w:bidi w:val="0"/>
              <w:adjustRightInd w:val="0"/>
              <w:snapToGrid w:val="0"/>
              <w:spacing w:before="97" w:line="205" w:lineRule="auto"/>
              <w:ind w:left="72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3368A958">
            <w:pPr>
              <w:keepNext w:val="0"/>
              <w:keepLines w:val="0"/>
              <w:pageBreakBefore w:val="0"/>
              <w:kinsoku/>
              <w:wordWrap w:val="0"/>
              <w:overflowPunct/>
              <w:topLinePunct/>
              <w:autoSpaceDE/>
              <w:autoSpaceDN/>
              <w:bidi w:val="0"/>
              <w:adjustRightInd w:val="0"/>
              <w:snapToGrid w:val="0"/>
              <w:spacing w:before="97" w:line="205"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37E025C6">
            <w:pPr>
              <w:keepNext w:val="0"/>
              <w:keepLines w:val="0"/>
              <w:pageBreakBefore w:val="0"/>
              <w:kinsoku/>
              <w:wordWrap w:val="0"/>
              <w:overflowPunct/>
              <w:topLinePunct/>
              <w:autoSpaceDE/>
              <w:autoSpaceDN/>
              <w:bidi w:val="0"/>
              <w:adjustRightInd w:val="0"/>
              <w:snapToGrid w:val="0"/>
              <w:spacing w:before="97" w:line="205"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8" w:type="dxa"/>
            <w:vAlign w:val="top"/>
          </w:tcPr>
          <w:p w14:paraId="03A4090E">
            <w:pPr>
              <w:keepNext w:val="0"/>
              <w:keepLines w:val="0"/>
              <w:pageBreakBefore w:val="0"/>
              <w:kinsoku/>
              <w:wordWrap w:val="0"/>
              <w:overflowPunct/>
              <w:topLinePunct/>
              <w:autoSpaceDE/>
              <w:autoSpaceDN/>
              <w:bidi w:val="0"/>
              <w:adjustRightInd w:val="0"/>
              <w:snapToGrid w:val="0"/>
              <w:spacing w:before="97" w:line="205" w:lineRule="auto"/>
              <w:jc w:val="center"/>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pacing w:val="-4"/>
                <w:sz w:val="21"/>
                <w:szCs w:val="21"/>
                <w:highlight w:val="none"/>
                <w:lang w:val="en-US" w:eastAsia="zh-CN"/>
              </w:rPr>
              <w:t>/</w:t>
            </w:r>
          </w:p>
        </w:tc>
        <w:tc>
          <w:tcPr>
            <w:tcW w:w="1027" w:type="dxa"/>
            <w:vAlign w:val="top"/>
          </w:tcPr>
          <w:p w14:paraId="5D334ABE">
            <w:pPr>
              <w:keepNext w:val="0"/>
              <w:keepLines w:val="0"/>
              <w:pageBreakBefore w:val="0"/>
              <w:kinsoku/>
              <w:wordWrap w:val="0"/>
              <w:overflowPunct/>
              <w:topLinePunct/>
              <w:autoSpaceDE/>
              <w:autoSpaceDN/>
              <w:bidi w:val="0"/>
              <w:adjustRightInd w:val="0"/>
              <w:snapToGrid w:val="0"/>
              <w:spacing w:before="97" w:line="205" w:lineRule="auto"/>
              <w:ind w:left="48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904" w:type="dxa"/>
            <w:tcBorders>
              <w:right w:val="nil"/>
            </w:tcBorders>
            <w:vAlign w:val="top"/>
          </w:tcPr>
          <w:p w14:paraId="2150B15E">
            <w:pPr>
              <w:keepNext w:val="0"/>
              <w:keepLines w:val="0"/>
              <w:pageBreakBefore w:val="0"/>
              <w:kinsoku/>
              <w:wordWrap w:val="0"/>
              <w:overflowPunct/>
              <w:topLinePunct/>
              <w:autoSpaceDE/>
              <w:autoSpaceDN/>
              <w:bidi w:val="0"/>
              <w:adjustRightInd w:val="0"/>
              <w:snapToGrid w:val="0"/>
              <w:spacing w:before="97" w:line="205"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1BA50D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51" w:type="dxa"/>
            <w:gridSpan w:val="2"/>
            <w:tcBorders>
              <w:left w:val="nil"/>
            </w:tcBorders>
            <w:vAlign w:val="top"/>
          </w:tcPr>
          <w:p w14:paraId="68BF3D56">
            <w:pPr>
              <w:pStyle w:val="35"/>
              <w:keepNext w:val="0"/>
              <w:keepLines w:val="0"/>
              <w:pageBreakBefore w:val="0"/>
              <w:kinsoku/>
              <w:wordWrap w:val="0"/>
              <w:overflowPunct/>
              <w:topLinePunct/>
              <w:autoSpaceDE/>
              <w:autoSpaceDN/>
              <w:bidi w:val="0"/>
              <w:adjustRightInd w:val="0"/>
              <w:snapToGrid w:val="0"/>
              <w:spacing w:before="67" w:line="209" w:lineRule="auto"/>
              <w:ind w:left="67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环境噪声</w:t>
            </w:r>
          </w:p>
        </w:tc>
        <w:tc>
          <w:tcPr>
            <w:tcW w:w="1507" w:type="dxa"/>
            <w:vAlign w:val="top"/>
          </w:tcPr>
          <w:p w14:paraId="0E2AAB71">
            <w:pPr>
              <w:keepNext w:val="0"/>
              <w:keepLines w:val="0"/>
              <w:pageBreakBefore w:val="0"/>
              <w:kinsoku/>
              <w:wordWrap w:val="0"/>
              <w:overflowPunct/>
              <w:topLinePunct/>
              <w:autoSpaceDE/>
              <w:autoSpaceDN/>
              <w:bidi w:val="0"/>
              <w:adjustRightInd w:val="0"/>
              <w:snapToGrid w:val="0"/>
              <w:spacing w:before="99" w:line="204" w:lineRule="auto"/>
              <w:ind w:left="72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69D4D180">
            <w:pPr>
              <w:keepNext w:val="0"/>
              <w:keepLines w:val="0"/>
              <w:pageBreakBefore w:val="0"/>
              <w:kinsoku/>
              <w:wordWrap w:val="0"/>
              <w:overflowPunct/>
              <w:topLinePunct/>
              <w:autoSpaceDE/>
              <w:autoSpaceDN/>
              <w:bidi w:val="0"/>
              <w:adjustRightInd w:val="0"/>
              <w:snapToGrid w:val="0"/>
              <w:spacing w:before="99" w:line="204" w:lineRule="auto"/>
              <w:ind w:left="43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140" w:type="dxa"/>
            <w:vAlign w:val="top"/>
          </w:tcPr>
          <w:p w14:paraId="587FE5ED">
            <w:pPr>
              <w:keepNext w:val="0"/>
              <w:keepLines w:val="0"/>
              <w:pageBreakBefore w:val="0"/>
              <w:kinsoku/>
              <w:wordWrap w:val="0"/>
              <w:overflowPunct/>
              <w:topLinePunct/>
              <w:autoSpaceDE/>
              <w:autoSpaceDN/>
              <w:bidi w:val="0"/>
              <w:adjustRightInd w:val="0"/>
              <w:snapToGrid w:val="0"/>
              <w:spacing w:before="99" w:line="204" w:lineRule="auto"/>
              <w:ind w:left="43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028" w:type="dxa"/>
            <w:vAlign w:val="top"/>
          </w:tcPr>
          <w:p w14:paraId="00F073AC">
            <w:pPr>
              <w:keepNext w:val="0"/>
              <w:keepLines w:val="0"/>
              <w:pageBreakBefore w:val="0"/>
              <w:kinsoku/>
              <w:wordWrap w:val="0"/>
              <w:overflowPunct/>
              <w:topLinePunct/>
              <w:autoSpaceDE/>
              <w:autoSpaceDN/>
              <w:bidi w:val="0"/>
              <w:adjustRightInd w:val="0"/>
              <w:snapToGrid w:val="0"/>
              <w:spacing w:before="99" w:line="204" w:lineRule="auto"/>
              <w:ind w:left="38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027" w:type="dxa"/>
            <w:vAlign w:val="top"/>
          </w:tcPr>
          <w:p w14:paraId="3D552A79">
            <w:pPr>
              <w:keepNext w:val="0"/>
              <w:keepLines w:val="0"/>
              <w:pageBreakBefore w:val="0"/>
              <w:kinsoku/>
              <w:wordWrap w:val="0"/>
              <w:overflowPunct/>
              <w:topLinePunct/>
              <w:autoSpaceDE/>
              <w:autoSpaceDN/>
              <w:bidi w:val="0"/>
              <w:adjustRightInd w:val="0"/>
              <w:snapToGrid w:val="0"/>
              <w:spacing w:before="99" w:line="204" w:lineRule="auto"/>
              <w:ind w:left="48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904" w:type="dxa"/>
            <w:tcBorders>
              <w:right w:val="nil"/>
            </w:tcBorders>
            <w:vAlign w:val="top"/>
          </w:tcPr>
          <w:p w14:paraId="32135882">
            <w:pPr>
              <w:keepNext w:val="0"/>
              <w:keepLines w:val="0"/>
              <w:pageBreakBefore w:val="0"/>
              <w:kinsoku/>
              <w:wordWrap w:val="0"/>
              <w:overflowPunct/>
              <w:topLinePunct/>
              <w:autoSpaceDE/>
              <w:autoSpaceDN/>
              <w:bidi w:val="0"/>
              <w:adjustRightInd w:val="0"/>
              <w:snapToGrid w:val="0"/>
              <w:spacing w:before="99" w:line="204"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4F1B21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151" w:type="dxa"/>
            <w:gridSpan w:val="2"/>
            <w:tcBorders>
              <w:left w:val="nil"/>
            </w:tcBorders>
            <w:vAlign w:val="top"/>
          </w:tcPr>
          <w:p w14:paraId="7C24A9D8">
            <w:pPr>
              <w:pStyle w:val="35"/>
              <w:keepNext w:val="0"/>
              <w:keepLines w:val="0"/>
              <w:pageBreakBefore w:val="0"/>
              <w:kinsoku/>
              <w:wordWrap w:val="0"/>
              <w:overflowPunct/>
              <w:topLinePunct/>
              <w:autoSpaceDE/>
              <w:autoSpaceDN/>
              <w:bidi w:val="0"/>
              <w:adjustRightInd w:val="0"/>
              <w:snapToGrid w:val="0"/>
              <w:spacing w:before="71" w:line="207" w:lineRule="auto"/>
              <w:ind w:left="67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生态环境</w:t>
            </w:r>
          </w:p>
        </w:tc>
        <w:tc>
          <w:tcPr>
            <w:tcW w:w="1507" w:type="dxa"/>
            <w:vAlign w:val="top"/>
          </w:tcPr>
          <w:p w14:paraId="53B9003C">
            <w:pPr>
              <w:keepNext w:val="0"/>
              <w:keepLines w:val="0"/>
              <w:pageBreakBefore w:val="0"/>
              <w:kinsoku/>
              <w:wordWrap w:val="0"/>
              <w:overflowPunct/>
              <w:topLinePunct/>
              <w:autoSpaceDE/>
              <w:autoSpaceDN/>
              <w:bidi w:val="0"/>
              <w:adjustRightInd w:val="0"/>
              <w:snapToGrid w:val="0"/>
              <w:spacing w:before="103" w:line="202" w:lineRule="auto"/>
              <w:ind w:left="72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08C934A9">
            <w:pPr>
              <w:keepNext w:val="0"/>
              <w:keepLines w:val="0"/>
              <w:pageBreakBefore w:val="0"/>
              <w:kinsoku/>
              <w:wordWrap w:val="0"/>
              <w:overflowPunct/>
              <w:topLinePunct/>
              <w:autoSpaceDE/>
              <w:autoSpaceDN/>
              <w:bidi w:val="0"/>
              <w:adjustRightInd w:val="0"/>
              <w:snapToGrid w:val="0"/>
              <w:spacing w:before="103" w:line="202" w:lineRule="auto"/>
              <w:ind w:left="43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140" w:type="dxa"/>
            <w:vAlign w:val="top"/>
          </w:tcPr>
          <w:p w14:paraId="54F8024F">
            <w:pPr>
              <w:keepNext w:val="0"/>
              <w:keepLines w:val="0"/>
              <w:pageBreakBefore w:val="0"/>
              <w:kinsoku/>
              <w:wordWrap w:val="0"/>
              <w:overflowPunct/>
              <w:topLinePunct/>
              <w:autoSpaceDE/>
              <w:autoSpaceDN/>
              <w:bidi w:val="0"/>
              <w:adjustRightInd w:val="0"/>
              <w:snapToGrid w:val="0"/>
              <w:spacing w:before="103" w:line="202" w:lineRule="auto"/>
              <w:ind w:left="43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028" w:type="dxa"/>
            <w:vAlign w:val="top"/>
          </w:tcPr>
          <w:p w14:paraId="5BEDE770">
            <w:pPr>
              <w:keepNext w:val="0"/>
              <w:keepLines w:val="0"/>
              <w:pageBreakBefore w:val="0"/>
              <w:kinsoku/>
              <w:wordWrap w:val="0"/>
              <w:overflowPunct/>
              <w:topLinePunct/>
              <w:autoSpaceDE/>
              <w:autoSpaceDN/>
              <w:bidi w:val="0"/>
              <w:adjustRightInd w:val="0"/>
              <w:snapToGrid w:val="0"/>
              <w:spacing w:before="103" w:line="202" w:lineRule="auto"/>
              <w:ind w:left="481"/>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7" w:type="dxa"/>
            <w:vAlign w:val="top"/>
          </w:tcPr>
          <w:p w14:paraId="0242D0FE">
            <w:pPr>
              <w:keepNext w:val="0"/>
              <w:keepLines w:val="0"/>
              <w:pageBreakBefore w:val="0"/>
              <w:kinsoku/>
              <w:wordWrap w:val="0"/>
              <w:overflowPunct/>
              <w:topLinePunct/>
              <w:autoSpaceDE/>
              <w:autoSpaceDN/>
              <w:bidi w:val="0"/>
              <w:adjustRightInd w:val="0"/>
              <w:snapToGrid w:val="0"/>
              <w:spacing w:before="103" w:line="202" w:lineRule="auto"/>
              <w:ind w:left="48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904" w:type="dxa"/>
            <w:tcBorders>
              <w:right w:val="nil"/>
            </w:tcBorders>
            <w:vAlign w:val="top"/>
          </w:tcPr>
          <w:p w14:paraId="6746CDA5">
            <w:pPr>
              <w:keepNext w:val="0"/>
              <w:keepLines w:val="0"/>
              <w:pageBreakBefore w:val="0"/>
              <w:kinsoku/>
              <w:wordWrap w:val="0"/>
              <w:overflowPunct/>
              <w:topLinePunct/>
              <w:autoSpaceDE/>
              <w:autoSpaceDN/>
              <w:bidi w:val="0"/>
              <w:adjustRightInd w:val="0"/>
              <w:snapToGrid w:val="0"/>
              <w:spacing w:before="103" w:line="202"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1B2A36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51" w:type="dxa"/>
            <w:gridSpan w:val="2"/>
            <w:tcBorders>
              <w:left w:val="nil"/>
            </w:tcBorders>
            <w:vAlign w:val="top"/>
          </w:tcPr>
          <w:p w14:paraId="2BD0EF22">
            <w:pPr>
              <w:pStyle w:val="35"/>
              <w:keepNext w:val="0"/>
              <w:keepLines w:val="0"/>
              <w:pageBreakBefore w:val="0"/>
              <w:kinsoku/>
              <w:wordWrap w:val="0"/>
              <w:overflowPunct/>
              <w:topLinePunct/>
              <w:autoSpaceDE/>
              <w:autoSpaceDN/>
              <w:bidi w:val="0"/>
              <w:adjustRightInd w:val="0"/>
              <w:snapToGrid w:val="0"/>
              <w:spacing w:before="70" w:line="206" w:lineRule="auto"/>
              <w:ind w:left="68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6"/>
                <w:highlight w:val="none"/>
              </w:rPr>
              <w:t>固体废物</w:t>
            </w:r>
          </w:p>
        </w:tc>
        <w:tc>
          <w:tcPr>
            <w:tcW w:w="1507" w:type="dxa"/>
            <w:vAlign w:val="top"/>
          </w:tcPr>
          <w:p w14:paraId="7694169C">
            <w:pPr>
              <w:keepNext w:val="0"/>
              <w:keepLines w:val="0"/>
              <w:pageBreakBefore w:val="0"/>
              <w:kinsoku/>
              <w:wordWrap w:val="0"/>
              <w:overflowPunct/>
              <w:topLinePunct/>
              <w:autoSpaceDE/>
              <w:autoSpaceDN/>
              <w:bidi w:val="0"/>
              <w:adjustRightInd w:val="0"/>
              <w:snapToGrid w:val="0"/>
              <w:spacing w:before="103" w:line="200" w:lineRule="auto"/>
              <w:ind w:left="62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140" w:type="dxa"/>
            <w:vAlign w:val="top"/>
          </w:tcPr>
          <w:p w14:paraId="4AE91011">
            <w:pPr>
              <w:keepNext w:val="0"/>
              <w:keepLines w:val="0"/>
              <w:pageBreakBefore w:val="0"/>
              <w:kinsoku/>
              <w:wordWrap w:val="0"/>
              <w:overflowPunct/>
              <w:topLinePunct/>
              <w:autoSpaceDE/>
              <w:autoSpaceDN/>
              <w:bidi w:val="0"/>
              <w:adjustRightInd w:val="0"/>
              <w:snapToGrid w:val="0"/>
              <w:spacing w:before="103" w:line="200"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3D9C3B54">
            <w:pPr>
              <w:keepNext w:val="0"/>
              <w:keepLines w:val="0"/>
              <w:pageBreakBefore w:val="0"/>
              <w:kinsoku/>
              <w:wordWrap w:val="0"/>
              <w:overflowPunct/>
              <w:topLinePunct/>
              <w:autoSpaceDE/>
              <w:autoSpaceDN/>
              <w:bidi w:val="0"/>
              <w:adjustRightInd w:val="0"/>
              <w:snapToGrid w:val="0"/>
              <w:spacing w:before="103" w:line="200"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8" w:type="dxa"/>
            <w:vAlign w:val="top"/>
          </w:tcPr>
          <w:p w14:paraId="0D7D3F24">
            <w:pPr>
              <w:keepNext w:val="0"/>
              <w:keepLines w:val="0"/>
              <w:pageBreakBefore w:val="0"/>
              <w:kinsoku/>
              <w:wordWrap w:val="0"/>
              <w:overflowPunct/>
              <w:topLinePunct/>
              <w:autoSpaceDE/>
              <w:autoSpaceDN/>
              <w:bidi w:val="0"/>
              <w:adjustRightInd w:val="0"/>
              <w:snapToGrid w:val="0"/>
              <w:spacing w:before="103" w:line="200" w:lineRule="auto"/>
              <w:ind w:left="38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027" w:type="dxa"/>
            <w:vAlign w:val="top"/>
          </w:tcPr>
          <w:p w14:paraId="3D88DB39">
            <w:pPr>
              <w:keepNext w:val="0"/>
              <w:keepLines w:val="0"/>
              <w:pageBreakBefore w:val="0"/>
              <w:kinsoku/>
              <w:wordWrap w:val="0"/>
              <w:overflowPunct/>
              <w:topLinePunct/>
              <w:autoSpaceDE/>
              <w:autoSpaceDN/>
              <w:bidi w:val="0"/>
              <w:adjustRightInd w:val="0"/>
              <w:snapToGrid w:val="0"/>
              <w:spacing w:before="103" w:line="200" w:lineRule="auto"/>
              <w:ind w:left="386"/>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904" w:type="dxa"/>
            <w:tcBorders>
              <w:right w:val="nil"/>
            </w:tcBorders>
            <w:vAlign w:val="top"/>
          </w:tcPr>
          <w:p w14:paraId="207463CD">
            <w:pPr>
              <w:keepNext w:val="0"/>
              <w:keepLines w:val="0"/>
              <w:pageBreakBefore w:val="0"/>
              <w:kinsoku/>
              <w:wordWrap w:val="0"/>
              <w:overflowPunct/>
              <w:topLinePunct/>
              <w:autoSpaceDE/>
              <w:autoSpaceDN/>
              <w:bidi w:val="0"/>
              <w:adjustRightInd w:val="0"/>
              <w:snapToGrid w:val="0"/>
              <w:spacing w:before="103" w:line="20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r>
      <w:tr w14:paraId="0FDFF8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51" w:type="dxa"/>
            <w:gridSpan w:val="2"/>
            <w:tcBorders>
              <w:left w:val="nil"/>
            </w:tcBorders>
            <w:vAlign w:val="top"/>
          </w:tcPr>
          <w:p w14:paraId="205263AD">
            <w:pPr>
              <w:pStyle w:val="35"/>
              <w:keepNext w:val="0"/>
              <w:keepLines w:val="0"/>
              <w:pageBreakBefore w:val="0"/>
              <w:kinsoku/>
              <w:wordWrap w:val="0"/>
              <w:overflowPunct/>
              <w:topLinePunct/>
              <w:autoSpaceDE/>
              <w:autoSpaceDN/>
              <w:bidi w:val="0"/>
              <w:adjustRightInd w:val="0"/>
              <w:snapToGrid w:val="0"/>
              <w:spacing w:before="72" w:line="204" w:lineRule="auto"/>
              <w:ind w:left="67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环境风险</w:t>
            </w:r>
          </w:p>
        </w:tc>
        <w:tc>
          <w:tcPr>
            <w:tcW w:w="1507" w:type="dxa"/>
            <w:vAlign w:val="top"/>
          </w:tcPr>
          <w:p w14:paraId="5F1D2F56">
            <w:pPr>
              <w:keepNext w:val="0"/>
              <w:keepLines w:val="0"/>
              <w:pageBreakBefore w:val="0"/>
              <w:kinsoku/>
              <w:wordWrap w:val="0"/>
              <w:overflowPunct/>
              <w:topLinePunct/>
              <w:autoSpaceDE/>
              <w:autoSpaceDN/>
              <w:bidi w:val="0"/>
              <w:adjustRightInd w:val="0"/>
              <w:snapToGrid w:val="0"/>
              <w:spacing w:before="104" w:line="199" w:lineRule="auto"/>
              <w:ind w:left="72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374256E4">
            <w:pPr>
              <w:keepNext w:val="0"/>
              <w:keepLines w:val="0"/>
              <w:pageBreakBefore w:val="0"/>
              <w:kinsoku/>
              <w:wordWrap w:val="0"/>
              <w:overflowPunct/>
              <w:topLinePunct/>
              <w:autoSpaceDE/>
              <w:autoSpaceDN/>
              <w:bidi w:val="0"/>
              <w:adjustRightInd w:val="0"/>
              <w:snapToGrid w:val="0"/>
              <w:spacing w:before="104" w:line="199"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140" w:type="dxa"/>
            <w:vAlign w:val="top"/>
          </w:tcPr>
          <w:p w14:paraId="5BFC2BFB">
            <w:pPr>
              <w:keepNext w:val="0"/>
              <w:keepLines w:val="0"/>
              <w:pageBreakBefore w:val="0"/>
              <w:kinsoku/>
              <w:wordWrap w:val="0"/>
              <w:overflowPunct/>
              <w:topLinePunct/>
              <w:autoSpaceDE/>
              <w:autoSpaceDN/>
              <w:bidi w:val="0"/>
              <w:adjustRightInd w:val="0"/>
              <w:snapToGrid w:val="0"/>
              <w:spacing w:before="104" w:line="199" w:lineRule="auto"/>
              <w:ind w:left="53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1028" w:type="dxa"/>
            <w:vAlign w:val="top"/>
          </w:tcPr>
          <w:p w14:paraId="58467588">
            <w:pPr>
              <w:keepNext w:val="0"/>
              <w:keepLines w:val="0"/>
              <w:pageBreakBefore w:val="0"/>
              <w:kinsoku/>
              <w:wordWrap w:val="0"/>
              <w:overflowPunct/>
              <w:topLinePunct/>
              <w:autoSpaceDE/>
              <w:autoSpaceDN/>
              <w:bidi w:val="0"/>
              <w:adjustRightInd w:val="0"/>
              <w:snapToGrid w:val="0"/>
              <w:spacing w:before="104" w:line="199" w:lineRule="auto"/>
              <w:ind w:left="38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c>
          <w:tcPr>
            <w:tcW w:w="1027" w:type="dxa"/>
            <w:vAlign w:val="top"/>
          </w:tcPr>
          <w:p w14:paraId="3548AA35">
            <w:pPr>
              <w:keepNext w:val="0"/>
              <w:keepLines w:val="0"/>
              <w:pageBreakBefore w:val="0"/>
              <w:kinsoku/>
              <w:wordWrap w:val="0"/>
              <w:overflowPunct/>
              <w:topLinePunct/>
              <w:autoSpaceDE/>
              <w:autoSpaceDN/>
              <w:bidi w:val="0"/>
              <w:adjustRightInd w:val="0"/>
              <w:snapToGrid w:val="0"/>
              <w:spacing w:before="104" w:line="199" w:lineRule="auto"/>
              <w:ind w:left="48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904" w:type="dxa"/>
            <w:tcBorders>
              <w:right w:val="nil"/>
            </w:tcBorders>
            <w:vAlign w:val="top"/>
          </w:tcPr>
          <w:p w14:paraId="2FC7F7BA">
            <w:pPr>
              <w:keepNext w:val="0"/>
              <w:keepLines w:val="0"/>
              <w:pageBreakBefore w:val="0"/>
              <w:kinsoku/>
              <w:wordWrap w:val="0"/>
              <w:overflowPunct/>
              <w:topLinePunct/>
              <w:autoSpaceDE/>
              <w:autoSpaceDN/>
              <w:bidi w:val="0"/>
              <w:adjustRightInd w:val="0"/>
              <w:snapToGrid w:val="0"/>
              <w:spacing w:before="104" w:line="199"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Δ□</w:t>
            </w:r>
          </w:p>
        </w:tc>
      </w:tr>
      <w:tr w14:paraId="2441D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151" w:type="dxa"/>
            <w:gridSpan w:val="2"/>
            <w:tcBorders>
              <w:left w:val="nil"/>
              <w:bottom w:val="single" w:color="000000" w:sz="10" w:space="0"/>
            </w:tcBorders>
            <w:vAlign w:val="top"/>
          </w:tcPr>
          <w:p w14:paraId="60795F8B">
            <w:pPr>
              <w:pStyle w:val="35"/>
              <w:keepNext w:val="0"/>
              <w:keepLines w:val="0"/>
              <w:pageBreakBefore w:val="0"/>
              <w:kinsoku/>
              <w:wordWrap w:val="0"/>
              <w:overflowPunct/>
              <w:topLinePunct/>
              <w:autoSpaceDE/>
              <w:autoSpaceDN/>
              <w:bidi w:val="0"/>
              <w:adjustRightInd w:val="0"/>
              <w:snapToGrid w:val="0"/>
              <w:spacing w:before="74" w:line="222" w:lineRule="auto"/>
              <w:ind w:left="8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备注</w:t>
            </w:r>
          </w:p>
        </w:tc>
        <w:tc>
          <w:tcPr>
            <w:tcW w:w="6746" w:type="dxa"/>
            <w:gridSpan w:val="6"/>
            <w:tcBorders>
              <w:bottom w:val="single" w:color="000000" w:sz="10" w:space="0"/>
              <w:right w:val="nil"/>
            </w:tcBorders>
            <w:vAlign w:val="top"/>
          </w:tcPr>
          <w:p w14:paraId="459A61CC">
            <w:pPr>
              <w:pStyle w:val="35"/>
              <w:keepNext w:val="0"/>
              <w:keepLines w:val="0"/>
              <w:pageBreakBefore w:val="0"/>
              <w:kinsoku/>
              <w:wordWrap w:val="0"/>
              <w:overflowPunct/>
              <w:topLinePunct/>
              <w:autoSpaceDE/>
              <w:autoSpaceDN/>
              <w:bidi w:val="0"/>
              <w:adjustRightInd w:val="0"/>
              <w:snapToGrid w:val="0"/>
              <w:spacing w:before="75" w:line="225" w:lineRule="auto"/>
              <w:ind w:left="225"/>
              <w:textAlignment w:val="baseline"/>
              <w:rPr>
                <w:rFonts w:hint="default" w:ascii="Times New Roman" w:hAnsi="Times New Roman" w:cs="Times New Roman"/>
                <w:color w:val="auto"/>
                <w:highlight w:val="none"/>
              </w:rPr>
            </w:pPr>
            <w:r>
              <w:rPr>
                <w:rFonts w:hint="default" w:ascii="Times New Roman" w:hAnsi="Times New Roman" w:eastAsia="Arial" w:cs="Times New Roman"/>
                <w:color w:val="auto"/>
                <w:spacing w:val="-2"/>
                <w:highlight w:val="none"/>
              </w:rPr>
              <w:t>▲</w:t>
            </w:r>
            <w:r>
              <w:rPr>
                <w:rFonts w:hint="default" w:ascii="Times New Roman" w:hAnsi="Times New Roman" w:cs="Times New Roman"/>
                <w:color w:val="auto"/>
                <w:spacing w:val="-2"/>
                <w:highlight w:val="none"/>
              </w:rPr>
              <w:t>：影响程度中等；</w:t>
            </w:r>
            <w:r>
              <w:rPr>
                <w:rFonts w:hint="default" w:ascii="Times New Roman" w:hAnsi="Times New Roman" w:eastAsia="Times New Roman" w:cs="Times New Roman"/>
                <w:color w:val="auto"/>
                <w:spacing w:val="-2"/>
                <w:highlight w:val="none"/>
              </w:rPr>
              <w:t>Δ</w:t>
            </w:r>
            <w:r>
              <w:rPr>
                <w:rFonts w:hint="default" w:ascii="Times New Roman" w:hAnsi="Times New Roman" w:cs="Times New Roman"/>
                <w:color w:val="auto"/>
                <w:spacing w:val="-2"/>
                <w:highlight w:val="none"/>
              </w:rPr>
              <w:t>：影响程度较小；</w:t>
            </w:r>
            <w:r>
              <w:rPr>
                <w:rFonts w:hint="default" w:ascii="Times New Roman" w:hAnsi="Times New Roman" w:eastAsia="Times New Roman" w:cs="Times New Roman"/>
                <w:color w:val="auto"/>
                <w:spacing w:val="-2"/>
                <w:highlight w:val="none"/>
              </w:rPr>
              <w:t>○</w:t>
            </w:r>
            <w:r>
              <w:rPr>
                <w:rFonts w:hint="default" w:ascii="Times New Roman" w:hAnsi="Times New Roman" w:cs="Times New Roman"/>
                <w:color w:val="auto"/>
                <w:spacing w:val="-2"/>
                <w:highlight w:val="none"/>
              </w:rPr>
              <w:t>：长期影响；</w:t>
            </w:r>
            <w:r>
              <w:rPr>
                <w:rFonts w:hint="default" w:ascii="Times New Roman" w:hAnsi="Times New Roman" w:eastAsia="Times New Roman" w:cs="Times New Roman"/>
                <w:color w:val="auto"/>
                <w:spacing w:val="-2"/>
                <w:highlight w:val="none"/>
              </w:rPr>
              <w:t>□</w:t>
            </w:r>
            <w:r>
              <w:rPr>
                <w:rFonts w:hint="default" w:ascii="Times New Roman" w:hAnsi="Times New Roman" w:cs="Times New Roman"/>
                <w:color w:val="auto"/>
                <w:spacing w:val="-2"/>
                <w:highlight w:val="none"/>
              </w:rPr>
              <w:t>：短期影响。</w:t>
            </w:r>
          </w:p>
        </w:tc>
      </w:tr>
    </w:tbl>
    <w:p w14:paraId="5B10770F">
      <w:pPr>
        <w:keepNext w:val="0"/>
        <w:keepLines w:val="0"/>
        <w:pageBreakBefore w:val="0"/>
        <w:kinsoku/>
        <w:wordWrap w:val="0"/>
        <w:overflowPunct/>
        <w:topLinePunct/>
        <w:autoSpaceDE/>
        <w:autoSpaceDN/>
        <w:bidi w:val="0"/>
        <w:adjustRightInd w:val="0"/>
        <w:snapToGrid w:val="0"/>
        <w:spacing w:before="112" w:line="219" w:lineRule="auto"/>
        <w:ind w:left="612"/>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本项目运营期环境影响识别结果见下表：</w:t>
      </w:r>
    </w:p>
    <w:p w14:paraId="334A1A32">
      <w:pPr>
        <w:keepNext w:val="0"/>
        <w:keepLines w:val="0"/>
        <w:pageBreakBefore w:val="0"/>
        <w:kinsoku/>
        <w:wordWrap w:val="0"/>
        <w:overflowPunct/>
        <w:topLinePunct/>
        <w:autoSpaceDE/>
        <w:autoSpaceDN/>
        <w:bidi w:val="0"/>
        <w:adjustRightInd w:val="0"/>
        <w:snapToGrid w:val="0"/>
        <w:spacing w:before="104" w:line="214" w:lineRule="auto"/>
        <w:ind w:left="277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w:t>
      </w:r>
      <w:r>
        <w:rPr>
          <w:rFonts w:hint="default"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Times New Roman" w:cs="Times New Roman"/>
          <w:b/>
          <w:bCs/>
          <w:color w:val="auto"/>
          <w:spacing w:val="-1"/>
          <w:sz w:val="24"/>
          <w:szCs w:val="24"/>
          <w:highlight w:val="none"/>
        </w:rPr>
        <w:t>-2</w:t>
      </w:r>
      <w:r>
        <w:rPr>
          <w:rFonts w:hint="default" w:ascii="Times New Roman" w:hAnsi="Times New Roman" w:eastAsia="宋体" w:cs="Times New Roman"/>
          <w:b/>
          <w:bCs/>
          <w:color w:val="auto"/>
          <w:spacing w:val="-1"/>
          <w:sz w:val="24"/>
          <w:szCs w:val="24"/>
          <w:highlight w:val="none"/>
        </w:rPr>
        <w:t>运营期环境影响识别结果</w:t>
      </w:r>
    </w:p>
    <w:tbl>
      <w:tblPr>
        <w:tblStyle w:val="34"/>
        <w:tblW w:w="900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2"/>
        <w:gridCol w:w="1229"/>
        <w:gridCol w:w="3536"/>
        <w:gridCol w:w="3627"/>
      </w:tblGrid>
      <w:tr w14:paraId="77C5E3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jc w:val="center"/>
        </w:trPr>
        <w:tc>
          <w:tcPr>
            <w:tcW w:w="1841" w:type="dxa"/>
            <w:gridSpan w:val="2"/>
            <w:tcBorders>
              <w:top w:val="single" w:color="000000" w:sz="10" w:space="0"/>
              <w:left w:val="nil"/>
            </w:tcBorders>
            <w:vAlign w:val="center"/>
          </w:tcPr>
          <w:p w14:paraId="7C9C7B9F">
            <w:pPr>
              <w:pStyle w:val="35"/>
              <w:keepNext w:val="0"/>
              <w:keepLines w:val="0"/>
              <w:pageBreakBefore w:val="0"/>
              <w:kinsoku/>
              <w:wordWrap w:val="0"/>
              <w:overflowPunct/>
              <w:topLinePunct/>
              <w:autoSpaceDE/>
              <w:autoSpaceDN/>
              <w:bidi w:val="0"/>
              <w:adjustRightInd w:val="0"/>
              <w:snapToGrid w:val="0"/>
              <w:spacing w:before="58" w:line="229" w:lineRule="auto"/>
              <w:ind w:left="628"/>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污染物</w:t>
            </w:r>
          </w:p>
        </w:tc>
        <w:tc>
          <w:tcPr>
            <w:tcW w:w="3536" w:type="dxa"/>
            <w:tcBorders>
              <w:top w:val="single" w:color="000000" w:sz="10" w:space="0"/>
            </w:tcBorders>
            <w:vAlign w:val="center"/>
          </w:tcPr>
          <w:p w14:paraId="7343A324">
            <w:pPr>
              <w:pStyle w:val="35"/>
              <w:keepNext w:val="0"/>
              <w:keepLines w:val="0"/>
              <w:pageBreakBefore w:val="0"/>
              <w:kinsoku/>
              <w:wordWrap w:val="0"/>
              <w:overflowPunct/>
              <w:topLinePunct/>
              <w:autoSpaceDE/>
              <w:autoSpaceDN/>
              <w:bidi w:val="0"/>
              <w:adjustRightInd w:val="0"/>
              <w:snapToGrid w:val="0"/>
              <w:spacing w:before="58" w:line="228" w:lineRule="auto"/>
              <w:ind w:left="137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污染来源</w:t>
            </w:r>
          </w:p>
        </w:tc>
        <w:tc>
          <w:tcPr>
            <w:tcW w:w="3627" w:type="dxa"/>
            <w:tcBorders>
              <w:top w:val="single" w:color="000000" w:sz="10" w:space="0"/>
              <w:right w:val="nil"/>
            </w:tcBorders>
            <w:vAlign w:val="center"/>
          </w:tcPr>
          <w:p w14:paraId="758A8E5F">
            <w:pPr>
              <w:pStyle w:val="35"/>
              <w:keepNext w:val="0"/>
              <w:keepLines w:val="0"/>
              <w:pageBreakBefore w:val="0"/>
              <w:kinsoku/>
              <w:wordWrap w:val="0"/>
              <w:overflowPunct/>
              <w:topLinePunct/>
              <w:autoSpaceDE/>
              <w:autoSpaceDN/>
              <w:bidi w:val="0"/>
              <w:adjustRightInd w:val="0"/>
              <w:snapToGrid w:val="0"/>
              <w:spacing w:before="58" w:line="229" w:lineRule="auto"/>
              <w:ind w:left="1420"/>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污染因子</w:t>
            </w:r>
          </w:p>
        </w:tc>
      </w:tr>
      <w:tr w14:paraId="25CD14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612" w:type="dxa"/>
            <w:vMerge w:val="restart"/>
            <w:tcBorders>
              <w:left w:val="nil"/>
              <w:bottom w:val="nil"/>
            </w:tcBorders>
            <w:textDirection w:val="tbRlV"/>
            <w:vAlign w:val="center"/>
          </w:tcPr>
          <w:p w14:paraId="7B6851B5">
            <w:pPr>
              <w:pStyle w:val="35"/>
              <w:keepNext w:val="0"/>
              <w:keepLines w:val="0"/>
              <w:pageBreakBefore w:val="0"/>
              <w:kinsoku/>
              <w:wordWrap w:val="0"/>
              <w:overflowPunct/>
              <w:topLinePunct/>
              <w:autoSpaceDE/>
              <w:autoSpaceDN/>
              <w:bidi w:val="0"/>
              <w:adjustRightInd w:val="0"/>
              <w:snapToGrid w:val="0"/>
              <w:spacing w:before="203" w:line="218" w:lineRule="auto"/>
              <w:ind w:left="389"/>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9"/>
                <w:sz w:val="21"/>
                <w:szCs w:val="21"/>
                <w:highlight w:val="none"/>
              </w:rPr>
              <w:t>施工期</w:t>
            </w:r>
          </w:p>
        </w:tc>
        <w:tc>
          <w:tcPr>
            <w:tcW w:w="1229" w:type="dxa"/>
            <w:vAlign w:val="center"/>
          </w:tcPr>
          <w:p w14:paraId="2A7EA141">
            <w:pPr>
              <w:pStyle w:val="35"/>
              <w:keepNext w:val="0"/>
              <w:keepLines w:val="0"/>
              <w:pageBreakBefore w:val="0"/>
              <w:kinsoku/>
              <w:wordWrap w:val="0"/>
              <w:overflowPunct/>
              <w:topLinePunct/>
              <w:autoSpaceDE/>
              <w:autoSpaceDN/>
              <w:bidi w:val="0"/>
              <w:adjustRightInd w:val="0"/>
              <w:snapToGrid w:val="0"/>
              <w:spacing w:before="56" w:line="229" w:lineRule="auto"/>
              <w:ind w:left="41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5"/>
                <w:sz w:val="21"/>
                <w:szCs w:val="21"/>
                <w:highlight w:val="none"/>
              </w:rPr>
              <w:t>废气</w:t>
            </w:r>
          </w:p>
        </w:tc>
        <w:tc>
          <w:tcPr>
            <w:tcW w:w="3536" w:type="dxa"/>
            <w:vAlign w:val="center"/>
          </w:tcPr>
          <w:p w14:paraId="1FF89D7B">
            <w:pPr>
              <w:pStyle w:val="35"/>
              <w:keepNext w:val="0"/>
              <w:keepLines w:val="0"/>
              <w:pageBreakBefore w:val="0"/>
              <w:kinsoku/>
              <w:wordWrap w:val="0"/>
              <w:overflowPunct/>
              <w:topLinePunct/>
              <w:autoSpaceDE/>
              <w:autoSpaceDN/>
              <w:bidi w:val="0"/>
              <w:adjustRightInd w:val="0"/>
              <w:snapToGrid w:val="0"/>
              <w:spacing w:before="55" w:line="228" w:lineRule="auto"/>
              <w:ind w:left="571"/>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9"/>
                <w:sz w:val="21"/>
                <w:szCs w:val="21"/>
                <w:highlight w:val="none"/>
              </w:rPr>
              <w:t>施工活动、机械及施工车辆</w:t>
            </w:r>
          </w:p>
        </w:tc>
        <w:tc>
          <w:tcPr>
            <w:tcW w:w="3627" w:type="dxa"/>
            <w:tcBorders>
              <w:right w:val="nil"/>
            </w:tcBorders>
            <w:vAlign w:val="center"/>
          </w:tcPr>
          <w:p w14:paraId="08E4CC7E">
            <w:pPr>
              <w:pStyle w:val="35"/>
              <w:keepNext w:val="0"/>
              <w:keepLines w:val="0"/>
              <w:pageBreakBefore w:val="0"/>
              <w:kinsoku/>
              <w:wordWrap w:val="0"/>
              <w:overflowPunct/>
              <w:topLinePunct/>
              <w:autoSpaceDE/>
              <w:autoSpaceDN/>
              <w:bidi w:val="0"/>
              <w:adjustRightInd w:val="0"/>
              <w:snapToGrid w:val="0"/>
              <w:spacing w:before="91" w:line="207" w:lineRule="auto"/>
              <w:ind w:left="112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TSP</w:t>
            </w:r>
            <w:r>
              <w:rPr>
                <w:rFonts w:hint="default" w:ascii="Times New Roman" w:hAnsi="Times New Roman" w:cs="Times New Roman"/>
                <w:color w:val="auto"/>
                <w:spacing w:val="9"/>
                <w:sz w:val="21"/>
                <w:szCs w:val="21"/>
                <w:highlight w:val="none"/>
              </w:rPr>
              <w:t>、</w:t>
            </w:r>
            <w:r>
              <w:rPr>
                <w:rFonts w:hint="default" w:ascii="Times New Roman" w:hAnsi="Times New Roman" w:eastAsia="Times New Roman" w:cs="Times New Roman"/>
                <w:color w:val="auto"/>
                <w:sz w:val="21"/>
                <w:szCs w:val="21"/>
                <w:highlight w:val="none"/>
              </w:rPr>
              <w:t>CO</w:t>
            </w:r>
            <w:r>
              <w:rPr>
                <w:rFonts w:hint="default" w:ascii="Times New Roman" w:hAnsi="Times New Roman" w:cs="Times New Roman"/>
                <w:color w:val="auto"/>
                <w:spacing w:val="9"/>
                <w:sz w:val="21"/>
                <w:szCs w:val="21"/>
                <w:highlight w:val="none"/>
              </w:rPr>
              <w:t>、</w:t>
            </w:r>
            <w:r>
              <w:rPr>
                <w:rFonts w:hint="default" w:ascii="Times New Roman" w:hAnsi="Times New Roman" w:eastAsia="Times New Roman" w:cs="Times New Roman"/>
                <w:color w:val="auto"/>
                <w:sz w:val="21"/>
                <w:szCs w:val="21"/>
                <w:highlight w:val="none"/>
              </w:rPr>
              <w:t>NO</w:t>
            </w:r>
            <w:r>
              <w:rPr>
                <w:rFonts w:hint="default" w:ascii="Times New Roman" w:hAnsi="Times New Roman" w:eastAsia="Times New Roman" w:cs="Times New Roman"/>
                <w:color w:val="auto"/>
                <w:position w:val="-2"/>
                <w:sz w:val="21"/>
                <w:szCs w:val="21"/>
                <w:highlight w:val="none"/>
                <w:vertAlign w:val="subscript"/>
              </w:rPr>
              <w:t>x</w:t>
            </w:r>
          </w:p>
        </w:tc>
      </w:tr>
      <w:tr w14:paraId="3F3C36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612" w:type="dxa"/>
            <w:vMerge w:val="continue"/>
            <w:tcBorders>
              <w:top w:val="nil"/>
              <w:left w:val="nil"/>
              <w:bottom w:val="nil"/>
            </w:tcBorders>
            <w:textDirection w:val="tbRlV"/>
            <w:vAlign w:val="center"/>
          </w:tcPr>
          <w:p w14:paraId="47AEB62E">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Align w:val="center"/>
          </w:tcPr>
          <w:p w14:paraId="1C72A6F3">
            <w:pPr>
              <w:pStyle w:val="35"/>
              <w:keepNext w:val="0"/>
              <w:keepLines w:val="0"/>
              <w:pageBreakBefore w:val="0"/>
              <w:kinsoku/>
              <w:wordWrap w:val="0"/>
              <w:overflowPunct/>
              <w:topLinePunct/>
              <w:autoSpaceDE/>
              <w:autoSpaceDN/>
              <w:bidi w:val="0"/>
              <w:adjustRightInd w:val="0"/>
              <w:snapToGrid w:val="0"/>
              <w:spacing w:before="57" w:line="228" w:lineRule="auto"/>
              <w:ind w:left="41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5"/>
                <w:sz w:val="21"/>
                <w:szCs w:val="21"/>
                <w:highlight w:val="none"/>
              </w:rPr>
              <w:t>废水</w:t>
            </w:r>
          </w:p>
        </w:tc>
        <w:tc>
          <w:tcPr>
            <w:tcW w:w="3536" w:type="dxa"/>
            <w:vAlign w:val="center"/>
          </w:tcPr>
          <w:p w14:paraId="4C7568FC">
            <w:pPr>
              <w:pStyle w:val="35"/>
              <w:keepNext w:val="0"/>
              <w:keepLines w:val="0"/>
              <w:pageBreakBefore w:val="0"/>
              <w:kinsoku/>
              <w:wordWrap w:val="0"/>
              <w:overflowPunct/>
              <w:topLinePunct/>
              <w:autoSpaceDE/>
              <w:autoSpaceDN/>
              <w:bidi w:val="0"/>
              <w:adjustRightInd w:val="0"/>
              <w:snapToGrid w:val="0"/>
              <w:spacing w:before="57" w:line="229" w:lineRule="auto"/>
              <w:ind w:left="671"/>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9"/>
                <w:sz w:val="21"/>
                <w:szCs w:val="21"/>
                <w:highlight w:val="none"/>
              </w:rPr>
              <w:t>施工活动和施工人员生活</w:t>
            </w:r>
          </w:p>
        </w:tc>
        <w:tc>
          <w:tcPr>
            <w:tcW w:w="3627" w:type="dxa"/>
            <w:tcBorders>
              <w:right w:val="nil"/>
            </w:tcBorders>
            <w:vAlign w:val="center"/>
          </w:tcPr>
          <w:p w14:paraId="1C23603E">
            <w:pPr>
              <w:pStyle w:val="35"/>
              <w:keepNext w:val="0"/>
              <w:keepLines w:val="0"/>
              <w:pageBreakBefore w:val="0"/>
              <w:kinsoku/>
              <w:wordWrap w:val="0"/>
              <w:overflowPunct/>
              <w:topLinePunct/>
              <w:autoSpaceDE/>
              <w:autoSpaceDN/>
              <w:bidi w:val="0"/>
              <w:adjustRightInd w:val="0"/>
              <w:snapToGrid w:val="0"/>
              <w:spacing w:before="57"/>
              <w:ind w:left="350"/>
              <w:textAlignment w:val="baseline"/>
              <w:rPr>
                <w:rFonts w:hint="default" w:ascii="Times New Roman" w:hAnsi="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COD</w:t>
            </w:r>
            <w:r>
              <w:rPr>
                <w:rFonts w:hint="default" w:ascii="Times New Roman" w:hAnsi="Times New Roman" w:cs="Times New Roman"/>
                <w:color w:val="auto"/>
                <w:spacing w:val="8"/>
                <w:sz w:val="21"/>
                <w:szCs w:val="21"/>
                <w:highlight w:val="none"/>
              </w:rPr>
              <w:t>、</w:t>
            </w:r>
            <w:r>
              <w:rPr>
                <w:rFonts w:hint="default" w:ascii="Times New Roman" w:hAnsi="Times New Roman" w:eastAsia="Times New Roman" w:cs="Times New Roman"/>
                <w:color w:val="auto"/>
                <w:sz w:val="21"/>
                <w:szCs w:val="21"/>
                <w:highlight w:val="none"/>
              </w:rPr>
              <w:t>BOD</w:t>
            </w:r>
            <w:r>
              <w:rPr>
                <w:rFonts w:hint="default" w:ascii="Times New Roman" w:hAnsi="Times New Roman" w:eastAsia="Times New Roman" w:cs="Times New Roman"/>
                <w:color w:val="auto"/>
                <w:spacing w:val="8"/>
                <w:position w:val="-3"/>
                <w:sz w:val="21"/>
                <w:szCs w:val="21"/>
                <w:highlight w:val="none"/>
                <w:vertAlign w:val="subscript"/>
              </w:rPr>
              <w:t>5</w:t>
            </w:r>
            <w:r>
              <w:rPr>
                <w:rFonts w:hint="default" w:ascii="Times New Roman" w:hAnsi="Times New Roman" w:cs="Times New Roman"/>
                <w:color w:val="auto"/>
                <w:spacing w:val="8"/>
                <w:sz w:val="21"/>
                <w:szCs w:val="21"/>
                <w:highlight w:val="none"/>
              </w:rPr>
              <w:t>、氨氮、</w:t>
            </w:r>
            <w:r>
              <w:rPr>
                <w:rFonts w:hint="default" w:ascii="Times New Roman" w:hAnsi="Times New Roman" w:eastAsia="Times New Roman" w:cs="Times New Roman"/>
                <w:color w:val="auto"/>
                <w:sz w:val="21"/>
                <w:szCs w:val="21"/>
                <w:highlight w:val="none"/>
              </w:rPr>
              <w:t>SS</w:t>
            </w:r>
            <w:r>
              <w:rPr>
                <w:rFonts w:hint="default" w:ascii="Times New Roman" w:hAnsi="Times New Roman" w:cs="Times New Roman"/>
                <w:color w:val="auto"/>
                <w:spacing w:val="8"/>
                <w:sz w:val="21"/>
                <w:szCs w:val="21"/>
                <w:highlight w:val="none"/>
              </w:rPr>
              <w:t>、石油类</w:t>
            </w:r>
          </w:p>
        </w:tc>
      </w:tr>
      <w:tr w14:paraId="32C5F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jc w:val="center"/>
        </w:trPr>
        <w:tc>
          <w:tcPr>
            <w:tcW w:w="612" w:type="dxa"/>
            <w:vMerge w:val="continue"/>
            <w:tcBorders>
              <w:top w:val="nil"/>
              <w:left w:val="nil"/>
              <w:bottom w:val="nil"/>
            </w:tcBorders>
            <w:textDirection w:val="tbRlV"/>
            <w:vAlign w:val="center"/>
          </w:tcPr>
          <w:p w14:paraId="257C77E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Align w:val="center"/>
          </w:tcPr>
          <w:p w14:paraId="172667F1">
            <w:pPr>
              <w:pStyle w:val="35"/>
              <w:keepNext w:val="0"/>
              <w:keepLines w:val="0"/>
              <w:pageBreakBefore w:val="0"/>
              <w:kinsoku/>
              <w:wordWrap w:val="0"/>
              <w:overflowPunct/>
              <w:topLinePunct/>
              <w:autoSpaceDE/>
              <w:autoSpaceDN/>
              <w:bidi w:val="0"/>
              <w:adjustRightInd w:val="0"/>
              <w:snapToGrid w:val="0"/>
              <w:spacing w:before="61" w:line="229" w:lineRule="auto"/>
              <w:ind w:left="42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噪声</w:t>
            </w:r>
          </w:p>
        </w:tc>
        <w:tc>
          <w:tcPr>
            <w:tcW w:w="3536" w:type="dxa"/>
            <w:vAlign w:val="center"/>
          </w:tcPr>
          <w:p w14:paraId="0ED814AD">
            <w:pPr>
              <w:pStyle w:val="35"/>
              <w:keepNext w:val="0"/>
              <w:keepLines w:val="0"/>
              <w:pageBreakBefore w:val="0"/>
              <w:kinsoku/>
              <w:wordWrap w:val="0"/>
              <w:overflowPunct/>
              <w:topLinePunct/>
              <w:autoSpaceDE/>
              <w:autoSpaceDN/>
              <w:bidi w:val="0"/>
              <w:adjustRightInd w:val="0"/>
              <w:snapToGrid w:val="0"/>
              <w:spacing w:before="61" w:line="228" w:lineRule="auto"/>
              <w:ind w:left="871"/>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8"/>
                <w:sz w:val="21"/>
                <w:szCs w:val="21"/>
                <w:highlight w:val="none"/>
              </w:rPr>
              <w:t>施工活动和机械设备</w:t>
            </w:r>
          </w:p>
        </w:tc>
        <w:tc>
          <w:tcPr>
            <w:tcW w:w="3627" w:type="dxa"/>
            <w:tcBorders>
              <w:right w:val="nil"/>
            </w:tcBorders>
            <w:vAlign w:val="center"/>
          </w:tcPr>
          <w:p w14:paraId="4AA9A17D">
            <w:pPr>
              <w:pStyle w:val="35"/>
              <w:keepNext w:val="0"/>
              <w:keepLines w:val="0"/>
              <w:pageBreakBefore w:val="0"/>
              <w:kinsoku/>
              <w:wordWrap w:val="0"/>
              <w:overflowPunct/>
              <w:topLinePunct/>
              <w:autoSpaceDE/>
              <w:autoSpaceDN/>
              <w:bidi w:val="0"/>
              <w:adjustRightInd w:val="0"/>
              <w:snapToGrid w:val="0"/>
              <w:spacing w:before="61" w:line="222" w:lineRule="auto"/>
              <w:ind w:left="64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等效连续</w:t>
            </w:r>
            <w:r>
              <w:rPr>
                <w:rFonts w:hint="default" w:ascii="Times New Roman" w:hAnsi="Times New Roman" w:eastAsia="Times New Roman" w:cs="Times New Roman"/>
                <w:color w:val="auto"/>
                <w:spacing w:val="6"/>
                <w:sz w:val="21"/>
                <w:szCs w:val="21"/>
                <w:highlight w:val="none"/>
              </w:rPr>
              <w:t>A</w:t>
            </w:r>
            <w:r>
              <w:rPr>
                <w:rFonts w:hint="default" w:ascii="Times New Roman" w:hAnsi="Times New Roman" w:cs="Times New Roman"/>
                <w:color w:val="auto"/>
                <w:spacing w:val="6"/>
                <w:sz w:val="21"/>
                <w:szCs w:val="21"/>
                <w:highlight w:val="none"/>
              </w:rPr>
              <w:t>声级</w:t>
            </w:r>
            <w:r>
              <w:rPr>
                <w:rFonts w:hint="default" w:ascii="Times New Roman" w:hAnsi="Times New Roman" w:eastAsia="Times New Roman" w:cs="Times New Roman"/>
                <w:color w:val="auto"/>
                <w:sz w:val="21"/>
                <w:szCs w:val="21"/>
                <w:highlight w:val="none"/>
              </w:rPr>
              <w:t>Leq</w:t>
            </w:r>
            <w:r>
              <w:rPr>
                <w:rFonts w:hint="default" w:ascii="Times New Roman" w:hAnsi="Times New Roman" w:cs="Times New Roman"/>
                <w:color w:val="auto"/>
                <w:spacing w:val="6"/>
                <w:sz w:val="21"/>
                <w:szCs w:val="21"/>
                <w:highlight w:val="none"/>
              </w:rPr>
              <w:t>（</w:t>
            </w:r>
            <w:r>
              <w:rPr>
                <w:rFonts w:hint="default" w:ascii="Times New Roman" w:hAnsi="Times New Roman" w:eastAsia="Times New Roman" w:cs="Times New Roman"/>
                <w:color w:val="auto"/>
                <w:spacing w:val="6"/>
                <w:sz w:val="21"/>
                <w:szCs w:val="21"/>
                <w:highlight w:val="none"/>
              </w:rPr>
              <w:t>A</w:t>
            </w:r>
            <w:r>
              <w:rPr>
                <w:rFonts w:hint="default" w:ascii="Times New Roman" w:hAnsi="Times New Roman" w:cs="Times New Roman"/>
                <w:color w:val="auto"/>
                <w:spacing w:val="6"/>
                <w:sz w:val="21"/>
                <w:szCs w:val="21"/>
                <w:highlight w:val="none"/>
              </w:rPr>
              <w:t>）</w:t>
            </w:r>
          </w:p>
        </w:tc>
      </w:tr>
      <w:tr w14:paraId="1DE1AB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612" w:type="dxa"/>
            <w:vMerge w:val="continue"/>
            <w:tcBorders>
              <w:top w:val="nil"/>
              <w:left w:val="nil"/>
              <w:bottom w:val="nil"/>
            </w:tcBorders>
            <w:textDirection w:val="tbRlV"/>
            <w:vAlign w:val="center"/>
          </w:tcPr>
          <w:p w14:paraId="236708D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Align w:val="center"/>
          </w:tcPr>
          <w:p w14:paraId="51618E12">
            <w:pPr>
              <w:pStyle w:val="35"/>
              <w:keepNext w:val="0"/>
              <w:keepLines w:val="0"/>
              <w:pageBreakBefore w:val="0"/>
              <w:kinsoku/>
              <w:wordWrap w:val="0"/>
              <w:overflowPunct/>
              <w:topLinePunct/>
              <w:autoSpaceDE/>
              <w:autoSpaceDN/>
              <w:bidi w:val="0"/>
              <w:adjustRightInd w:val="0"/>
              <w:snapToGrid w:val="0"/>
              <w:spacing w:before="60" w:line="229" w:lineRule="auto"/>
              <w:ind w:left="233"/>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固体废物</w:t>
            </w:r>
          </w:p>
        </w:tc>
        <w:tc>
          <w:tcPr>
            <w:tcW w:w="3536" w:type="dxa"/>
            <w:vAlign w:val="center"/>
          </w:tcPr>
          <w:p w14:paraId="1693B72B">
            <w:pPr>
              <w:pStyle w:val="35"/>
              <w:keepNext w:val="0"/>
              <w:keepLines w:val="0"/>
              <w:pageBreakBefore w:val="0"/>
              <w:kinsoku/>
              <w:wordWrap w:val="0"/>
              <w:overflowPunct/>
              <w:topLinePunct/>
              <w:autoSpaceDE/>
              <w:autoSpaceDN/>
              <w:bidi w:val="0"/>
              <w:adjustRightInd w:val="0"/>
              <w:snapToGrid w:val="0"/>
              <w:spacing w:before="60" w:line="229" w:lineRule="auto"/>
              <w:ind w:left="57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8"/>
                <w:sz w:val="21"/>
                <w:szCs w:val="21"/>
                <w:highlight w:val="none"/>
              </w:rPr>
              <w:t>建筑物施工和施工人员生活</w:t>
            </w:r>
          </w:p>
        </w:tc>
        <w:tc>
          <w:tcPr>
            <w:tcW w:w="3627" w:type="dxa"/>
            <w:tcBorders>
              <w:right w:val="nil"/>
            </w:tcBorders>
            <w:vAlign w:val="center"/>
          </w:tcPr>
          <w:p w14:paraId="59D5E235">
            <w:pPr>
              <w:pStyle w:val="35"/>
              <w:keepNext w:val="0"/>
              <w:keepLines w:val="0"/>
              <w:pageBreakBefore w:val="0"/>
              <w:kinsoku/>
              <w:wordWrap w:val="0"/>
              <w:overflowPunct/>
              <w:topLinePunct/>
              <w:autoSpaceDE/>
              <w:autoSpaceDN/>
              <w:bidi w:val="0"/>
              <w:adjustRightInd w:val="0"/>
              <w:snapToGrid w:val="0"/>
              <w:spacing w:before="60" w:line="229" w:lineRule="auto"/>
              <w:ind w:left="521"/>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9"/>
                <w:sz w:val="21"/>
                <w:szCs w:val="21"/>
                <w:highlight w:val="none"/>
              </w:rPr>
              <w:t>建筑垃圾、施工人员生活垃圾</w:t>
            </w:r>
          </w:p>
        </w:tc>
      </w:tr>
      <w:tr w14:paraId="466062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612" w:type="dxa"/>
            <w:vMerge w:val="continue"/>
            <w:tcBorders>
              <w:top w:val="nil"/>
              <w:left w:val="nil"/>
            </w:tcBorders>
            <w:textDirection w:val="tbRlV"/>
            <w:vAlign w:val="center"/>
          </w:tcPr>
          <w:p w14:paraId="646AA8D5">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Align w:val="center"/>
          </w:tcPr>
          <w:p w14:paraId="35D913E4">
            <w:pPr>
              <w:pStyle w:val="35"/>
              <w:keepNext w:val="0"/>
              <w:keepLines w:val="0"/>
              <w:pageBreakBefore w:val="0"/>
              <w:kinsoku/>
              <w:wordWrap w:val="0"/>
              <w:overflowPunct/>
              <w:topLinePunct/>
              <w:autoSpaceDE/>
              <w:autoSpaceDN/>
              <w:bidi w:val="0"/>
              <w:adjustRightInd w:val="0"/>
              <w:snapToGrid w:val="0"/>
              <w:spacing w:before="61" w:line="230" w:lineRule="auto"/>
              <w:ind w:left="416"/>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4"/>
                <w:sz w:val="21"/>
                <w:szCs w:val="21"/>
                <w:highlight w:val="none"/>
              </w:rPr>
              <w:t>土壤</w:t>
            </w:r>
          </w:p>
        </w:tc>
        <w:tc>
          <w:tcPr>
            <w:tcW w:w="3536" w:type="dxa"/>
            <w:vAlign w:val="center"/>
          </w:tcPr>
          <w:p w14:paraId="581D6B50">
            <w:pPr>
              <w:pStyle w:val="35"/>
              <w:keepNext w:val="0"/>
              <w:keepLines w:val="0"/>
              <w:pageBreakBefore w:val="0"/>
              <w:kinsoku/>
              <w:wordWrap w:val="0"/>
              <w:overflowPunct/>
              <w:topLinePunct/>
              <w:autoSpaceDE/>
              <w:autoSpaceDN/>
              <w:bidi w:val="0"/>
              <w:adjustRightInd w:val="0"/>
              <w:snapToGrid w:val="0"/>
              <w:spacing w:before="61" w:line="229" w:lineRule="auto"/>
              <w:ind w:left="127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7"/>
                <w:sz w:val="21"/>
                <w:szCs w:val="21"/>
                <w:highlight w:val="none"/>
              </w:rPr>
              <w:t>建筑物施工</w:t>
            </w:r>
          </w:p>
        </w:tc>
        <w:tc>
          <w:tcPr>
            <w:tcW w:w="3627" w:type="dxa"/>
            <w:tcBorders>
              <w:right w:val="nil"/>
            </w:tcBorders>
            <w:vAlign w:val="center"/>
          </w:tcPr>
          <w:p w14:paraId="798F1EF8">
            <w:pPr>
              <w:pStyle w:val="35"/>
              <w:keepNext w:val="0"/>
              <w:keepLines w:val="0"/>
              <w:pageBreakBefore w:val="0"/>
              <w:kinsoku/>
              <w:wordWrap w:val="0"/>
              <w:overflowPunct/>
              <w:topLinePunct/>
              <w:autoSpaceDE/>
              <w:autoSpaceDN/>
              <w:bidi w:val="0"/>
              <w:adjustRightInd w:val="0"/>
              <w:snapToGrid w:val="0"/>
              <w:spacing w:before="61" w:line="229" w:lineRule="auto"/>
              <w:ind w:left="1216"/>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8"/>
                <w:sz w:val="21"/>
                <w:szCs w:val="21"/>
                <w:highlight w:val="none"/>
              </w:rPr>
              <w:t>破坏土壤结构</w:t>
            </w:r>
          </w:p>
        </w:tc>
      </w:tr>
      <w:tr w14:paraId="1F0112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612" w:type="dxa"/>
            <w:vMerge w:val="restart"/>
            <w:tcBorders>
              <w:left w:val="nil"/>
              <w:bottom w:val="nil"/>
            </w:tcBorders>
            <w:textDirection w:val="tbRlV"/>
            <w:vAlign w:val="center"/>
          </w:tcPr>
          <w:p w14:paraId="0A356A0B">
            <w:pPr>
              <w:pStyle w:val="35"/>
              <w:keepNext w:val="0"/>
              <w:keepLines w:val="0"/>
              <w:pageBreakBefore w:val="0"/>
              <w:kinsoku/>
              <w:wordWrap w:val="0"/>
              <w:overflowPunct/>
              <w:topLinePunct/>
              <w:autoSpaceDE/>
              <w:autoSpaceDN/>
              <w:bidi w:val="0"/>
              <w:adjustRightInd w:val="0"/>
              <w:snapToGrid w:val="0"/>
              <w:spacing w:before="203" w:line="217" w:lineRule="auto"/>
              <w:ind w:left="184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9"/>
                <w:sz w:val="21"/>
                <w:szCs w:val="21"/>
                <w:highlight w:val="none"/>
              </w:rPr>
              <w:t>运行期</w:t>
            </w:r>
          </w:p>
        </w:tc>
        <w:tc>
          <w:tcPr>
            <w:tcW w:w="1229" w:type="dxa"/>
            <w:vMerge w:val="restart"/>
            <w:tcBorders>
              <w:bottom w:val="nil"/>
            </w:tcBorders>
            <w:vAlign w:val="center"/>
          </w:tcPr>
          <w:p w14:paraId="3D96EBB5">
            <w:pPr>
              <w:pStyle w:val="35"/>
              <w:keepNext w:val="0"/>
              <w:keepLines w:val="0"/>
              <w:pageBreakBefore w:val="0"/>
              <w:kinsoku/>
              <w:wordWrap w:val="0"/>
              <w:overflowPunct/>
              <w:topLinePunct/>
              <w:autoSpaceDE/>
              <w:autoSpaceDN/>
              <w:bidi w:val="0"/>
              <w:adjustRightInd w:val="0"/>
              <w:snapToGrid w:val="0"/>
              <w:spacing w:before="62" w:line="229" w:lineRule="auto"/>
              <w:ind w:left="41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5"/>
                <w:sz w:val="21"/>
                <w:szCs w:val="21"/>
                <w:highlight w:val="none"/>
              </w:rPr>
              <w:t>废气</w:t>
            </w:r>
          </w:p>
        </w:tc>
        <w:tc>
          <w:tcPr>
            <w:tcW w:w="3536" w:type="dxa"/>
            <w:vAlign w:val="center"/>
          </w:tcPr>
          <w:p w14:paraId="16378197">
            <w:pPr>
              <w:pStyle w:val="35"/>
              <w:keepNext w:val="0"/>
              <w:keepLines w:val="0"/>
              <w:pageBreakBefore w:val="0"/>
              <w:kinsoku/>
              <w:wordWrap w:val="0"/>
              <w:overflowPunct/>
              <w:topLinePunct/>
              <w:autoSpaceDE/>
              <w:autoSpaceDN/>
              <w:bidi w:val="0"/>
              <w:adjustRightInd w:val="0"/>
              <w:snapToGrid w:val="0"/>
              <w:spacing w:before="63" w:line="230" w:lineRule="auto"/>
              <w:ind w:left="1577"/>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牛舍</w:t>
            </w:r>
          </w:p>
        </w:tc>
        <w:tc>
          <w:tcPr>
            <w:tcW w:w="3627" w:type="dxa"/>
            <w:tcBorders>
              <w:right w:val="nil"/>
            </w:tcBorders>
            <w:vAlign w:val="center"/>
          </w:tcPr>
          <w:p w14:paraId="5CD2ED0D">
            <w:pPr>
              <w:pStyle w:val="35"/>
              <w:keepNext w:val="0"/>
              <w:keepLines w:val="0"/>
              <w:pageBreakBefore w:val="0"/>
              <w:kinsoku/>
              <w:wordWrap w:val="0"/>
              <w:overflowPunct/>
              <w:topLinePunct/>
              <w:autoSpaceDE/>
              <w:autoSpaceDN/>
              <w:bidi w:val="0"/>
              <w:adjustRightInd w:val="0"/>
              <w:snapToGrid w:val="0"/>
              <w:spacing w:before="63" w:line="235" w:lineRule="auto"/>
              <w:ind w:left="871"/>
              <w:textAlignment w:val="baseline"/>
              <w:rPr>
                <w:rFonts w:hint="default" w:ascii="Times New Roman" w:hAnsi="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NH</w:t>
            </w:r>
            <w:r>
              <w:rPr>
                <w:rFonts w:hint="default" w:ascii="Times New Roman" w:hAnsi="Times New Roman" w:eastAsia="Times New Roman" w:cs="Times New Roman"/>
                <w:color w:val="auto"/>
                <w:spacing w:val="6"/>
                <w:position w:val="-2"/>
                <w:sz w:val="21"/>
                <w:szCs w:val="21"/>
                <w:highlight w:val="none"/>
                <w:vertAlign w:val="subscript"/>
              </w:rPr>
              <w:t>3</w:t>
            </w:r>
            <w:r>
              <w:rPr>
                <w:rFonts w:hint="default" w:ascii="Times New Roman" w:hAnsi="Times New Roman" w:cs="Times New Roman"/>
                <w:color w:val="auto"/>
                <w:spacing w:val="6"/>
                <w:sz w:val="21"/>
                <w:szCs w:val="21"/>
                <w:highlight w:val="none"/>
              </w:rPr>
              <w:t>、</w:t>
            </w:r>
            <w:r>
              <w:rPr>
                <w:rFonts w:hint="default" w:ascii="Times New Roman" w:hAnsi="Times New Roman" w:eastAsia="Times New Roman" w:cs="Times New Roman"/>
                <w:color w:val="auto"/>
                <w:spacing w:val="6"/>
                <w:sz w:val="21"/>
                <w:szCs w:val="21"/>
                <w:highlight w:val="none"/>
              </w:rPr>
              <w:t>H</w:t>
            </w:r>
            <w:r>
              <w:rPr>
                <w:rFonts w:hint="default" w:ascii="Times New Roman" w:hAnsi="Times New Roman" w:eastAsia="Times New Roman" w:cs="Times New Roman"/>
                <w:color w:val="auto"/>
                <w:spacing w:val="6"/>
                <w:position w:val="-2"/>
                <w:sz w:val="21"/>
                <w:szCs w:val="21"/>
                <w:highlight w:val="none"/>
                <w:vertAlign w:val="subscript"/>
              </w:rPr>
              <w:t>2</w:t>
            </w:r>
            <w:r>
              <w:rPr>
                <w:rFonts w:hint="default" w:ascii="Times New Roman" w:hAnsi="Times New Roman" w:eastAsia="Times New Roman" w:cs="Times New Roman"/>
                <w:color w:val="auto"/>
                <w:spacing w:val="6"/>
                <w:sz w:val="21"/>
                <w:szCs w:val="21"/>
                <w:highlight w:val="none"/>
              </w:rPr>
              <w:t>S</w:t>
            </w:r>
            <w:r>
              <w:rPr>
                <w:rFonts w:hint="default" w:ascii="Times New Roman" w:hAnsi="Times New Roman" w:cs="Times New Roman"/>
                <w:color w:val="auto"/>
                <w:spacing w:val="6"/>
                <w:sz w:val="21"/>
                <w:szCs w:val="21"/>
                <w:highlight w:val="none"/>
              </w:rPr>
              <w:t>、臭气浓度</w:t>
            </w:r>
          </w:p>
        </w:tc>
      </w:tr>
      <w:tr w14:paraId="00D7AD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12" w:type="dxa"/>
            <w:vMerge w:val="continue"/>
            <w:tcBorders>
              <w:top w:val="nil"/>
              <w:left w:val="nil"/>
              <w:bottom w:val="nil"/>
            </w:tcBorders>
            <w:textDirection w:val="tbRlV"/>
            <w:vAlign w:val="center"/>
          </w:tcPr>
          <w:p w14:paraId="1498A0E6">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Merge w:val="continue"/>
            <w:tcBorders>
              <w:top w:val="nil"/>
              <w:bottom w:val="nil"/>
            </w:tcBorders>
            <w:vAlign w:val="center"/>
          </w:tcPr>
          <w:p w14:paraId="026C2763">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3536" w:type="dxa"/>
            <w:vAlign w:val="center"/>
          </w:tcPr>
          <w:p w14:paraId="7A0564F3">
            <w:pPr>
              <w:pStyle w:val="35"/>
              <w:keepNext w:val="0"/>
              <w:keepLines w:val="0"/>
              <w:pageBreakBefore w:val="0"/>
              <w:kinsoku/>
              <w:wordWrap w:val="0"/>
              <w:overflowPunct/>
              <w:topLinePunct/>
              <w:autoSpaceDE/>
              <w:autoSpaceDN/>
              <w:bidi w:val="0"/>
              <w:adjustRightInd w:val="0"/>
              <w:snapToGrid w:val="0"/>
              <w:spacing w:before="65" w:line="228" w:lineRule="auto"/>
              <w:ind w:left="137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7"/>
                <w:sz w:val="21"/>
                <w:szCs w:val="21"/>
                <w:highlight w:val="none"/>
                <w:lang w:val="en-US" w:eastAsia="zh-CN"/>
              </w:rPr>
              <w:t>粪污储存间</w:t>
            </w:r>
          </w:p>
        </w:tc>
        <w:tc>
          <w:tcPr>
            <w:tcW w:w="3627" w:type="dxa"/>
            <w:tcBorders>
              <w:right w:val="nil"/>
            </w:tcBorders>
            <w:vAlign w:val="center"/>
          </w:tcPr>
          <w:p w14:paraId="2381E552">
            <w:pPr>
              <w:pStyle w:val="35"/>
              <w:keepNext w:val="0"/>
              <w:keepLines w:val="0"/>
              <w:pageBreakBefore w:val="0"/>
              <w:kinsoku/>
              <w:wordWrap w:val="0"/>
              <w:overflowPunct/>
              <w:topLinePunct/>
              <w:autoSpaceDE/>
              <w:autoSpaceDN/>
              <w:bidi w:val="0"/>
              <w:adjustRightInd w:val="0"/>
              <w:snapToGrid w:val="0"/>
              <w:spacing w:before="65" w:line="234" w:lineRule="auto"/>
              <w:ind w:left="871"/>
              <w:textAlignment w:val="baseline"/>
              <w:rPr>
                <w:rFonts w:hint="default" w:ascii="Times New Roman" w:hAnsi="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NH</w:t>
            </w:r>
            <w:r>
              <w:rPr>
                <w:rFonts w:hint="default" w:ascii="Times New Roman" w:hAnsi="Times New Roman" w:eastAsia="Times New Roman" w:cs="Times New Roman"/>
                <w:color w:val="auto"/>
                <w:spacing w:val="6"/>
                <w:position w:val="-2"/>
                <w:sz w:val="21"/>
                <w:szCs w:val="21"/>
                <w:highlight w:val="none"/>
                <w:vertAlign w:val="subscript"/>
              </w:rPr>
              <w:t>3</w:t>
            </w:r>
            <w:r>
              <w:rPr>
                <w:rFonts w:hint="default" w:ascii="Times New Roman" w:hAnsi="Times New Roman" w:cs="Times New Roman"/>
                <w:color w:val="auto"/>
                <w:spacing w:val="6"/>
                <w:sz w:val="21"/>
                <w:szCs w:val="21"/>
                <w:highlight w:val="none"/>
              </w:rPr>
              <w:t>、</w:t>
            </w:r>
            <w:r>
              <w:rPr>
                <w:rFonts w:hint="default" w:ascii="Times New Roman" w:hAnsi="Times New Roman" w:eastAsia="Times New Roman" w:cs="Times New Roman"/>
                <w:color w:val="auto"/>
                <w:spacing w:val="6"/>
                <w:sz w:val="21"/>
                <w:szCs w:val="21"/>
                <w:highlight w:val="none"/>
              </w:rPr>
              <w:t>H</w:t>
            </w:r>
            <w:r>
              <w:rPr>
                <w:rFonts w:hint="default" w:ascii="Times New Roman" w:hAnsi="Times New Roman" w:eastAsia="Times New Roman" w:cs="Times New Roman"/>
                <w:color w:val="auto"/>
                <w:spacing w:val="6"/>
                <w:position w:val="-2"/>
                <w:sz w:val="21"/>
                <w:szCs w:val="21"/>
                <w:highlight w:val="none"/>
                <w:vertAlign w:val="subscript"/>
              </w:rPr>
              <w:t>2</w:t>
            </w:r>
            <w:r>
              <w:rPr>
                <w:rFonts w:hint="default" w:ascii="Times New Roman" w:hAnsi="Times New Roman" w:eastAsia="Times New Roman" w:cs="Times New Roman"/>
                <w:color w:val="auto"/>
                <w:spacing w:val="6"/>
                <w:sz w:val="21"/>
                <w:szCs w:val="21"/>
                <w:highlight w:val="none"/>
              </w:rPr>
              <w:t>S</w:t>
            </w:r>
            <w:r>
              <w:rPr>
                <w:rFonts w:hint="default" w:ascii="Times New Roman" w:hAnsi="Times New Roman" w:cs="Times New Roman"/>
                <w:color w:val="auto"/>
                <w:spacing w:val="6"/>
                <w:sz w:val="21"/>
                <w:szCs w:val="21"/>
                <w:highlight w:val="none"/>
              </w:rPr>
              <w:t>、臭气浓度</w:t>
            </w:r>
          </w:p>
        </w:tc>
      </w:tr>
      <w:tr w14:paraId="411D8F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612" w:type="dxa"/>
            <w:vMerge w:val="continue"/>
            <w:tcBorders>
              <w:top w:val="nil"/>
              <w:left w:val="nil"/>
              <w:bottom w:val="nil"/>
            </w:tcBorders>
            <w:textDirection w:val="tbRlV"/>
            <w:vAlign w:val="center"/>
          </w:tcPr>
          <w:p w14:paraId="040ECFD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Merge w:val="continue"/>
            <w:tcBorders>
              <w:top w:val="nil"/>
            </w:tcBorders>
            <w:vAlign w:val="center"/>
          </w:tcPr>
          <w:p w14:paraId="4E558B0C">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3536" w:type="dxa"/>
            <w:vAlign w:val="center"/>
          </w:tcPr>
          <w:p w14:paraId="7F27291D">
            <w:pPr>
              <w:pStyle w:val="35"/>
              <w:keepNext w:val="0"/>
              <w:keepLines w:val="0"/>
              <w:pageBreakBefore w:val="0"/>
              <w:kinsoku/>
              <w:wordWrap w:val="0"/>
              <w:overflowPunct/>
              <w:topLinePunct/>
              <w:autoSpaceDE/>
              <w:autoSpaceDN/>
              <w:bidi w:val="0"/>
              <w:adjustRightInd w:val="0"/>
              <w:snapToGrid w:val="0"/>
              <w:spacing w:before="68" w:line="228" w:lineRule="auto"/>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7"/>
                <w:sz w:val="21"/>
                <w:szCs w:val="21"/>
                <w:highlight w:val="none"/>
              </w:rPr>
              <w:t>生活污水</w:t>
            </w:r>
          </w:p>
        </w:tc>
        <w:tc>
          <w:tcPr>
            <w:tcW w:w="3627" w:type="dxa"/>
            <w:tcBorders>
              <w:right w:val="nil"/>
            </w:tcBorders>
            <w:vAlign w:val="center"/>
          </w:tcPr>
          <w:p w14:paraId="414AC692">
            <w:pPr>
              <w:pStyle w:val="35"/>
              <w:keepNext w:val="0"/>
              <w:keepLines w:val="0"/>
              <w:pageBreakBefore w:val="0"/>
              <w:kinsoku/>
              <w:wordWrap w:val="0"/>
              <w:overflowPunct/>
              <w:topLinePunct/>
              <w:autoSpaceDE/>
              <w:autoSpaceDN/>
              <w:bidi w:val="0"/>
              <w:adjustRightInd w:val="0"/>
              <w:snapToGrid w:val="0"/>
              <w:spacing w:before="68" w:line="230" w:lineRule="auto"/>
              <w:ind w:left="108"/>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BOD</w:t>
            </w:r>
            <w:r>
              <w:rPr>
                <w:rFonts w:hint="default" w:ascii="Times New Roman" w:hAnsi="Times New Roman" w:eastAsia="Times New Roman" w:cs="Times New Roman"/>
                <w:color w:val="auto"/>
                <w:spacing w:val="2"/>
                <w:position w:val="-2"/>
                <w:sz w:val="21"/>
                <w:szCs w:val="21"/>
                <w:highlight w:val="none"/>
                <w:vertAlign w:val="subscript"/>
              </w:rPr>
              <w:t>5</w:t>
            </w:r>
            <w:r>
              <w:rPr>
                <w:rFonts w:hint="default" w:ascii="Times New Roman" w:hAnsi="Times New Roman" w:cs="Times New Roman"/>
                <w:color w:val="auto"/>
                <w:spacing w:val="2"/>
                <w:sz w:val="21"/>
                <w:szCs w:val="21"/>
                <w:highlight w:val="none"/>
              </w:rPr>
              <w:t>、</w:t>
            </w:r>
            <w:r>
              <w:rPr>
                <w:rFonts w:hint="default" w:ascii="Times New Roman" w:hAnsi="Times New Roman" w:eastAsia="Times New Roman" w:cs="Times New Roman"/>
                <w:color w:val="auto"/>
                <w:sz w:val="21"/>
                <w:szCs w:val="21"/>
                <w:highlight w:val="none"/>
              </w:rPr>
              <w:t>COD</w:t>
            </w:r>
            <w:r>
              <w:rPr>
                <w:rFonts w:hint="default" w:ascii="Times New Roman" w:hAnsi="Times New Roman" w:cs="Times New Roman"/>
                <w:color w:val="auto"/>
                <w:spacing w:val="2"/>
                <w:sz w:val="21"/>
                <w:szCs w:val="21"/>
                <w:highlight w:val="none"/>
              </w:rPr>
              <w:t>、</w:t>
            </w:r>
            <w:r>
              <w:rPr>
                <w:rFonts w:hint="default" w:ascii="Times New Roman" w:hAnsi="Times New Roman" w:eastAsia="Times New Roman" w:cs="Times New Roman"/>
                <w:color w:val="auto"/>
                <w:sz w:val="21"/>
                <w:szCs w:val="21"/>
                <w:highlight w:val="none"/>
              </w:rPr>
              <w:t>NH</w:t>
            </w:r>
            <w:r>
              <w:rPr>
                <w:rFonts w:hint="default" w:ascii="Times New Roman" w:hAnsi="Times New Roman" w:eastAsia="Times New Roman" w:cs="Times New Roman"/>
                <w:color w:val="auto"/>
                <w:spacing w:val="2"/>
                <w:position w:val="-2"/>
                <w:sz w:val="21"/>
                <w:szCs w:val="21"/>
                <w:highlight w:val="none"/>
                <w:vertAlign w:val="subscript"/>
              </w:rPr>
              <w:t>3</w:t>
            </w:r>
            <w:r>
              <w:rPr>
                <w:rFonts w:hint="default" w:ascii="Times New Roman" w:hAnsi="Times New Roman" w:eastAsia="Times New Roman" w:cs="Times New Roman"/>
                <w:color w:val="auto"/>
                <w:spacing w:val="2"/>
                <w:sz w:val="21"/>
                <w:szCs w:val="21"/>
                <w:highlight w:val="none"/>
              </w:rPr>
              <w:t>-N</w:t>
            </w:r>
            <w:r>
              <w:rPr>
                <w:rFonts w:hint="default" w:ascii="Times New Roman" w:hAnsi="Times New Roman" w:cs="Times New Roman"/>
                <w:color w:val="auto"/>
                <w:spacing w:val="2"/>
                <w:sz w:val="21"/>
                <w:szCs w:val="21"/>
                <w:highlight w:val="none"/>
              </w:rPr>
              <w:t>、</w:t>
            </w:r>
            <w:r>
              <w:rPr>
                <w:rFonts w:hint="default" w:ascii="Times New Roman" w:hAnsi="Times New Roman" w:eastAsia="Times New Roman" w:cs="Times New Roman"/>
                <w:color w:val="auto"/>
                <w:sz w:val="21"/>
                <w:szCs w:val="21"/>
                <w:highlight w:val="none"/>
              </w:rPr>
              <w:t>SS</w:t>
            </w:r>
            <w:r>
              <w:rPr>
                <w:rFonts w:hint="default" w:ascii="Times New Roman" w:hAnsi="Times New Roman" w:cs="Times New Roman"/>
                <w:color w:val="auto"/>
                <w:spacing w:val="2"/>
                <w:sz w:val="21"/>
                <w:szCs w:val="21"/>
                <w:highlight w:val="none"/>
              </w:rPr>
              <w:t>等</w:t>
            </w:r>
          </w:p>
        </w:tc>
      </w:tr>
      <w:tr w14:paraId="2EB2A4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612" w:type="dxa"/>
            <w:vMerge w:val="continue"/>
            <w:tcBorders>
              <w:top w:val="nil"/>
              <w:left w:val="nil"/>
              <w:bottom w:val="nil"/>
            </w:tcBorders>
            <w:textDirection w:val="tbRlV"/>
            <w:vAlign w:val="center"/>
          </w:tcPr>
          <w:p w14:paraId="6F33EEC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Align w:val="center"/>
          </w:tcPr>
          <w:p w14:paraId="4D66243C">
            <w:pPr>
              <w:pStyle w:val="35"/>
              <w:keepNext w:val="0"/>
              <w:keepLines w:val="0"/>
              <w:pageBreakBefore w:val="0"/>
              <w:kinsoku/>
              <w:wordWrap w:val="0"/>
              <w:overflowPunct/>
              <w:topLinePunct/>
              <w:autoSpaceDE/>
              <w:autoSpaceDN/>
              <w:bidi w:val="0"/>
              <w:adjustRightInd w:val="0"/>
              <w:snapToGrid w:val="0"/>
              <w:spacing w:before="70" w:line="228" w:lineRule="auto"/>
              <w:ind w:left="42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噪声</w:t>
            </w:r>
          </w:p>
        </w:tc>
        <w:tc>
          <w:tcPr>
            <w:tcW w:w="3536" w:type="dxa"/>
            <w:vAlign w:val="center"/>
          </w:tcPr>
          <w:p w14:paraId="1206D4C2">
            <w:pPr>
              <w:pStyle w:val="35"/>
              <w:keepNext w:val="0"/>
              <w:keepLines w:val="0"/>
              <w:pageBreakBefore w:val="0"/>
              <w:kinsoku/>
              <w:wordWrap w:val="0"/>
              <w:overflowPunct/>
              <w:topLinePunct/>
              <w:autoSpaceDE/>
              <w:autoSpaceDN/>
              <w:bidi w:val="0"/>
              <w:adjustRightInd w:val="0"/>
              <w:snapToGrid w:val="0"/>
              <w:spacing w:before="69" w:line="228" w:lineRule="auto"/>
              <w:ind w:left="677"/>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8"/>
                <w:sz w:val="21"/>
                <w:szCs w:val="21"/>
                <w:highlight w:val="none"/>
              </w:rPr>
              <w:t>牛只叫声、风机等</w:t>
            </w:r>
          </w:p>
        </w:tc>
        <w:tc>
          <w:tcPr>
            <w:tcW w:w="3627" w:type="dxa"/>
            <w:tcBorders>
              <w:right w:val="nil"/>
            </w:tcBorders>
            <w:vAlign w:val="center"/>
          </w:tcPr>
          <w:p w14:paraId="50D995E8">
            <w:pPr>
              <w:pStyle w:val="35"/>
              <w:keepNext w:val="0"/>
              <w:keepLines w:val="0"/>
              <w:pageBreakBefore w:val="0"/>
              <w:kinsoku/>
              <w:wordWrap w:val="0"/>
              <w:overflowPunct/>
              <w:topLinePunct/>
              <w:autoSpaceDE/>
              <w:autoSpaceDN/>
              <w:bidi w:val="0"/>
              <w:adjustRightInd w:val="0"/>
              <w:snapToGrid w:val="0"/>
              <w:spacing w:before="70" w:line="222" w:lineRule="auto"/>
              <w:ind w:left="64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等效连续</w:t>
            </w:r>
            <w:r>
              <w:rPr>
                <w:rFonts w:hint="default" w:ascii="Times New Roman" w:hAnsi="Times New Roman" w:eastAsia="Times New Roman" w:cs="Times New Roman"/>
                <w:color w:val="auto"/>
                <w:spacing w:val="6"/>
                <w:sz w:val="21"/>
                <w:szCs w:val="21"/>
                <w:highlight w:val="none"/>
              </w:rPr>
              <w:t>A</w:t>
            </w:r>
            <w:r>
              <w:rPr>
                <w:rFonts w:hint="default" w:ascii="Times New Roman" w:hAnsi="Times New Roman" w:cs="Times New Roman"/>
                <w:color w:val="auto"/>
                <w:spacing w:val="6"/>
                <w:sz w:val="21"/>
                <w:szCs w:val="21"/>
                <w:highlight w:val="none"/>
              </w:rPr>
              <w:t>声级</w:t>
            </w:r>
            <w:r>
              <w:rPr>
                <w:rFonts w:hint="default" w:ascii="Times New Roman" w:hAnsi="Times New Roman" w:eastAsia="Times New Roman" w:cs="Times New Roman"/>
                <w:color w:val="auto"/>
                <w:sz w:val="21"/>
                <w:szCs w:val="21"/>
                <w:highlight w:val="none"/>
              </w:rPr>
              <w:t>Leq</w:t>
            </w:r>
            <w:r>
              <w:rPr>
                <w:rFonts w:hint="default" w:ascii="Times New Roman" w:hAnsi="Times New Roman" w:cs="Times New Roman"/>
                <w:color w:val="auto"/>
                <w:spacing w:val="6"/>
                <w:sz w:val="21"/>
                <w:szCs w:val="21"/>
                <w:highlight w:val="none"/>
              </w:rPr>
              <w:t>（</w:t>
            </w:r>
            <w:r>
              <w:rPr>
                <w:rFonts w:hint="default" w:ascii="Times New Roman" w:hAnsi="Times New Roman" w:eastAsia="Times New Roman" w:cs="Times New Roman"/>
                <w:color w:val="auto"/>
                <w:spacing w:val="6"/>
                <w:sz w:val="21"/>
                <w:szCs w:val="21"/>
                <w:highlight w:val="none"/>
              </w:rPr>
              <w:t>A</w:t>
            </w:r>
            <w:r>
              <w:rPr>
                <w:rFonts w:hint="default" w:ascii="Times New Roman" w:hAnsi="Times New Roman" w:cs="Times New Roman"/>
                <w:color w:val="auto"/>
                <w:spacing w:val="6"/>
                <w:sz w:val="21"/>
                <w:szCs w:val="21"/>
                <w:highlight w:val="none"/>
              </w:rPr>
              <w:t>）</w:t>
            </w:r>
          </w:p>
        </w:tc>
      </w:tr>
      <w:tr w14:paraId="0E6B3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12" w:type="dxa"/>
            <w:vMerge w:val="continue"/>
            <w:tcBorders>
              <w:top w:val="nil"/>
              <w:left w:val="nil"/>
              <w:bottom w:val="nil"/>
            </w:tcBorders>
            <w:textDirection w:val="tbRlV"/>
            <w:vAlign w:val="center"/>
          </w:tcPr>
          <w:p w14:paraId="1D8AA15C">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Merge w:val="restart"/>
            <w:tcBorders>
              <w:bottom w:val="nil"/>
            </w:tcBorders>
            <w:vAlign w:val="center"/>
          </w:tcPr>
          <w:p w14:paraId="22941DC2">
            <w:pPr>
              <w:pStyle w:val="35"/>
              <w:keepNext w:val="0"/>
              <w:keepLines w:val="0"/>
              <w:pageBreakBefore w:val="0"/>
              <w:kinsoku/>
              <w:wordWrap w:val="0"/>
              <w:overflowPunct/>
              <w:topLinePunct/>
              <w:autoSpaceDE/>
              <w:autoSpaceDN/>
              <w:bidi w:val="0"/>
              <w:adjustRightInd w:val="0"/>
              <w:snapToGrid w:val="0"/>
              <w:spacing w:before="61" w:line="229" w:lineRule="auto"/>
              <w:ind w:left="233"/>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固体废物</w:t>
            </w:r>
          </w:p>
        </w:tc>
        <w:tc>
          <w:tcPr>
            <w:tcW w:w="3536" w:type="dxa"/>
            <w:vAlign w:val="center"/>
          </w:tcPr>
          <w:p w14:paraId="08B13DC8">
            <w:pPr>
              <w:pStyle w:val="35"/>
              <w:keepNext w:val="0"/>
              <w:keepLines w:val="0"/>
              <w:pageBreakBefore w:val="0"/>
              <w:kinsoku/>
              <w:wordWrap w:val="0"/>
              <w:overflowPunct/>
              <w:topLinePunct/>
              <w:autoSpaceDE/>
              <w:autoSpaceDN/>
              <w:bidi w:val="0"/>
              <w:adjustRightInd w:val="0"/>
              <w:snapToGrid w:val="0"/>
              <w:spacing w:before="71" w:line="228" w:lineRule="auto"/>
              <w:ind w:left="137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生产过程</w:t>
            </w:r>
          </w:p>
        </w:tc>
        <w:tc>
          <w:tcPr>
            <w:tcW w:w="3627" w:type="dxa"/>
            <w:tcBorders>
              <w:right w:val="nil"/>
            </w:tcBorders>
            <w:vAlign w:val="center"/>
          </w:tcPr>
          <w:p w14:paraId="18F856F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牛舍更换的发酵床垫料</w:t>
            </w:r>
          </w:p>
        </w:tc>
      </w:tr>
      <w:tr w14:paraId="4AC45F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612" w:type="dxa"/>
            <w:vMerge w:val="continue"/>
            <w:tcBorders>
              <w:top w:val="nil"/>
              <w:left w:val="nil"/>
              <w:bottom w:val="nil"/>
            </w:tcBorders>
            <w:textDirection w:val="tbRlV"/>
            <w:vAlign w:val="center"/>
          </w:tcPr>
          <w:p w14:paraId="19BCEA4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Merge w:val="continue"/>
            <w:tcBorders>
              <w:top w:val="nil"/>
              <w:bottom w:val="nil"/>
            </w:tcBorders>
            <w:vAlign w:val="center"/>
          </w:tcPr>
          <w:p w14:paraId="29B4EF16">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3536" w:type="dxa"/>
            <w:vAlign w:val="center"/>
          </w:tcPr>
          <w:p w14:paraId="68193755">
            <w:pPr>
              <w:pStyle w:val="35"/>
              <w:keepNext w:val="0"/>
              <w:keepLines w:val="0"/>
              <w:pageBreakBefore w:val="0"/>
              <w:kinsoku/>
              <w:wordWrap w:val="0"/>
              <w:overflowPunct/>
              <w:topLinePunct/>
              <w:autoSpaceDE/>
              <w:autoSpaceDN/>
              <w:bidi w:val="0"/>
              <w:adjustRightInd w:val="0"/>
              <w:snapToGrid w:val="0"/>
              <w:spacing w:before="73" w:line="225" w:lineRule="auto"/>
              <w:ind w:left="137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7"/>
                <w:sz w:val="21"/>
                <w:szCs w:val="21"/>
                <w:highlight w:val="none"/>
              </w:rPr>
              <w:t>职工生活</w:t>
            </w:r>
          </w:p>
        </w:tc>
        <w:tc>
          <w:tcPr>
            <w:tcW w:w="3627" w:type="dxa"/>
            <w:tcBorders>
              <w:right w:val="nil"/>
            </w:tcBorders>
            <w:vAlign w:val="center"/>
          </w:tcPr>
          <w:p w14:paraId="7E10195A">
            <w:pPr>
              <w:pStyle w:val="35"/>
              <w:keepNext w:val="0"/>
              <w:keepLines w:val="0"/>
              <w:pageBreakBefore w:val="0"/>
              <w:kinsoku/>
              <w:wordWrap w:val="0"/>
              <w:overflowPunct/>
              <w:topLinePunct/>
              <w:autoSpaceDE/>
              <w:autoSpaceDN/>
              <w:bidi w:val="0"/>
              <w:adjustRightInd w:val="0"/>
              <w:snapToGrid w:val="0"/>
              <w:spacing w:before="73" w:line="225" w:lineRule="auto"/>
              <w:ind w:left="1420"/>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生活垃圾</w:t>
            </w:r>
          </w:p>
        </w:tc>
      </w:tr>
      <w:tr w14:paraId="6E5F1F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12" w:type="dxa"/>
            <w:vMerge w:val="continue"/>
            <w:tcBorders>
              <w:top w:val="nil"/>
              <w:left w:val="nil"/>
              <w:bottom w:val="nil"/>
            </w:tcBorders>
            <w:textDirection w:val="tbRlV"/>
            <w:vAlign w:val="center"/>
          </w:tcPr>
          <w:p w14:paraId="79661DBC">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Merge w:val="continue"/>
            <w:tcBorders>
              <w:top w:val="nil"/>
              <w:bottom w:val="nil"/>
            </w:tcBorders>
            <w:vAlign w:val="center"/>
          </w:tcPr>
          <w:p w14:paraId="5EC565F1">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3536" w:type="dxa"/>
            <w:vAlign w:val="center"/>
          </w:tcPr>
          <w:p w14:paraId="6560B5B3">
            <w:pPr>
              <w:pStyle w:val="35"/>
              <w:keepNext w:val="0"/>
              <w:keepLines w:val="0"/>
              <w:pageBreakBefore w:val="0"/>
              <w:kinsoku/>
              <w:wordWrap w:val="0"/>
              <w:overflowPunct/>
              <w:topLinePunct/>
              <w:autoSpaceDE/>
              <w:autoSpaceDN/>
              <w:bidi w:val="0"/>
              <w:adjustRightInd w:val="0"/>
              <w:snapToGrid w:val="0"/>
              <w:spacing w:before="76" w:line="223" w:lineRule="auto"/>
              <w:ind w:left="137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生产过程</w:t>
            </w:r>
          </w:p>
        </w:tc>
        <w:tc>
          <w:tcPr>
            <w:tcW w:w="3627" w:type="dxa"/>
            <w:tcBorders>
              <w:right w:val="nil"/>
            </w:tcBorders>
            <w:vAlign w:val="center"/>
          </w:tcPr>
          <w:p w14:paraId="7B5A687B">
            <w:pPr>
              <w:pStyle w:val="35"/>
              <w:keepNext w:val="0"/>
              <w:keepLines w:val="0"/>
              <w:pageBreakBefore w:val="0"/>
              <w:kinsoku/>
              <w:wordWrap w:val="0"/>
              <w:overflowPunct/>
              <w:topLinePunct/>
              <w:autoSpaceDE/>
              <w:autoSpaceDN/>
              <w:bidi w:val="0"/>
              <w:adjustRightInd w:val="0"/>
              <w:snapToGrid w:val="0"/>
              <w:spacing w:before="76" w:line="223" w:lineRule="auto"/>
              <w:ind w:left="1516"/>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病死牛</w:t>
            </w:r>
          </w:p>
        </w:tc>
      </w:tr>
      <w:tr w14:paraId="3C121E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612" w:type="dxa"/>
            <w:vMerge w:val="continue"/>
            <w:tcBorders>
              <w:top w:val="nil"/>
              <w:left w:val="nil"/>
              <w:bottom w:val="nil"/>
            </w:tcBorders>
            <w:textDirection w:val="tbRlV"/>
            <w:vAlign w:val="center"/>
          </w:tcPr>
          <w:p w14:paraId="2D42D90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Merge w:val="continue"/>
            <w:tcBorders>
              <w:top w:val="nil"/>
              <w:bottom w:val="nil"/>
            </w:tcBorders>
            <w:vAlign w:val="center"/>
          </w:tcPr>
          <w:p w14:paraId="4C48AF4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3536" w:type="dxa"/>
            <w:tcBorders>
              <w:bottom w:val="single" w:color="000000" w:sz="4" w:space="0"/>
            </w:tcBorders>
            <w:vAlign w:val="center"/>
          </w:tcPr>
          <w:p w14:paraId="1DE16072">
            <w:pPr>
              <w:pStyle w:val="35"/>
              <w:keepNext w:val="0"/>
              <w:keepLines w:val="0"/>
              <w:pageBreakBefore w:val="0"/>
              <w:kinsoku/>
              <w:wordWrap w:val="0"/>
              <w:overflowPunct/>
              <w:topLinePunct/>
              <w:autoSpaceDE/>
              <w:autoSpaceDN/>
              <w:bidi w:val="0"/>
              <w:adjustRightInd w:val="0"/>
              <w:snapToGrid w:val="0"/>
              <w:spacing w:before="77" w:line="222" w:lineRule="auto"/>
              <w:ind w:left="137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生产过程</w:t>
            </w:r>
          </w:p>
        </w:tc>
        <w:tc>
          <w:tcPr>
            <w:tcW w:w="3627" w:type="dxa"/>
            <w:tcBorders>
              <w:bottom w:val="single" w:color="000000" w:sz="4" w:space="0"/>
              <w:right w:val="nil"/>
            </w:tcBorders>
            <w:vAlign w:val="center"/>
          </w:tcPr>
          <w:p w14:paraId="1C0EDC3D">
            <w:pPr>
              <w:pStyle w:val="35"/>
              <w:keepNext w:val="0"/>
              <w:keepLines w:val="0"/>
              <w:pageBreakBefore w:val="0"/>
              <w:kinsoku/>
              <w:wordWrap w:val="0"/>
              <w:overflowPunct/>
              <w:topLinePunct/>
              <w:autoSpaceDE/>
              <w:autoSpaceDN/>
              <w:bidi w:val="0"/>
              <w:adjustRightInd w:val="0"/>
              <w:snapToGrid w:val="0"/>
              <w:spacing w:before="77" w:line="222" w:lineRule="auto"/>
              <w:jc w:val="center"/>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pacing w:val="5"/>
                <w:sz w:val="21"/>
                <w:szCs w:val="21"/>
                <w:highlight w:val="none"/>
                <w:lang w:eastAsia="zh-CN"/>
              </w:rPr>
              <w:t>分娩废物</w:t>
            </w:r>
          </w:p>
        </w:tc>
      </w:tr>
      <w:tr w14:paraId="075833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2" w:hRule="atLeast"/>
          <w:jc w:val="center"/>
        </w:trPr>
        <w:tc>
          <w:tcPr>
            <w:tcW w:w="612" w:type="dxa"/>
            <w:vMerge w:val="continue"/>
            <w:tcBorders>
              <w:top w:val="nil"/>
              <w:left w:val="nil"/>
              <w:bottom w:val="single" w:color="000000" w:sz="10" w:space="0"/>
            </w:tcBorders>
            <w:textDirection w:val="tbRlV"/>
            <w:vAlign w:val="center"/>
          </w:tcPr>
          <w:p w14:paraId="00404C31">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229" w:type="dxa"/>
            <w:vMerge w:val="continue"/>
            <w:tcBorders>
              <w:top w:val="nil"/>
              <w:bottom w:val="single" w:color="000000" w:sz="10" w:space="0"/>
            </w:tcBorders>
            <w:vAlign w:val="center"/>
          </w:tcPr>
          <w:p w14:paraId="3BDE8E07">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3536" w:type="dxa"/>
            <w:tcBorders>
              <w:bottom w:val="single" w:color="000000" w:sz="10" w:space="0"/>
            </w:tcBorders>
            <w:vAlign w:val="center"/>
          </w:tcPr>
          <w:p w14:paraId="5950E9AC">
            <w:pPr>
              <w:pStyle w:val="35"/>
              <w:keepNext w:val="0"/>
              <w:keepLines w:val="0"/>
              <w:pageBreakBefore w:val="0"/>
              <w:kinsoku/>
              <w:wordWrap w:val="0"/>
              <w:overflowPunct/>
              <w:topLinePunct/>
              <w:autoSpaceDE/>
              <w:autoSpaceDN/>
              <w:bidi w:val="0"/>
              <w:adjustRightInd w:val="0"/>
              <w:snapToGrid w:val="0"/>
              <w:spacing w:before="79" w:line="229" w:lineRule="auto"/>
              <w:ind w:left="1386"/>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4"/>
                <w:sz w:val="21"/>
                <w:szCs w:val="21"/>
                <w:highlight w:val="none"/>
              </w:rPr>
              <w:t>防疫过程</w:t>
            </w:r>
          </w:p>
        </w:tc>
        <w:tc>
          <w:tcPr>
            <w:tcW w:w="3627" w:type="dxa"/>
            <w:tcBorders>
              <w:bottom w:val="single" w:color="000000" w:sz="10" w:space="0"/>
              <w:right w:val="nil"/>
            </w:tcBorders>
            <w:vAlign w:val="center"/>
          </w:tcPr>
          <w:p w14:paraId="769BC800">
            <w:pPr>
              <w:pStyle w:val="35"/>
              <w:keepNext w:val="0"/>
              <w:keepLines w:val="0"/>
              <w:pageBreakBefore w:val="0"/>
              <w:kinsoku/>
              <w:wordWrap w:val="0"/>
              <w:overflowPunct/>
              <w:topLinePunct/>
              <w:autoSpaceDE/>
              <w:autoSpaceDN/>
              <w:bidi w:val="0"/>
              <w:adjustRightInd w:val="0"/>
              <w:snapToGrid w:val="0"/>
              <w:spacing w:before="79" w:line="229" w:lineRule="auto"/>
              <w:ind w:left="1428"/>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4"/>
                <w:sz w:val="21"/>
                <w:szCs w:val="21"/>
                <w:highlight w:val="none"/>
              </w:rPr>
              <w:t>医疗废物</w:t>
            </w:r>
          </w:p>
        </w:tc>
      </w:tr>
    </w:tbl>
    <w:p w14:paraId="5B24F92B">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72" w:name="_Toc17408"/>
      <w:r>
        <w:rPr>
          <w:rFonts w:hint="default" w:ascii="Times New Roman" w:hAnsi="Times New Roman" w:eastAsia="宋体" w:cs="Times New Roman"/>
          <w:b/>
          <w:bCs/>
          <w:color w:val="auto"/>
          <w:spacing w:val="-2"/>
          <w:sz w:val="24"/>
          <w:szCs w:val="24"/>
          <w:highlight w:val="none"/>
          <w:lang w:val="en-US" w:eastAsia="zh-CN"/>
        </w:rPr>
        <w:t>2.4.2评价因子筛选</w:t>
      </w:r>
      <w:bookmarkEnd w:id="72"/>
    </w:p>
    <w:p w14:paraId="3156C88A">
      <w:pPr>
        <w:keepNext w:val="0"/>
        <w:keepLines w:val="0"/>
        <w:pageBreakBefore w:val="0"/>
        <w:kinsoku/>
        <w:wordWrap w:val="0"/>
        <w:overflowPunct/>
        <w:topLinePunct/>
        <w:autoSpaceDE/>
        <w:autoSpaceDN/>
        <w:bidi w:val="0"/>
        <w:adjustRightInd w:val="0"/>
        <w:snapToGrid w:val="0"/>
        <w:spacing w:before="133" w:line="214" w:lineRule="auto"/>
        <w:ind w:left="325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w:t>
      </w:r>
      <w:r>
        <w:rPr>
          <w:rFonts w:hint="default"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Times New Roman" w:cs="Times New Roman"/>
          <w:b/>
          <w:bCs/>
          <w:color w:val="auto"/>
          <w:spacing w:val="-1"/>
          <w:sz w:val="24"/>
          <w:szCs w:val="24"/>
          <w:highlight w:val="none"/>
        </w:rPr>
        <w:t>-3</w:t>
      </w:r>
      <w:r>
        <w:rPr>
          <w:rFonts w:hint="default" w:ascii="Times New Roman" w:hAnsi="Times New Roman" w:eastAsia="宋体" w:cs="Times New Roman"/>
          <w:b/>
          <w:bCs/>
          <w:color w:val="auto"/>
          <w:spacing w:val="-1"/>
          <w:sz w:val="24"/>
          <w:szCs w:val="24"/>
          <w:highlight w:val="none"/>
        </w:rPr>
        <w:t>评价因子一览表</w:t>
      </w:r>
    </w:p>
    <w:tbl>
      <w:tblPr>
        <w:tblStyle w:val="34"/>
        <w:tblW w:w="9018"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1471"/>
        <w:gridCol w:w="4815"/>
        <w:gridCol w:w="2732"/>
      </w:tblGrid>
      <w:tr w14:paraId="5DA55E9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1" w:type="dxa"/>
            <w:tcBorders>
              <w:tl2br w:val="nil"/>
              <w:tr2bl w:val="nil"/>
            </w:tcBorders>
            <w:vAlign w:val="center"/>
          </w:tcPr>
          <w:p w14:paraId="5B4C8717">
            <w:pPr>
              <w:pStyle w:val="35"/>
              <w:keepNext w:val="0"/>
              <w:keepLines w:val="0"/>
              <w:pageBreakBefore w:val="0"/>
              <w:widowControl/>
              <w:kinsoku/>
              <w:wordWrap w:val="0"/>
              <w:overflowPunct/>
              <w:topLinePunct/>
              <w:autoSpaceDE/>
              <w:autoSpaceDN/>
              <w:bidi w:val="0"/>
              <w:adjustRightInd w:val="0"/>
              <w:snapToGrid w:val="0"/>
              <w:spacing w:line="240" w:lineRule="auto"/>
              <w:ind w:right="201"/>
              <w:jc w:val="center"/>
              <w:textAlignment w:val="baseline"/>
              <w:rPr>
                <w:rFonts w:hint="default" w:ascii="Times New Roman" w:hAnsi="Times New Roman" w:cs="Times New Roman"/>
                <w:color w:val="FF0000"/>
                <w:highlight w:val="none"/>
              </w:rPr>
            </w:pPr>
            <w:r>
              <w:rPr>
                <w:rFonts w:hint="default" w:ascii="Times New Roman" w:hAnsi="Times New Roman" w:cs="Times New Roman"/>
                <w:b/>
                <w:bCs/>
                <w:color w:val="FF0000"/>
                <w:spacing w:val="-4"/>
                <w:highlight w:val="none"/>
              </w:rPr>
              <w:t>环境要素类别</w:t>
            </w:r>
          </w:p>
        </w:tc>
        <w:tc>
          <w:tcPr>
            <w:tcW w:w="4815" w:type="dxa"/>
            <w:tcBorders>
              <w:tl2br w:val="nil"/>
              <w:tr2bl w:val="nil"/>
            </w:tcBorders>
            <w:vAlign w:val="center"/>
          </w:tcPr>
          <w:p w14:paraId="1B28297A">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b/>
                <w:bCs/>
                <w:color w:val="FF0000"/>
                <w:spacing w:val="-3"/>
                <w:highlight w:val="none"/>
              </w:rPr>
              <w:t>现状评价因子</w:t>
            </w:r>
          </w:p>
        </w:tc>
        <w:tc>
          <w:tcPr>
            <w:tcW w:w="2732" w:type="dxa"/>
            <w:tcBorders>
              <w:tl2br w:val="nil"/>
              <w:tr2bl w:val="nil"/>
            </w:tcBorders>
            <w:vAlign w:val="center"/>
          </w:tcPr>
          <w:p w14:paraId="19C70354">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b/>
                <w:bCs/>
                <w:color w:val="FF0000"/>
                <w:spacing w:val="-3"/>
                <w:highlight w:val="none"/>
              </w:rPr>
              <w:t>影响（评价）因子</w:t>
            </w:r>
          </w:p>
        </w:tc>
      </w:tr>
      <w:tr w14:paraId="741D263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1" w:type="dxa"/>
            <w:tcBorders>
              <w:tl2br w:val="nil"/>
              <w:tr2bl w:val="nil"/>
            </w:tcBorders>
            <w:vAlign w:val="center"/>
          </w:tcPr>
          <w:p w14:paraId="5CD32B87">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环境空气</w:t>
            </w:r>
          </w:p>
        </w:tc>
        <w:tc>
          <w:tcPr>
            <w:tcW w:w="4815" w:type="dxa"/>
            <w:tcBorders>
              <w:tl2br w:val="nil"/>
              <w:tr2bl w:val="nil"/>
            </w:tcBorders>
            <w:vAlign w:val="center"/>
          </w:tcPr>
          <w:p w14:paraId="6BAEF3D2">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FF0000"/>
                <w:highlight w:val="none"/>
              </w:rPr>
            </w:pPr>
            <w:r>
              <w:rPr>
                <w:rFonts w:hint="default" w:ascii="Times New Roman" w:hAnsi="Times New Roman" w:eastAsia="Times New Roman" w:cs="Times New Roman"/>
                <w:color w:val="FF0000"/>
                <w:spacing w:val="-2"/>
                <w:position w:val="1"/>
                <w:highlight w:val="none"/>
              </w:rPr>
              <w:t>SO</w:t>
            </w:r>
            <w:r>
              <w:rPr>
                <w:rFonts w:hint="default" w:ascii="Times New Roman" w:hAnsi="Times New Roman" w:eastAsia="Times New Roman" w:cs="Times New Roman"/>
                <w:color w:val="FF0000"/>
                <w:spacing w:val="-2"/>
                <w:position w:val="-2"/>
                <w:sz w:val="13"/>
                <w:szCs w:val="13"/>
                <w:highlight w:val="none"/>
              </w:rPr>
              <w:t>2</w:t>
            </w:r>
            <w:r>
              <w:rPr>
                <w:rFonts w:hint="default" w:ascii="Times New Roman" w:hAnsi="Times New Roman" w:cs="Times New Roman"/>
                <w:color w:val="FF0000"/>
                <w:spacing w:val="-4"/>
                <w:position w:val="1"/>
                <w:highlight w:val="none"/>
              </w:rPr>
              <w:t>、</w:t>
            </w:r>
            <w:r>
              <w:rPr>
                <w:rFonts w:hint="default" w:ascii="Times New Roman" w:hAnsi="Times New Roman" w:eastAsia="Times New Roman" w:cs="Times New Roman"/>
                <w:color w:val="FF0000"/>
                <w:spacing w:val="-4"/>
                <w:position w:val="1"/>
                <w:highlight w:val="none"/>
              </w:rPr>
              <w:t>NO</w:t>
            </w:r>
            <w:r>
              <w:rPr>
                <w:rFonts w:hint="default" w:ascii="Times New Roman" w:hAnsi="Times New Roman" w:eastAsia="Times New Roman" w:cs="Times New Roman"/>
                <w:color w:val="FF0000"/>
                <w:spacing w:val="-4"/>
                <w:position w:val="-2"/>
                <w:sz w:val="13"/>
                <w:szCs w:val="13"/>
                <w:highlight w:val="none"/>
              </w:rPr>
              <w:t>2</w:t>
            </w:r>
            <w:r>
              <w:rPr>
                <w:rFonts w:hint="default" w:ascii="Times New Roman" w:hAnsi="Times New Roman" w:cs="Times New Roman"/>
                <w:color w:val="FF0000"/>
                <w:spacing w:val="-4"/>
                <w:position w:val="1"/>
                <w:highlight w:val="none"/>
              </w:rPr>
              <w:t>、</w:t>
            </w:r>
            <w:r>
              <w:rPr>
                <w:rFonts w:hint="default" w:ascii="Times New Roman" w:hAnsi="Times New Roman" w:eastAsia="Times New Roman" w:cs="Times New Roman"/>
                <w:color w:val="FF0000"/>
                <w:spacing w:val="-4"/>
                <w:position w:val="1"/>
                <w:highlight w:val="none"/>
              </w:rPr>
              <w:t>PM</w:t>
            </w:r>
            <w:r>
              <w:rPr>
                <w:rFonts w:hint="default" w:ascii="Times New Roman" w:hAnsi="Times New Roman" w:eastAsia="Times New Roman" w:cs="Times New Roman"/>
                <w:color w:val="FF0000"/>
                <w:spacing w:val="-4"/>
                <w:position w:val="-2"/>
                <w:sz w:val="13"/>
                <w:szCs w:val="13"/>
                <w:highlight w:val="none"/>
              </w:rPr>
              <w:t>10</w:t>
            </w:r>
            <w:r>
              <w:rPr>
                <w:rFonts w:hint="default" w:ascii="Times New Roman" w:hAnsi="Times New Roman" w:cs="Times New Roman"/>
                <w:color w:val="FF0000"/>
                <w:spacing w:val="-4"/>
                <w:position w:val="1"/>
                <w:highlight w:val="none"/>
              </w:rPr>
              <w:t>、</w:t>
            </w:r>
            <w:r>
              <w:rPr>
                <w:rFonts w:hint="default" w:ascii="Times New Roman" w:hAnsi="Times New Roman" w:eastAsia="Times New Roman" w:cs="Times New Roman"/>
                <w:color w:val="FF0000"/>
                <w:spacing w:val="-4"/>
                <w:position w:val="1"/>
                <w:highlight w:val="none"/>
              </w:rPr>
              <w:t>PM</w:t>
            </w:r>
            <w:r>
              <w:rPr>
                <w:rFonts w:hint="default" w:ascii="Times New Roman" w:hAnsi="Times New Roman" w:eastAsia="Times New Roman" w:cs="Times New Roman"/>
                <w:color w:val="FF0000"/>
                <w:spacing w:val="-4"/>
                <w:position w:val="-2"/>
                <w:sz w:val="13"/>
                <w:szCs w:val="13"/>
                <w:highlight w:val="none"/>
              </w:rPr>
              <w:t>2.5</w:t>
            </w:r>
            <w:r>
              <w:rPr>
                <w:rFonts w:hint="default" w:ascii="Times New Roman" w:hAnsi="Times New Roman" w:cs="Times New Roman"/>
                <w:color w:val="FF0000"/>
                <w:spacing w:val="-4"/>
                <w:position w:val="1"/>
                <w:highlight w:val="none"/>
              </w:rPr>
              <w:t>、</w:t>
            </w:r>
            <w:r>
              <w:rPr>
                <w:rFonts w:hint="default" w:ascii="Times New Roman" w:hAnsi="Times New Roman" w:eastAsia="Times New Roman" w:cs="Times New Roman"/>
                <w:color w:val="FF0000"/>
                <w:spacing w:val="-4"/>
                <w:position w:val="1"/>
                <w:highlight w:val="none"/>
              </w:rPr>
              <w:t>CO</w:t>
            </w:r>
            <w:r>
              <w:rPr>
                <w:rFonts w:hint="default" w:ascii="Times New Roman" w:hAnsi="Times New Roman" w:cs="Times New Roman"/>
                <w:color w:val="FF0000"/>
                <w:spacing w:val="-4"/>
                <w:position w:val="1"/>
                <w:highlight w:val="none"/>
              </w:rPr>
              <w:t>、</w:t>
            </w:r>
            <w:r>
              <w:rPr>
                <w:rFonts w:hint="default" w:ascii="Times New Roman" w:hAnsi="Times New Roman" w:eastAsia="Times New Roman" w:cs="Times New Roman"/>
                <w:color w:val="FF0000"/>
                <w:spacing w:val="-4"/>
                <w:position w:val="1"/>
                <w:highlight w:val="none"/>
              </w:rPr>
              <w:t>O</w:t>
            </w:r>
            <w:r>
              <w:rPr>
                <w:rFonts w:hint="default" w:ascii="Times New Roman" w:hAnsi="Times New Roman" w:eastAsia="Times New Roman" w:cs="Times New Roman"/>
                <w:color w:val="FF0000"/>
                <w:spacing w:val="-4"/>
                <w:position w:val="-2"/>
                <w:sz w:val="13"/>
                <w:szCs w:val="13"/>
                <w:highlight w:val="none"/>
              </w:rPr>
              <w:t>3</w:t>
            </w:r>
            <w:r>
              <w:rPr>
                <w:rFonts w:hint="default" w:ascii="Times New Roman" w:hAnsi="Times New Roman" w:cs="Times New Roman"/>
                <w:color w:val="FF0000"/>
                <w:spacing w:val="-4"/>
                <w:position w:val="1"/>
                <w:highlight w:val="none"/>
              </w:rPr>
              <w:t>、</w:t>
            </w:r>
            <w:r>
              <w:rPr>
                <w:rFonts w:hint="default" w:ascii="Times New Roman" w:hAnsi="Times New Roman" w:eastAsia="Times New Roman" w:cs="Times New Roman"/>
                <w:color w:val="FF0000"/>
                <w:spacing w:val="-4"/>
                <w:position w:val="1"/>
                <w:highlight w:val="none"/>
              </w:rPr>
              <w:t>NH</w:t>
            </w:r>
            <w:r>
              <w:rPr>
                <w:rFonts w:hint="default" w:ascii="Times New Roman" w:hAnsi="Times New Roman" w:eastAsia="Times New Roman" w:cs="Times New Roman"/>
                <w:color w:val="FF0000"/>
                <w:spacing w:val="-4"/>
                <w:position w:val="-2"/>
                <w:sz w:val="13"/>
                <w:szCs w:val="13"/>
                <w:highlight w:val="none"/>
              </w:rPr>
              <w:t>3</w:t>
            </w:r>
            <w:r>
              <w:rPr>
                <w:rFonts w:hint="default" w:ascii="Times New Roman" w:hAnsi="Times New Roman" w:cs="Times New Roman"/>
                <w:color w:val="FF0000"/>
                <w:spacing w:val="-4"/>
                <w:position w:val="1"/>
                <w:highlight w:val="none"/>
              </w:rPr>
              <w:t>、</w:t>
            </w:r>
            <w:r>
              <w:rPr>
                <w:rFonts w:hint="default" w:ascii="Times New Roman" w:hAnsi="Times New Roman" w:eastAsia="Times New Roman" w:cs="Times New Roman"/>
                <w:color w:val="FF0000"/>
                <w:spacing w:val="-4"/>
                <w:position w:val="1"/>
                <w:highlight w:val="none"/>
              </w:rPr>
              <w:t>H</w:t>
            </w:r>
            <w:r>
              <w:rPr>
                <w:rFonts w:hint="default" w:ascii="Times New Roman" w:hAnsi="Times New Roman" w:eastAsia="Times New Roman" w:cs="Times New Roman"/>
                <w:color w:val="FF0000"/>
                <w:spacing w:val="-4"/>
                <w:position w:val="-2"/>
                <w:sz w:val="13"/>
                <w:szCs w:val="13"/>
                <w:highlight w:val="none"/>
              </w:rPr>
              <w:t>2</w:t>
            </w:r>
            <w:r>
              <w:rPr>
                <w:rFonts w:hint="default" w:ascii="Times New Roman" w:hAnsi="Times New Roman" w:eastAsia="Times New Roman" w:cs="Times New Roman"/>
                <w:color w:val="FF0000"/>
                <w:spacing w:val="-4"/>
                <w:position w:val="1"/>
                <w:highlight w:val="none"/>
              </w:rPr>
              <w:t>S</w:t>
            </w:r>
          </w:p>
        </w:tc>
        <w:tc>
          <w:tcPr>
            <w:tcW w:w="2732" w:type="dxa"/>
            <w:tcBorders>
              <w:tl2br w:val="nil"/>
              <w:tr2bl w:val="nil"/>
            </w:tcBorders>
            <w:vAlign w:val="center"/>
          </w:tcPr>
          <w:p w14:paraId="5520E94C">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eastAsia="Times New Roman" w:cs="Times New Roman"/>
                <w:color w:val="FF0000"/>
                <w:spacing w:val="-2"/>
                <w:position w:val="1"/>
                <w:highlight w:val="none"/>
              </w:rPr>
              <w:t>NH</w:t>
            </w:r>
            <w:r>
              <w:rPr>
                <w:rFonts w:hint="default" w:ascii="Times New Roman" w:hAnsi="Times New Roman" w:eastAsia="Times New Roman" w:cs="Times New Roman"/>
                <w:color w:val="FF0000"/>
                <w:spacing w:val="-2"/>
                <w:position w:val="-1"/>
                <w:sz w:val="13"/>
                <w:szCs w:val="13"/>
                <w:highlight w:val="none"/>
              </w:rPr>
              <w:t>3</w:t>
            </w:r>
            <w:r>
              <w:rPr>
                <w:rFonts w:hint="default" w:ascii="Times New Roman" w:hAnsi="Times New Roman" w:cs="Times New Roman"/>
                <w:color w:val="FF0000"/>
                <w:spacing w:val="-2"/>
                <w:position w:val="1"/>
                <w:highlight w:val="none"/>
              </w:rPr>
              <w:t>、</w:t>
            </w:r>
            <w:r>
              <w:rPr>
                <w:rFonts w:hint="default" w:ascii="Times New Roman" w:hAnsi="Times New Roman" w:eastAsia="Times New Roman" w:cs="Times New Roman"/>
                <w:color w:val="FF0000"/>
                <w:spacing w:val="-2"/>
                <w:position w:val="1"/>
                <w:highlight w:val="none"/>
              </w:rPr>
              <w:t>H</w:t>
            </w:r>
            <w:r>
              <w:rPr>
                <w:rFonts w:hint="default" w:ascii="Times New Roman" w:hAnsi="Times New Roman" w:eastAsia="Times New Roman" w:cs="Times New Roman"/>
                <w:color w:val="FF0000"/>
                <w:spacing w:val="-2"/>
                <w:position w:val="-1"/>
                <w:sz w:val="13"/>
                <w:szCs w:val="13"/>
                <w:highlight w:val="none"/>
              </w:rPr>
              <w:t>2</w:t>
            </w:r>
            <w:r>
              <w:rPr>
                <w:rFonts w:hint="default" w:ascii="Times New Roman" w:hAnsi="Times New Roman" w:eastAsia="Times New Roman" w:cs="Times New Roman"/>
                <w:color w:val="FF0000"/>
                <w:spacing w:val="-2"/>
                <w:position w:val="1"/>
                <w:highlight w:val="none"/>
              </w:rPr>
              <w:t>S</w:t>
            </w:r>
            <w:r>
              <w:rPr>
                <w:rFonts w:hint="default" w:ascii="Times New Roman" w:hAnsi="Times New Roman" w:cs="Times New Roman"/>
                <w:color w:val="FF0000"/>
                <w:spacing w:val="-2"/>
                <w:position w:val="1"/>
                <w:highlight w:val="none"/>
              </w:rPr>
              <w:t>、臭气浓度</w:t>
            </w:r>
          </w:p>
        </w:tc>
      </w:tr>
      <w:tr w14:paraId="0A80CE7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1" w:type="dxa"/>
            <w:tcBorders>
              <w:tl2br w:val="nil"/>
              <w:tr2bl w:val="nil"/>
            </w:tcBorders>
            <w:vAlign w:val="center"/>
          </w:tcPr>
          <w:p w14:paraId="4AAF3D31">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地表水</w:t>
            </w:r>
          </w:p>
        </w:tc>
        <w:tc>
          <w:tcPr>
            <w:tcW w:w="4815" w:type="dxa"/>
            <w:tcBorders>
              <w:tl2br w:val="nil"/>
              <w:tr2bl w:val="nil"/>
            </w:tcBorders>
            <w:vAlign w:val="center"/>
          </w:tcPr>
          <w:p w14:paraId="005C7902">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eastAsia="Times New Roman" w:cs="Times New Roman"/>
                <w:color w:val="FF0000"/>
                <w:spacing w:val="-3"/>
                <w:highlight w:val="none"/>
              </w:rPr>
              <w:t>pH</w:t>
            </w:r>
            <w:r>
              <w:rPr>
                <w:rFonts w:hint="default" w:ascii="Times New Roman" w:hAnsi="Times New Roman" w:cs="Times New Roman"/>
                <w:color w:val="FF0000"/>
                <w:spacing w:val="-3"/>
                <w:highlight w:val="none"/>
              </w:rPr>
              <w:t>、</w:t>
            </w:r>
            <w:r>
              <w:rPr>
                <w:rFonts w:hint="default" w:ascii="Times New Roman" w:hAnsi="Times New Roman" w:eastAsia="Times New Roman" w:cs="Times New Roman"/>
                <w:color w:val="FF0000"/>
                <w:spacing w:val="-3"/>
                <w:highlight w:val="none"/>
              </w:rPr>
              <w:t>DO</w:t>
            </w:r>
            <w:r>
              <w:rPr>
                <w:rFonts w:hint="default" w:ascii="Times New Roman" w:hAnsi="Times New Roman" w:cs="Times New Roman"/>
                <w:color w:val="FF0000"/>
                <w:spacing w:val="-3"/>
                <w:highlight w:val="none"/>
              </w:rPr>
              <w:t>、高锰酸盐指数、</w:t>
            </w:r>
            <w:r>
              <w:rPr>
                <w:rFonts w:hint="default" w:ascii="Times New Roman" w:hAnsi="Times New Roman" w:eastAsia="Times New Roman" w:cs="Times New Roman"/>
                <w:color w:val="FF0000"/>
                <w:spacing w:val="-3"/>
                <w:highlight w:val="none"/>
              </w:rPr>
              <w:t>COD</w:t>
            </w:r>
            <w:r>
              <w:rPr>
                <w:rFonts w:hint="default" w:ascii="Times New Roman" w:hAnsi="Times New Roman" w:cs="Times New Roman"/>
                <w:color w:val="FF0000"/>
                <w:spacing w:val="-3"/>
                <w:highlight w:val="none"/>
              </w:rPr>
              <w:t>、</w:t>
            </w:r>
            <w:r>
              <w:rPr>
                <w:rFonts w:hint="default" w:ascii="Times New Roman" w:hAnsi="Times New Roman" w:eastAsia="Times New Roman" w:cs="Times New Roman"/>
                <w:color w:val="FF0000"/>
                <w:spacing w:val="-3"/>
                <w:highlight w:val="none"/>
              </w:rPr>
              <w:t>BO</w:t>
            </w:r>
            <w:r>
              <w:rPr>
                <w:rFonts w:hint="default" w:ascii="Times New Roman" w:hAnsi="Times New Roman" w:eastAsia="Times New Roman" w:cs="Times New Roman"/>
                <w:color w:val="FF0000"/>
                <w:spacing w:val="-4"/>
                <w:highlight w:val="none"/>
              </w:rPr>
              <w:t>D</w:t>
            </w:r>
            <w:r>
              <w:rPr>
                <w:rFonts w:hint="default" w:ascii="Times New Roman" w:hAnsi="Times New Roman" w:eastAsia="Times New Roman" w:cs="Times New Roman"/>
                <w:color w:val="FF0000"/>
                <w:spacing w:val="-4"/>
                <w:position w:val="-3"/>
                <w:sz w:val="13"/>
                <w:szCs w:val="13"/>
                <w:highlight w:val="none"/>
              </w:rPr>
              <w:t>5</w:t>
            </w:r>
            <w:r>
              <w:rPr>
                <w:rFonts w:hint="default" w:ascii="Times New Roman" w:hAnsi="Times New Roman" w:cs="Times New Roman"/>
                <w:color w:val="FF0000"/>
                <w:spacing w:val="-4"/>
                <w:highlight w:val="none"/>
              </w:rPr>
              <w:t>、氨氮、总</w:t>
            </w:r>
            <w:r>
              <w:rPr>
                <w:rFonts w:hint="default" w:ascii="Times New Roman" w:hAnsi="Times New Roman" w:cs="Times New Roman"/>
                <w:color w:val="FF0000"/>
                <w:spacing w:val="-2"/>
                <w:highlight w:val="none"/>
              </w:rPr>
              <w:t>磷、总氮</w:t>
            </w:r>
          </w:p>
        </w:tc>
        <w:tc>
          <w:tcPr>
            <w:tcW w:w="2732" w:type="dxa"/>
            <w:tcBorders>
              <w:tl2br w:val="nil"/>
              <w:tr2bl w:val="nil"/>
            </w:tcBorders>
            <w:vAlign w:val="center"/>
          </w:tcPr>
          <w:p w14:paraId="2E882001">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宋体" w:cs="Times New Roman"/>
                <w:color w:val="FF0000"/>
                <w:sz w:val="21"/>
                <w:szCs w:val="21"/>
                <w:highlight w:val="none"/>
              </w:rPr>
              <w:t>COD、氨氮</w:t>
            </w:r>
          </w:p>
        </w:tc>
      </w:tr>
      <w:tr w14:paraId="448BB5C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1" w:type="dxa"/>
            <w:tcBorders>
              <w:tl2br w:val="nil"/>
              <w:tr2bl w:val="nil"/>
            </w:tcBorders>
            <w:vAlign w:val="center"/>
          </w:tcPr>
          <w:p w14:paraId="34AEB288">
            <w:pPr>
              <w:pStyle w:val="35"/>
              <w:keepNext w:val="0"/>
              <w:keepLines w:val="0"/>
              <w:pageBreakBefore w:val="0"/>
              <w:widowControl/>
              <w:kinsoku/>
              <w:wordWrap w:val="0"/>
              <w:overflowPunct/>
              <w:topLinePunct/>
              <w:autoSpaceDE/>
              <w:autoSpaceDN/>
              <w:bidi w:val="0"/>
              <w:adjustRightInd w:val="0"/>
              <w:snapToGrid w:val="0"/>
              <w:spacing w:line="240" w:lineRule="auto"/>
              <w:ind w:right="306"/>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地下水环境</w:t>
            </w:r>
          </w:p>
        </w:tc>
        <w:tc>
          <w:tcPr>
            <w:tcW w:w="4815" w:type="dxa"/>
            <w:tcBorders>
              <w:tl2br w:val="nil"/>
              <w:tr2bl w:val="nil"/>
            </w:tcBorders>
            <w:vAlign w:val="center"/>
          </w:tcPr>
          <w:p w14:paraId="5DE97953">
            <w:pPr>
              <w:pStyle w:val="35"/>
              <w:keepNext w:val="0"/>
              <w:keepLines w:val="0"/>
              <w:pageBreakBefore w:val="0"/>
              <w:widowControl/>
              <w:kinsoku/>
              <w:wordWrap w:val="0"/>
              <w:overflowPunct/>
              <w:topLinePunct/>
              <w:autoSpaceDE/>
              <w:autoSpaceDN/>
              <w:bidi w:val="0"/>
              <w:adjustRightInd w:val="0"/>
              <w:snapToGrid w:val="0"/>
              <w:spacing w:line="240" w:lineRule="auto"/>
              <w:ind w:right="52"/>
              <w:jc w:val="center"/>
              <w:textAlignment w:val="baseline"/>
              <w:rPr>
                <w:rFonts w:hint="default" w:ascii="Times New Roman" w:hAnsi="Times New Roman" w:cs="Times New Roman"/>
                <w:color w:val="FF0000"/>
                <w:highlight w:val="none"/>
              </w:rPr>
            </w:pPr>
            <w:r>
              <w:rPr>
                <w:rFonts w:hint="default" w:ascii="Times New Roman" w:hAnsi="Times New Roman" w:eastAsia="Times New Roman" w:cs="Times New Roman"/>
                <w:color w:val="FF0000"/>
                <w:spacing w:val="-1"/>
                <w:highlight w:val="none"/>
              </w:rPr>
              <w:t>pH</w:t>
            </w:r>
            <w:r>
              <w:rPr>
                <w:rFonts w:hint="default" w:ascii="Times New Roman" w:hAnsi="Times New Roman" w:cs="Times New Roman"/>
                <w:color w:val="FF0000"/>
                <w:spacing w:val="-1"/>
                <w:highlight w:val="none"/>
              </w:rPr>
              <w:t>值、总硬度、溶解性总固体、耗氧量、</w:t>
            </w:r>
            <w:r>
              <w:rPr>
                <w:rFonts w:hint="default" w:ascii="Times New Roman" w:hAnsi="Times New Roman" w:cs="Times New Roman"/>
                <w:color w:val="FF0000"/>
                <w:spacing w:val="-2"/>
                <w:highlight w:val="none"/>
              </w:rPr>
              <w:t>氟化物、</w:t>
            </w:r>
            <w:r>
              <w:rPr>
                <w:rFonts w:hint="default" w:ascii="Times New Roman" w:hAnsi="Times New Roman" w:cs="Times New Roman"/>
                <w:color w:val="FF0000"/>
                <w:spacing w:val="-1"/>
                <w:highlight w:val="none"/>
              </w:rPr>
              <w:t>硝酸盐、亚硝酸盐、挥发酚、氨氮、氰化物、汞、</w:t>
            </w:r>
            <w:r>
              <w:rPr>
                <w:rFonts w:hint="default" w:ascii="Times New Roman" w:hAnsi="Times New Roman" w:cs="Times New Roman"/>
                <w:color w:val="FF0000"/>
                <w:highlight w:val="none"/>
              </w:rPr>
              <w:t>砷、六价铬、铅、镉、铁、锰、总大肠菌群、细菌</w:t>
            </w:r>
            <w:r>
              <w:rPr>
                <w:rFonts w:hint="default" w:ascii="Times New Roman" w:hAnsi="Times New Roman" w:cs="Times New Roman"/>
                <w:color w:val="FF0000"/>
                <w:spacing w:val="-3"/>
                <w:position w:val="-1"/>
                <w:highlight w:val="none"/>
              </w:rPr>
              <w:t>总数和</w:t>
            </w:r>
            <w:r>
              <w:rPr>
                <w:rFonts w:hint="default" w:ascii="Times New Roman" w:hAnsi="Times New Roman" w:eastAsia="Times New Roman" w:cs="Times New Roman"/>
                <w:color w:val="FF0000"/>
                <w:spacing w:val="-3"/>
                <w:position w:val="-1"/>
                <w:highlight w:val="none"/>
              </w:rPr>
              <w:t>K</w:t>
            </w:r>
            <w:r>
              <w:rPr>
                <w:rFonts w:hint="default" w:ascii="Times New Roman" w:hAnsi="Times New Roman" w:eastAsia="Times New Roman" w:cs="Times New Roman"/>
                <w:color w:val="FF0000"/>
                <w:spacing w:val="-3"/>
                <w:position w:val="8"/>
                <w:sz w:val="13"/>
                <w:szCs w:val="13"/>
                <w:highlight w:val="none"/>
              </w:rPr>
              <w:t>+</w:t>
            </w:r>
            <w:r>
              <w:rPr>
                <w:rFonts w:hint="default" w:ascii="Times New Roman" w:hAnsi="Times New Roman" w:cs="Times New Roman"/>
                <w:color w:val="FF0000"/>
                <w:spacing w:val="-3"/>
                <w:position w:val="-1"/>
                <w:highlight w:val="none"/>
              </w:rPr>
              <w:t>，</w:t>
            </w:r>
            <w:r>
              <w:rPr>
                <w:rFonts w:hint="default" w:ascii="Times New Roman" w:hAnsi="Times New Roman" w:eastAsia="Times New Roman" w:cs="Times New Roman"/>
                <w:color w:val="FF0000"/>
                <w:spacing w:val="-3"/>
                <w:position w:val="-1"/>
                <w:highlight w:val="none"/>
              </w:rPr>
              <w:t>Na</w:t>
            </w:r>
            <w:r>
              <w:rPr>
                <w:rFonts w:hint="default" w:ascii="Times New Roman" w:hAnsi="Times New Roman" w:eastAsia="Times New Roman" w:cs="Times New Roman"/>
                <w:color w:val="FF0000"/>
                <w:spacing w:val="-3"/>
                <w:position w:val="8"/>
                <w:sz w:val="13"/>
                <w:szCs w:val="13"/>
                <w:highlight w:val="none"/>
              </w:rPr>
              <w:t>+</w:t>
            </w:r>
            <w:r>
              <w:rPr>
                <w:rFonts w:hint="default" w:ascii="Times New Roman" w:hAnsi="Times New Roman" w:cs="Times New Roman"/>
                <w:color w:val="FF0000"/>
                <w:spacing w:val="-3"/>
                <w:position w:val="-1"/>
                <w:highlight w:val="none"/>
              </w:rPr>
              <w:t>，</w:t>
            </w:r>
            <w:r>
              <w:rPr>
                <w:rFonts w:hint="default" w:ascii="Times New Roman" w:hAnsi="Times New Roman" w:eastAsia="Times New Roman" w:cs="Times New Roman"/>
                <w:color w:val="FF0000"/>
                <w:spacing w:val="-3"/>
                <w:position w:val="-1"/>
                <w:highlight w:val="none"/>
              </w:rPr>
              <w:t>Ca</w:t>
            </w:r>
            <w:r>
              <w:rPr>
                <w:rFonts w:hint="default" w:ascii="Times New Roman" w:hAnsi="Times New Roman" w:eastAsia="Times New Roman" w:cs="Times New Roman"/>
                <w:color w:val="FF0000"/>
                <w:spacing w:val="-3"/>
                <w:position w:val="8"/>
                <w:sz w:val="13"/>
                <w:szCs w:val="13"/>
                <w:highlight w:val="none"/>
              </w:rPr>
              <w:t>2+</w:t>
            </w:r>
            <w:r>
              <w:rPr>
                <w:rFonts w:hint="default" w:ascii="Times New Roman" w:hAnsi="Times New Roman" w:cs="Times New Roman"/>
                <w:color w:val="FF0000"/>
                <w:spacing w:val="-3"/>
                <w:position w:val="-1"/>
                <w:highlight w:val="none"/>
              </w:rPr>
              <w:t>，</w:t>
            </w:r>
            <w:r>
              <w:rPr>
                <w:rFonts w:hint="default" w:ascii="Times New Roman" w:hAnsi="Times New Roman" w:eastAsia="Times New Roman" w:cs="Times New Roman"/>
                <w:color w:val="FF0000"/>
                <w:spacing w:val="-3"/>
                <w:position w:val="-1"/>
                <w:highlight w:val="none"/>
              </w:rPr>
              <w:t>Mg</w:t>
            </w:r>
            <w:r>
              <w:rPr>
                <w:rFonts w:hint="default" w:ascii="Times New Roman" w:hAnsi="Times New Roman" w:eastAsia="Times New Roman" w:cs="Times New Roman"/>
                <w:color w:val="FF0000"/>
                <w:spacing w:val="-3"/>
                <w:position w:val="8"/>
                <w:sz w:val="13"/>
                <w:szCs w:val="13"/>
                <w:highlight w:val="none"/>
              </w:rPr>
              <w:t>2+</w:t>
            </w:r>
            <w:r>
              <w:rPr>
                <w:rFonts w:hint="default" w:ascii="Times New Roman" w:hAnsi="Times New Roman" w:cs="Times New Roman"/>
                <w:color w:val="FF0000"/>
                <w:spacing w:val="-3"/>
                <w:position w:val="-1"/>
                <w:highlight w:val="none"/>
              </w:rPr>
              <w:t>，</w:t>
            </w:r>
            <w:r>
              <w:rPr>
                <w:rFonts w:hint="default" w:ascii="Times New Roman" w:hAnsi="Times New Roman" w:eastAsia="Times New Roman" w:cs="Times New Roman"/>
                <w:color w:val="FF0000"/>
                <w:spacing w:val="-3"/>
                <w:position w:val="-1"/>
                <w:highlight w:val="none"/>
              </w:rPr>
              <w:t>CO</w:t>
            </w:r>
            <w:r>
              <w:rPr>
                <w:rFonts w:hint="default" w:ascii="Times New Roman" w:hAnsi="Times New Roman" w:eastAsia="Times New Roman" w:cs="Times New Roman"/>
                <w:color w:val="FF0000"/>
                <w:spacing w:val="-3"/>
                <w:position w:val="-4"/>
                <w:sz w:val="13"/>
                <w:szCs w:val="13"/>
                <w:highlight w:val="none"/>
              </w:rPr>
              <w:t>3</w:t>
            </w:r>
            <w:r>
              <w:rPr>
                <w:rFonts w:hint="default" w:ascii="Times New Roman" w:hAnsi="Times New Roman" w:eastAsia="Times New Roman" w:cs="Times New Roman"/>
                <w:color w:val="FF0000"/>
                <w:spacing w:val="-3"/>
                <w:position w:val="8"/>
                <w:sz w:val="13"/>
                <w:szCs w:val="13"/>
                <w:highlight w:val="none"/>
              </w:rPr>
              <w:t>2-</w:t>
            </w:r>
            <w:r>
              <w:rPr>
                <w:rFonts w:hint="default" w:ascii="Times New Roman" w:hAnsi="Times New Roman" w:cs="Times New Roman"/>
                <w:color w:val="FF0000"/>
                <w:spacing w:val="-3"/>
                <w:position w:val="-1"/>
                <w:highlight w:val="none"/>
              </w:rPr>
              <w:t>，</w:t>
            </w:r>
            <w:r>
              <w:rPr>
                <w:rFonts w:hint="default" w:ascii="Times New Roman" w:hAnsi="Times New Roman" w:eastAsia="Times New Roman" w:cs="Times New Roman"/>
                <w:color w:val="FF0000"/>
                <w:spacing w:val="-3"/>
                <w:position w:val="-1"/>
                <w:highlight w:val="none"/>
              </w:rPr>
              <w:t>HCO</w:t>
            </w:r>
            <w:r>
              <w:rPr>
                <w:rFonts w:hint="default" w:ascii="Times New Roman" w:hAnsi="Times New Roman" w:eastAsia="Times New Roman" w:cs="Times New Roman"/>
                <w:color w:val="FF0000"/>
                <w:spacing w:val="-3"/>
                <w:position w:val="-4"/>
                <w:sz w:val="13"/>
                <w:szCs w:val="13"/>
                <w:highlight w:val="none"/>
              </w:rPr>
              <w:t>3</w:t>
            </w:r>
            <w:r>
              <w:rPr>
                <w:rFonts w:hint="default" w:ascii="Times New Roman" w:hAnsi="Times New Roman" w:eastAsia="Times New Roman" w:cs="Times New Roman"/>
                <w:color w:val="FF0000"/>
                <w:spacing w:val="-3"/>
                <w:position w:val="8"/>
                <w:sz w:val="13"/>
                <w:szCs w:val="13"/>
                <w:highlight w:val="none"/>
              </w:rPr>
              <w:t>-</w:t>
            </w:r>
            <w:r>
              <w:rPr>
                <w:rFonts w:hint="default" w:ascii="Times New Roman" w:hAnsi="Times New Roman" w:cs="Times New Roman"/>
                <w:color w:val="FF0000"/>
                <w:spacing w:val="-3"/>
                <w:position w:val="-1"/>
                <w:highlight w:val="none"/>
              </w:rPr>
              <w:t>，</w:t>
            </w:r>
            <w:r>
              <w:rPr>
                <w:rFonts w:hint="default" w:ascii="Times New Roman" w:hAnsi="Times New Roman" w:eastAsia="Times New Roman" w:cs="Times New Roman"/>
                <w:color w:val="FF0000"/>
                <w:spacing w:val="-3"/>
                <w:position w:val="-1"/>
                <w:highlight w:val="none"/>
              </w:rPr>
              <w:t>Cl</w:t>
            </w:r>
            <w:r>
              <w:rPr>
                <w:rFonts w:hint="default" w:ascii="Times New Roman" w:hAnsi="Times New Roman" w:eastAsia="Times New Roman" w:cs="Times New Roman"/>
                <w:color w:val="FF0000"/>
                <w:spacing w:val="-3"/>
                <w:position w:val="8"/>
                <w:sz w:val="13"/>
                <w:szCs w:val="13"/>
                <w:highlight w:val="none"/>
              </w:rPr>
              <w:t>-</w:t>
            </w:r>
            <w:r>
              <w:rPr>
                <w:rFonts w:hint="default" w:ascii="Times New Roman" w:hAnsi="Times New Roman" w:cs="Times New Roman"/>
                <w:color w:val="FF0000"/>
                <w:spacing w:val="-2"/>
                <w:highlight w:val="none"/>
              </w:rPr>
              <w:t>（氯化物</w:t>
            </w:r>
            <w:r>
              <w:rPr>
                <w:rFonts w:hint="default" w:ascii="Times New Roman" w:hAnsi="Times New Roman" w:cs="Times New Roman"/>
                <w:color w:val="FF0000"/>
                <w:spacing w:val="14"/>
                <w:highlight w:val="none"/>
              </w:rPr>
              <w:t>），</w:t>
            </w:r>
            <w:r>
              <w:rPr>
                <w:rFonts w:hint="default" w:ascii="Times New Roman" w:hAnsi="Times New Roman" w:eastAsia="Times New Roman" w:cs="Times New Roman"/>
                <w:color w:val="FF0000"/>
                <w:spacing w:val="-2"/>
                <w:highlight w:val="none"/>
              </w:rPr>
              <w:t>SO</w:t>
            </w:r>
            <w:r>
              <w:rPr>
                <w:rFonts w:hint="default" w:ascii="Times New Roman" w:hAnsi="Times New Roman" w:eastAsia="Times New Roman" w:cs="Times New Roman"/>
                <w:color w:val="FF0000"/>
                <w:spacing w:val="-2"/>
                <w:position w:val="-3"/>
                <w:sz w:val="13"/>
                <w:szCs w:val="13"/>
                <w:highlight w:val="none"/>
              </w:rPr>
              <w:t>4</w:t>
            </w:r>
            <w:r>
              <w:rPr>
                <w:rFonts w:hint="default" w:ascii="Times New Roman" w:hAnsi="Times New Roman" w:eastAsia="Times New Roman" w:cs="Times New Roman"/>
                <w:color w:val="FF0000"/>
                <w:spacing w:val="-2"/>
                <w:position w:val="9"/>
                <w:sz w:val="13"/>
                <w:szCs w:val="13"/>
                <w:highlight w:val="none"/>
              </w:rPr>
              <w:t>2-</w:t>
            </w:r>
            <w:r>
              <w:rPr>
                <w:rFonts w:hint="default" w:ascii="Times New Roman" w:hAnsi="Times New Roman" w:cs="Times New Roman"/>
                <w:color w:val="FF0000"/>
                <w:spacing w:val="-2"/>
                <w:highlight w:val="none"/>
              </w:rPr>
              <w:t>（硫酸盐）</w:t>
            </w:r>
          </w:p>
        </w:tc>
        <w:tc>
          <w:tcPr>
            <w:tcW w:w="2732" w:type="dxa"/>
            <w:tcBorders>
              <w:tl2br w:val="nil"/>
              <w:tr2bl w:val="nil"/>
            </w:tcBorders>
            <w:vAlign w:val="center"/>
          </w:tcPr>
          <w:p w14:paraId="2D0D183F">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eastAsia="Times New Roman" w:cs="Times New Roman"/>
                <w:color w:val="FF0000"/>
                <w:spacing w:val="-3"/>
                <w:highlight w:val="none"/>
              </w:rPr>
              <w:t>COD</w:t>
            </w:r>
            <w:r>
              <w:rPr>
                <w:rFonts w:hint="default" w:ascii="Times New Roman" w:hAnsi="Times New Roman" w:eastAsia="宋体" w:cs="Times New Roman"/>
                <w:color w:val="FF0000"/>
                <w:spacing w:val="-3"/>
                <w:highlight w:val="none"/>
                <w:lang w:eastAsia="zh-CN"/>
              </w:rPr>
              <w:t>（</w:t>
            </w:r>
            <w:r>
              <w:rPr>
                <w:rFonts w:hint="default" w:ascii="Times New Roman" w:hAnsi="Times New Roman" w:eastAsia="宋体" w:cs="Times New Roman"/>
                <w:color w:val="FF0000"/>
                <w:spacing w:val="-3"/>
                <w:highlight w:val="none"/>
                <w:lang w:val="en-US" w:eastAsia="zh-CN"/>
              </w:rPr>
              <w:t>cr</w:t>
            </w:r>
            <w:r>
              <w:rPr>
                <w:rFonts w:hint="default" w:ascii="Times New Roman" w:hAnsi="Times New Roman" w:eastAsia="宋体" w:cs="Times New Roman"/>
                <w:color w:val="FF0000"/>
                <w:spacing w:val="-3"/>
                <w:highlight w:val="none"/>
                <w:lang w:eastAsia="zh-CN"/>
              </w:rPr>
              <w:t>）</w:t>
            </w:r>
            <w:r>
              <w:rPr>
                <w:rFonts w:hint="default" w:ascii="Times New Roman" w:hAnsi="Times New Roman" w:cs="Times New Roman"/>
                <w:color w:val="FF0000"/>
                <w:spacing w:val="-3"/>
                <w:highlight w:val="none"/>
              </w:rPr>
              <w:t>、氨氮</w:t>
            </w:r>
          </w:p>
        </w:tc>
      </w:tr>
      <w:tr w14:paraId="1932CBC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9" w:hRule="atLeast"/>
          <w:jc w:val="center"/>
        </w:trPr>
        <w:tc>
          <w:tcPr>
            <w:tcW w:w="1471" w:type="dxa"/>
            <w:tcBorders>
              <w:tl2br w:val="nil"/>
              <w:tr2bl w:val="nil"/>
            </w:tcBorders>
            <w:vAlign w:val="center"/>
          </w:tcPr>
          <w:p w14:paraId="5BD97907">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声环境</w:t>
            </w:r>
          </w:p>
        </w:tc>
        <w:tc>
          <w:tcPr>
            <w:tcW w:w="4815" w:type="dxa"/>
            <w:tcBorders>
              <w:tl2br w:val="nil"/>
              <w:tr2bl w:val="nil"/>
            </w:tcBorders>
            <w:vAlign w:val="center"/>
          </w:tcPr>
          <w:p w14:paraId="45912876">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rPr>
              <w:t>等效连续</w:t>
            </w:r>
            <w:r>
              <w:rPr>
                <w:rFonts w:hint="default" w:ascii="Times New Roman" w:hAnsi="Times New Roman" w:eastAsia="Times New Roman" w:cs="Times New Roman"/>
                <w:color w:val="FF0000"/>
                <w:spacing w:val="-1"/>
                <w:highlight w:val="none"/>
              </w:rPr>
              <w:t>A</w:t>
            </w:r>
            <w:r>
              <w:rPr>
                <w:rFonts w:hint="default" w:ascii="Times New Roman" w:hAnsi="Times New Roman" w:cs="Times New Roman"/>
                <w:color w:val="FF0000"/>
                <w:spacing w:val="-1"/>
                <w:highlight w:val="none"/>
              </w:rPr>
              <w:t>声级</w:t>
            </w:r>
          </w:p>
        </w:tc>
        <w:tc>
          <w:tcPr>
            <w:tcW w:w="2732" w:type="dxa"/>
            <w:tcBorders>
              <w:tl2br w:val="nil"/>
              <w:tr2bl w:val="nil"/>
            </w:tcBorders>
            <w:vAlign w:val="center"/>
          </w:tcPr>
          <w:p w14:paraId="6AB2EA96">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rPr>
              <w:t>等效连续</w:t>
            </w:r>
            <w:r>
              <w:rPr>
                <w:rFonts w:hint="default" w:ascii="Times New Roman" w:hAnsi="Times New Roman" w:eastAsia="Times New Roman" w:cs="Times New Roman"/>
                <w:color w:val="FF0000"/>
                <w:spacing w:val="-1"/>
                <w:highlight w:val="none"/>
              </w:rPr>
              <w:t>A</w:t>
            </w:r>
            <w:r>
              <w:rPr>
                <w:rFonts w:hint="default" w:ascii="Times New Roman" w:hAnsi="Times New Roman" w:cs="Times New Roman"/>
                <w:color w:val="FF0000"/>
                <w:spacing w:val="-1"/>
                <w:highlight w:val="none"/>
              </w:rPr>
              <w:t>声级</w:t>
            </w:r>
          </w:p>
        </w:tc>
      </w:tr>
      <w:tr w14:paraId="2968858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1" w:type="dxa"/>
            <w:tcBorders>
              <w:tl2br w:val="nil"/>
              <w:tr2bl w:val="nil"/>
            </w:tcBorders>
            <w:vAlign w:val="center"/>
          </w:tcPr>
          <w:p w14:paraId="752B9C59">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土壤</w:t>
            </w:r>
          </w:p>
        </w:tc>
        <w:tc>
          <w:tcPr>
            <w:tcW w:w="4815" w:type="dxa"/>
            <w:tcBorders>
              <w:tl2br w:val="nil"/>
              <w:tr2bl w:val="nil"/>
            </w:tcBorders>
            <w:vAlign w:val="center"/>
          </w:tcPr>
          <w:p w14:paraId="2020C8AD">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FF0000"/>
                <w:highlight w:val="none"/>
              </w:rPr>
            </w:pPr>
            <w:r>
              <w:rPr>
                <w:rFonts w:hint="default" w:ascii="Times New Roman" w:hAnsi="Times New Roman" w:eastAsia="Times New Roman" w:cs="Times New Roman"/>
                <w:color w:val="FF0000"/>
                <w:spacing w:val="-1"/>
                <w:highlight w:val="none"/>
              </w:rPr>
              <w:t>pH</w:t>
            </w:r>
            <w:r>
              <w:rPr>
                <w:rFonts w:hint="default" w:ascii="Times New Roman" w:hAnsi="Times New Roman" w:cs="Times New Roman"/>
                <w:color w:val="FF0000"/>
                <w:spacing w:val="-1"/>
                <w:highlight w:val="none"/>
              </w:rPr>
              <w:t>值、镉、汞、砷、铅、铬、铜、镍、锌</w:t>
            </w:r>
          </w:p>
        </w:tc>
        <w:tc>
          <w:tcPr>
            <w:tcW w:w="2732" w:type="dxa"/>
            <w:tcBorders>
              <w:tl2br w:val="nil"/>
              <w:tr2bl w:val="nil"/>
            </w:tcBorders>
            <w:vAlign w:val="center"/>
          </w:tcPr>
          <w:p w14:paraId="6475FC74">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Times New Roman" w:cs="Times New Roman"/>
                <w:color w:val="FF0000"/>
                <w:sz w:val="21"/>
                <w:szCs w:val="21"/>
                <w:highlight w:val="none"/>
              </w:rPr>
              <w:t>/</w:t>
            </w:r>
          </w:p>
        </w:tc>
      </w:tr>
      <w:tr w14:paraId="1BFAFBE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1" w:type="dxa"/>
            <w:tcBorders>
              <w:tl2br w:val="nil"/>
              <w:tr2bl w:val="nil"/>
            </w:tcBorders>
            <w:vAlign w:val="center"/>
          </w:tcPr>
          <w:p w14:paraId="36C2B6BC">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highlight w:val="none"/>
                <w:lang w:eastAsia="zh-CN"/>
              </w:rPr>
            </w:pPr>
            <w:r>
              <w:rPr>
                <w:rFonts w:hint="default" w:ascii="Times New Roman" w:hAnsi="Times New Roman" w:cs="Times New Roman"/>
                <w:color w:val="FF0000"/>
                <w:spacing w:val="-2"/>
                <w:highlight w:val="none"/>
                <w:lang w:val="en-US" w:eastAsia="zh-CN"/>
              </w:rPr>
              <w:t>生态环境</w:t>
            </w:r>
          </w:p>
        </w:tc>
        <w:tc>
          <w:tcPr>
            <w:tcW w:w="4815" w:type="dxa"/>
            <w:tcBorders>
              <w:tl2br w:val="nil"/>
              <w:tr2bl w:val="nil"/>
            </w:tcBorders>
            <w:vAlign w:val="center"/>
          </w:tcPr>
          <w:p w14:paraId="5937F417">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Times New Roman" w:cs="Times New Roman"/>
                <w:color w:val="FF0000"/>
                <w:sz w:val="21"/>
                <w:szCs w:val="21"/>
                <w:highlight w:val="none"/>
              </w:rPr>
              <w:t>/</w:t>
            </w:r>
          </w:p>
        </w:tc>
        <w:tc>
          <w:tcPr>
            <w:tcW w:w="2732" w:type="dxa"/>
            <w:tcBorders>
              <w:tl2br w:val="nil"/>
              <w:tr2bl w:val="nil"/>
            </w:tcBorders>
            <w:vAlign w:val="center"/>
          </w:tcPr>
          <w:p w14:paraId="0DB82C1D">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Times New Roman" w:cs="Times New Roman"/>
                <w:color w:val="FF0000"/>
                <w:sz w:val="21"/>
                <w:szCs w:val="21"/>
                <w:highlight w:val="none"/>
              </w:rPr>
              <w:t>/</w:t>
            </w:r>
          </w:p>
        </w:tc>
      </w:tr>
    </w:tbl>
    <w:p w14:paraId="0AE98E05">
      <w:pPr>
        <w:keepNext w:val="0"/>
        <w:keepLines w:val="0"/>
        <w:pageBreakBefore w:val="0"/>
        <w:kinsoku/>
        <w:wordWrap w:val="0"/>
        <w:overflowPunct/>
        <w:topLinePunct/>
        <w:autoSpaceDE/>
        <w:autoSpaceDN/>
        <w:bidi w:val="0"/>
        <w:adjustRightInd w:val="0"/>
        <w:snapToGrid w:val="0"/>
        <w:spacing w:before="33" w:line="214" w:lineRule="auto"/>
        <w:ind w:left="265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2.4-4</w:t>
      </w:r>
      <w:r>
        <w:rPr>
          <w:rFonts w:hint="default" w:ascii="Times New Roman" w:hAnsi="Times New Roman" w:eastAsia="宋体" w:cs="Times New Roman"/>
          <w:b/>
          <w:bCs/>
          <w:color w:val="auto"/>
          <w:spacing w:val="-1"/>
          <w:sz w:val="24"/>
          <w:szCs w:val="24"/>
          <w:highlight w:val="none"/>
        </w:rPr>
        <w:t>本项目生态评价因子的识别</w:t>
      </w:r>
    </w:p>
    <w:tbl>
      <w:tblPr>
        <w:tblStyle w:val="34"/>
        <w:tblW w:w="9004"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665"/>
        <w:gridCol w:w="1287"/>
        <w:gridCol w:w="2052"/>
        <w:gridCol w:w="2225"/>
        <w:gridCol w:w="1277"/>
        <w:gridCol w:w="1498"/>
      </w:tblGrid>
      <w:tr w14:paraId="7065C31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tcBorders>
              <w:tl2br w:val="nil"/>
              <w:tr2bl w:val="nil"/>
            </w:tcBorders>
            <w:vAlign w:val="center"/>
          </w:tcPr>
          <w:p w14:paraId="07969B4E">
            <w:pPr>
              <w:pStyle w:val="35"/>
              <w:keepNext w:val="0"/>
              <w:keepLines w:val="0"/>
              <w:pageBreakBefore w:val="0"/>
              <w:widowControl/>
              <w:kinsoku/>
              <w:wordWrap w:val="0"/>
              <w:overflowPunct/>
              <w:topLinePunct/>
              <w:autoSpaceDE/>
              <w:autoSpaceDN/>
              <w:bidi w:val="0"/>
              <w:adjustRightInd w:val="0"/>
              <w:snapToGrid w:val="0"/>
              <w:spacing w:line="240" w:lineRule="auto"/>
              <w:ind w:left="14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时期</w:t>
            </w:r>
          </w:p>
        </w:tc>
        <w:tc>
          <w:tcPr>
            <w:tcW w:w="1287" w:type="dxa"/>
            <w:tcBorders>
              <w:tl2br w:val="nil"/>
              <w:tr2bl w:val="nil"/>
            </w:tcBorders>
            <w:vAlign w:val="center"/>
          </w:tcPr>
          <w:p w14:paraId="3B79594A">
            <w:pPr>
              <w:pStyle w:val="35"/>
              <w:keepNext w:val="0"/>
              <w:keepLines w:val="0"/>
              <w:pageBreakBefore w:val="0"/>
              <w:widowControl/>
              <w:kinsoku/>
              <w:wordWrap w:val="0"/>
              <w:overflowPunct/>
              <w:topLinePunct/>
              <w:autoSpaceDE/>
              <w:autoSpaceDN/>
              <w:bidi w:val="0"/>
              <w:adjustRightInd w:val="0"/>
              <w:snapToGrid w:val="0"/>
              <w:spacing w:line="240" w:lineRule="auto"/>
              <w:ind w:left="12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受影响对象</w:t>
            </w:r>
          </w:p>
        </w:tc>
        <w:tc>
          <w:tcPr>
            <w:tcW w:w="2052" w:type="dxa"/>
            <w:tcBorders>
              <w:tl2br w:val="nil"/>
              <w:tr2bl w:val="nil"/>
            </w:tcBorders>
            <w:vAlign w:val="center"/>
          </w:tcPr>
          <w:p w14:paraId="42A6C1BB">
            <w:pPr>
              <w:pStyle w:val="35"/>
              <w:keepNext w:val="0"/>
              <w:keepLines w:val="0"/>
              <w:pageBreakBefore w:val="0"/>
              <w:widowControl/>
              <w:kinsoku/>
              <w:wordWrap w:val="0"/>
              <w:overflowPunct/>
              <w:topLinePunct/>
              <w:autoSpaceDE/>
              <w:autoSpaceDN/>
              <w:bidi w:val="0"/>
              <w:adjustRightInd w:val="0"/>
              <w:snapToGrid w:val="0"/>
              <w:spacing w:line="240" w:lineRule="auto"/>
              <w:ind w:left="60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评价因子</w:t>
            </w:r>
          </w:p>
        </w:tc>
        <w:tc>
          <w:tcPr>
            <w:tcW w:w="2225" w:type="dxa"/>
            <w:tcBorders>
              <w:tl2br w:val="nil"/>
              <w:tr2bl w:val="nil"/>
            </w:tcBorders>
            <w:vAlign w:val="center"/>
          </w:tcPr>
          <w:p w14:paraId="69B1D0A3">
            <w:pPr>
              <w:pStyle w:val="35"/>
              <w:keepNext w:val="0"/>
              <w:keepLines w:val="0"/>
              <w:pageBreakBefore w:val="0"/>
              <w:widowControl/>
              <w:kinsoku/>
              <w:wordWrap w:val="0"/>
              <w:overflowPunct/>
              <w:topLinePunct/>
              <w:autoSpaceDE/>
              <w:autoSpaceDN/>
              <w:bidi w:val="0"/>
              <w:adjustRightInd w:val="0"/>
              <w:snapToGrid w:val="0"/>
              <w:spacing w:line="240" w:lineRule="auto"/>
              <w:ind w:left="17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工程内容及影响方式</w:t>
            </w:r>
          </w:p>
        </w:tc>
        <w:tc>
          <w:tcPr>
            <w:tcW w:w="1277" w:type="dxa"/>
            <w:tcBorders>
              <w:tl2br w:val="nil"/>
              <w:tr2bl w:val="nil"/>
            </w:tcBorders>
            <w:vAlign w:val="center"/>
          </w:tcPr>
          <w:p w14:paraId="7F2DDA60">
            <w:pPr>
              <w:pStyle w:val="35"/>
              <w:keepNext w:val="0"/>
              <w:keepLines w:val="0"/>
              <w:pageBreakBefore w:val="0"/>
              <w:widowControl/>
              <w:kinsoku/>
              <w:wordWrap w:val="0"/>
              <w:overflowPunct/>
              <w:topLinePunct/>
              <w:autoSpaceDE/>
              <w:autoSpaceDN/>
              <w:bidi w:val="0"/>
              <w:adjustRightInd w:val="0"/>
              <w:snapToGrid w:val="0"/>
              <w:spacing w:line="240" w:lineRule="auto"/>
              <w:ind w:left="22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影响性质</w:t>
            </w:r>
          </w:p>
        </w:tc>
        <w:tc>
          <w:tcPr>
            <w:tcW w:w="1498" w:type="dxa"/>
            <w:tcBorders>
              <w:tl2br w:val="nil"/>
              <w:tr2bl w:val="nil"/>
            </w:tcBorders>
            <w:vAlign w:val="center"/>
          </w:tcPr>
          <w:p w14:paraId="393B7DB3">
            <w:pPr>
              <w:pStyle w:val="35"/>
              <w:keepNext w:val="0"/>
              <w:keepLines w:val="0"/>
              <w:pageBreakBefore w:val="0"/>
              <w:widowControl/>
              <w:kinsoku/>
              <w:wordWrap w:val="0"/>
              <w:overflowPunct/>
              <w:topLinePunct/>
              <w:autoSpaceDE/>
              <w:autoSpaceDN/>
              <w:bidi w:val="0"/>
              <w:adjustRightInd w:val="0"/>
              <w:snapToGrid w:val="0"/>
              <w:spacing w:line="240" w:lineRule="auto"/>
              <w:ind w:left="33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影响程度</w:t>
            </w:r>
          </w:p>
        </w:tc>
      </w:tr>
      <w:tr w14:paraId="3C63DC7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restart"/>
            <w:tcBorders>
              <w:tl2br w:val="nil"/>
              <w:tr2bl w:val="nil"/>
            </w:tcBorders>
            <w:vAlign w:val="center"/>
          </w:tcPr>
          <w:p w14:paraId="5FC86514">
            <w:pPr>
              <w:pStyle w:val="35"/>
              <w:keepNext w:val="0"/>
              <w:keepLines w:val="0"/>
              <w:pageBreakBefore w:val="0"/>
              <w:widowControl/>
              <w:kinsoku/>
              <w:wordWrap w:val="0"/>
              <w:overflowPunct/>
              <w:topLinePunct/>
              <w:autoSpaceDE/>
              <w:autoSpaceDN/>
              <w:bidi w:val="0"/>
              <w:adjustRightInd w:val="0"/>
              <w:snapToGrid w:val="0"/>
              <w:spacing w:line="240" w:lineRule="auto"/>
              <w:ind w:left="235" w:right="117" w:hanging="10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施工</w:t>
            </w:r>
            <w:r>
              <w:rPr>
                <w:rFonts w:hint="default" w:ascii="Times New Roman" w:hAnsi="Times New Roman" w:cs="Times New Roman"/>
                <w:color w:val="auto"/>
                <w:highlight w:val="none"/>
              </w:rPr>
              <w:t>期</w:t>
            </w:r>
          </w:p>
        </w:tc>
        <w:tc>
          <w:tcPr>
            <w:tcW w:w="1287" w:type="dxa"/>
            <w:tcBorders>
              <w:tl2br w:val="nil"/>
              <w:tr2bl w:val="nil"/>
            </w:tcBorders>
            <w:vAlign w:val="center"/>
          </w:tcPr>
          <w:p w14:paraId="4967212E">
            <w:pPr>
              <w:pStyle w:val="35"/>
              <w:keepNext w:val="0"/>
              <w:keepLines w:val="0"/>
              <w:pageBreakBefore w:val="0"/>
              <w:widowControl/>
              <w:kinsoku/>
              <w:wordWrap w:val="0"/>
              <w:overflowPunct/>
              <w:topLinePunct/>
              <w:autoSpaceDE/>
              <w:autoSpaceDN/>
              <w:bidi w:val="0"/>
              <w:adjustRightInd w:val="0"/>
              <w:snapToGrid w:val="0"/>
              <w:spacing w:line="240" w:lineRule="auto"/>
              <w:ind w:left="43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物种</w:t>
            </w:r>
          </w:p>
        </w:tc>
        <w:tc>
          <w:tcPr>
            <w:tcW w:w="2052" w:type="dxa"/>
            <w:tcBorders>
              <w:tl2br w:val="nil"/>
              <w:tr2bl w:val="nil"/>
            </w:tcBorders>
            <w:vAlign w:val="center"/>
          </w:tcPr>
          <w:p w14:paraId="6A72D26A">
            <w:pPr>
              <w:pStyle w:val="35"/>
              <w:keepNext w:val="0"/>
              <w:keepLines w:val="0"/>
              <w:pageBreakBefore w:val="0"/>
              <w:widowControl/>
              <w:kinsoku/>
              <w:wordWrap w:val="0"/>
              <w:overflowPunct/>
              <w:topLinePunct/>
              <w:autoSpaceDE/>
              <w:autoSpaceDN/>
              <w:bidi w:val="0"/>
              <w:adjustRightInd w:val="0"/>
              <w:snapToGrid w:val="0"/>
              <w:spacing w:line="240" w:lineRule="auto"/>
              <w:ind w:left="113" w:right="103" w:firstLine="7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分布范围、种群数</w:t>
            </w:r>
            <w:r>
              <w:rPr>
                <w:rFonts w:hint="default" w:ascii="Times New Roman" w:hAnsi="Times New Roman" w:cs="Times New Roman"/>
                <w:color w:val="auto"/>
                <w:spacing w:val="-7"/>
                <w:highlight w:val="none"/>
              </w:rPr>
              <w:t>量、种群结构、行为</w:t>
            </w:r>
          </w:p>
        </w:tc>
        <w:tc>
          <w:tcPr>
            <w:tcW w:w="2225" w:type="dxa"/>
            <w:tcBorders>
              <w:tl2br w:val="nil"/>
              <w:tr2bl w:val="nil"/>
            </w:tcBorders>
            <w:vAlign w:val="center"/>
          </w:tcPr>
          <w:p w14:paraId="01D75FF8">
            <w:pPr>
              <w:pStyle w:val="35"/>
              <w:keepNext w:val="0"/>
              <w:keepLines w:val="0"/>
              <w:pageBreakBefore w:val="0"/>
              <w:widowControl/>
              <w:kinsoku/>
              <w:wordWrap w:val="0"/>
              <w:overflowPunct/>
              <w:topLinePunct/>
              <w:autoSpaceDE/>
              <w:autoSpaceDN/>
              <w:bidi w:val="0"/>
              <w:adjustRightInd w:val="0"/>
              <w:snapToGrid w:val="0"/>
              <w:spacing w:line="240" w:lineRule="auto"/>
              <w:ind w:left="565" w:right="162" w:hanging="39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土石方施工等施工建</w:t>
            </w:r>
            <w:r>
              <w:rPr>
                <w:rFonts w:hint="default" w:ascii="Times New Roman" w:hAnsi="Times New Roman" w:cs="Times New Roman"/>
                <w:color w:val="auto"/>
                <w:spacing w:val="-2"/>
                <w:highlight w:val="none"/>
              </w:rPr>
              <w:t>设内容</w:t>
            </w:r>
            <w:r>
              <w:rPr>
                <w:rFonts w:hint="default" w:ascii="Times New Roman" w:hAnsi="Times New Roman" w:eastAsia="Times New Roman" w:cs="Times New Roman"/>
                <w:color w:val="auto"/>
                <w:spacing w:val="-2"/>
                <w:highlight w:val="none"/>
              </w:rPr>
              <w:t>/</w:t>
            </w:r>
            <w:r>
              <w:rPr>
                <w:rFonts w:hint="default" w:ascii="Times New Roman" w:hAnsi="Times New Roman" w:cs="Times New Roman"/>
                <w:color w:val="auto"/>
                <w:spacing w:val="-2"/>
                <w:highlight w:val="none"/>
              </w:rPr>
              <w:t>间接</w:t>
            </w:r>
          </w:p>
        </w:tc>
        <w:tc>
          <w:tcPr>
            <w:tcW w:w="1277" w:type="dxa"/>
            <w:tcBorders>
              <w:tl2br w:val="nil"/>
              <w:tr2bl w:val="nil"/>
            </w:tcBorders>
            <w:vAlign w:val="center"/>
          </w:tcPr>
          <w:p w14:paraId="0097924D">
            <w:pPr>
              <w:pStyle w:val="35"/>
              <w:keepNext w:val="0"/>
              <w:keepLines w:val="0"/>
              <w:pageBreakBefore w:val="0"/>
              <w:widowControl/>
              <w:kinsoku/>
              <w:wordWrap w:val="0"/>
              <w:overflowPunct/>
              <w:topLinePunct/>
              <w:autoSpaceDE/>
              <w:autoSpaceDN/>
              <w:bidi w:val="0"/>
              <w:adjustRightInd w:val="0"/>
              <w:snapToGrid w:val="0"/>
              <w:spacing w:line="240" w:lineRule="auto"/>
              <w:ind w:left="22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短期可逆</w:t>
            </w:r>
          </w:p>
        </w:tc>
        <w:tc>
          <w:tcPr>
            <w:tcW w:w="1498" w:type="dxa"/>
            <w:tcBorders>
              <w:tl2br w:val="nil"/>
              <w:tr2bl w:val="nil"/>
            </w:tcBorders>
            <w:vAlign w:val="center"/>
          </w:tcPr>
          <w:p w14:paraId="7A84F89D">
            <w:pPr>
              <w:pStyle w:val="35"/>
              <w:keepNext w:val="0"/>
              <w:keepLines w:val="0"/>
              <w:pageBreakBefore w:val="0"/>
              <w:widowControl/>
              <w:kinsoku/>
              <w:wordWrap w:val="0"/>
              <w:overflowPunct/>
              <w:topLinePunct/>
              <w:autoSpaceDE/>
              <w:autoSpaceDN/>
              <w:bidi w:val="0"/>
              <w:adjustRightInd w:val="0"/>
              <w:snapToGrid w:val="0"/>
              <w:spacing w:line="240" w:lineRule="auto"/>
              <w:ind w:left="652"/>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弱</w:t>
            </w:r>
          </w:p>
        </w:tc>
      </w:tr>
      <w:tr w14:paraId="6C37540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continue"/>
            <w:tcBorders>
              <w:tl2br w:val="nil"/>
              <w:tr2bl w:val="nil"/>
            </w:tcBorders>
            <w:vAlign w:val="center"/>
          </w:tcPr>
          <w:p w14:paraId="40D13770">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1287" w:type="dxa"/>
            <w:tcBorders>
              <w:tl2br w:val="nil"/>
              <w:tr2bl w:val="nil"/>
            </w:tcBorders>
            <w:vAlign w:val="center"/>
          </w:tcPr>
          <w:p w14:paraId="5F5AEDEF">
            <w:pPr>
              <w:pStyle w:val="35"/>
              <w:keepNext w:val="0"/>
              <w:keepLines w:val="0"/>
              <w:pageBreakBefore w:val="0"/>
              <w:widowControl/>
              <w:kinsoku/>
              <w:wordWrap w:val="0"/>
              <w:overflowPunct/>
              <w:topLinePunct/>
              <w:autoSpaceDE/>
              <w:autoSpaceDN/>
              <w:bidi w:val="0"/>
              <w:adjustRightInd w:val="0"/>
              <w:snapToGrid w:val="0"/>
              <w:spacing w:line="240" w:lineRule="auto"/>
              <w:ind w:left="43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生境</w:t>
            </w:r>
          </w:p>
        </w:tc>
        <w:tc>
          <w:tcPr>
            <w:tcW w:w="2052" w:type="dxa"/>
            <w:tcBorders>
              <w:tl2br w:val="nil"/>
              <w:tr2bl w:val="nil"/>
            </w:tcBorders>
            <w:vAlign w:val="center"/>
          </w:tcPr>
          <w:p w14:paraId="5C30D57F">
            <w:pPr>
              <w:pStyle w:val="35"/>
              <w:keepNext w:val="0"/>
              <w:keepLines w:val="0"/>
              <w:pageBreakBefore w:val="0"/>
              <w:widowControl/>
              <w:kinsoku/>
              <w:wordWrap w:val="0"/>
              <w:overflowPunct/>
              <w:topLinePunct/>
              <w:autoSpaceDE/>
              <w:autoSpaceDN/>
              <w:bidi w:val="0"/>
              <w:adjustRightInd w:val="0"/>
              <w:snapToGrid w:val="0"/>
              <w:spacing w:line="240" w:lineRule="auto"/>
              <w:ind w:left="715" w:right="103" w:hanging="60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7"/>
                <w:highlight w:val="none"/>
              </w:rPr>
              <w:t>生境面积、质量、连</w:t>
            </w:r>
            <w:r>
              <w:rPr>
                <w:rFonts w:hint="default" w:ascii="Times New Roman" w:hAnsi="Times New Roman" w:cs="Times New Roman"/>
                <w:color w:val="auto"/>
                <w:spacing w:val="-2"/>
                <w:highlight w:val="none"/>
              </w:rPr>
              <w:t>通性等</w:t>
            </w:r>
          </w:p>
        </w:tc>
        <w:tc>
          <w:tcPr>
            <w:tcW w:w="2225" w:type="dxa"/>
            <w:tcBorders>
              <w:tl2br w:val="nil"/>
              <w:tr2bl w:val="nil"/>
            </w:tcBorders>
            <w:vAlign w:val="center"/>
          </w:tcPr>
          <w:p w14:paraId="76EC23E1">
            <w:pPr>
              <w:pStyle w:val="35"/>
              <w:keepNext w:val="0"/>
              <w:keepLines w:val="0"/>
              <w:pageBreakBefore w:val="0"/>
              <w:widowControl/>
              <w:kinsoku/>
              <w:wordWrap w:val="0"/>
              <w:overflowPunct/>
              <w:topLinePunct/>
              <w:autoSpaceDE/>
              <w:autoSpaceDN/>
              <w:bidi w:val="0"/>
              <w:adjustRightInd w:val="0"/>
              <w:snapToGrid w:val="0"/>
              <w:spacing w:line="240" w:lineRule="auto"/>
              <w:ind w:left="565" w:right="162" w:hanging="39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土石方施工等施工建</w:t>
            </w:r>
            <w:r>
              <w:rPr>
                <w:rFonts w:hint="default" w:ascii="Times New Roman" w:hAnsi="Times New Roman" w:cs="Times New Roman"/>
                <w:color w:val="auto"/>
                <w:spacing w:val="-2"/>
                <w:highlight w:val="none"/>
              </w:rPr>
              <w:t>设内容</w:t>
            </w:r>
            <w:r>
              <w:rPr>
                <w:rFonts w:hint="default" w:ascii="Times New Roman" w:hAnsi="Times New Roman" w:eastAsia="Times New Roman" w:cs="Times New Roman"/>
                <w:color w:val="auto"/>
                <w:spacing w:val="-2"/>
                <w:highlight w:val="none"/>
              </w:rPr>
              <w:t>/</w:t>
            </w:r>
            <w:r>
              <w:rPr>
                <w:rFonts w:hint="default" w:ascii="Times New Roman" w:hAnsi="Times New Roman" w:cs="Times New Roman"/>
                <w:color w:val="auto"/>
                <w:spacing w:val="-2"/>
                <w:highlight w:val="none"/>
              </w:rPr>
              <w:t>间接</w:t>
            </w:r>
          </w:p>
        </w:tc>
        <w:tc>
          <w:tcPr>
            <w:tcW w:w="1277" w:type="dxa"/>
            <w:tcBorders>
              <w:tl2br w:val="nil"/>
              <w:tr2bl w:val="nil"/>
            </w:tcBorders>
            <w:vAlign w:val="center"/>
          </w:tcPr>
          <w:p w14:paraId="69B9BBC2">
            <w:pPr>
              <w:pStyle w:val="35"/>
              <w:keepNext w:val="0"/>
              <w:keepLines w:val="0"/>
              <w:pageBreakBefore w:val="0"/>
              <w:widowControl/>
              <w:kinsoku/>
              <w:wordWrap w:val="0"/>
              <w:overflowPunct/>
              <w:topLinePunct/>
              <w:autoSpaceDE/>
              <w:autoSpaceDN/>
              <w:bidi w:val="0"/>
              <w:adjustRightInd w:val="0"/>
              <w:snapToGrid w:val="0"/>
              <w:spacing w:line="240" w:lineRule="auto"/>
              <w:ind w:left="22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短期可逆</w:t>
            </w:r>
          </w:p>
        </w:tc>
        <w:tc>
          <w:tcPr>
            <w:tcW w:w="1498" w:type="dxa"/>
            <w:tcBorders>
              <w:tl2br w:val="nil"/>
              <w:tr2bl w:val="nil"/>
            </w:tcBorders>
            <w:vAlign w:val="center"/>
          </w:tcPr>
          <w:p w14:paraId="24E3A17D">
            <w:pPr>
              <w:pStyle w:val="35"/>
              <w:keepNext w:val="0"/>
              <w:keepLines w:val="0"/>
              <w:pageBreakBefore w:val="0"/>
              <w:widowControl/>
              <w:kinsoku/>
              <w:wordWrap w:val="0"/>
              <w:overflowPunct/>
              <w:topLinePunct/>
              <w:autoSpaceDE/>
              <w:autoSpaceDN/>
              <w:bidi w:val="0"/>
              <w:adjustRightInd w:val="0"/>
              <w:snapToGrid w:val="0"/>
              <w:spacing w:line="240" w:lineRule="auto"/>
              <w:ind w:left="65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无</w:t>
            </w:r>
          </w:p>
        </w:tc>
      </w:tr>
      <w:tr w14:paraId="5A350F9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continue"/>
            <w:tcBorders>
              <w:tl2br w:val="nil"/>
              <w:tr2bl w:val="nil"/>
            </w:tcBorders>
            <w:vAlign w:val="center"/>
          </w:tcPr>
          <w:p w14:paraId="57BCA8D9">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1287" w:type="dxa"/>
            <w:tcBorders>
              <w:tl2br w:val="nil"/>
              <w:tr2bl w:val="nil"/>
            </w:tcBorders>
            <w:vAlign w:val="center"/>
          </w:tcPr>
          <w:p w14:paraId="045E2349">
            <w:pPr>
              <w:pStyle w:val="35"/>
              <w:keepNext w:val="0"/>
              <w:keepLines w:val="0"/>
              <w:pageBreakBefore w:val="0"/>
              <w:widowControl/>
              <w:kinsoku/>
              <w:wordWrap w:val="0"/>
              <w:overflowPunct/>
              <w:topLinePunct/>
              <w:autoSpaceDE/>
              <w:autoSpaceDN/>
              <w:bidi w:val="0"/>
              <w:adjustRightInd w:val="0"/>
              <w:snapToGrid w:val="0"/>
              <w:spacing w:line="240" w:lineRule="auto"/>
              <w:ind w:left="23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生物群落</w:t>
            </w:r>
          </w:p>
        </w:tc>
        <w:tc>
          <w:tcPr>
            <w:tcW w:w="2052" w:type="dxa"/>
            <w:tcBorders>
              <w:tl2br w:val="nil"/>
              <w:tr2bl w:val="nil"/>
            </w:tcBorders>
            <w:vAlign w:val="center"/>
          </w:tcPr>
          <w:p w14:paraId="49C27C12">
            <w:pPr>
              <w:pStyle w:val="35"/>
              <w:keepNext w:val="0"/>
              <w:keepLines w:val="0"/>
              <w:pageBreakBefore w:val="0"/>
              <w:widowControl/>
              <w:kinsoku/>
              <w:wordWrap w:val="0"/>
              <w:overflowPunct/>
              <w:topLinePunct/>
              <w:autoSpaceDE/>
              <w:autoSpaceDN/>
              <w:bidi w:val="0"/>
              <w:adjustRightInd w:val="0"/>
              <w:snapToGrid w:val="0"/>
              <w:spacing w:line="240" w:lineRule="auto"/>
              <w:ind w:left="11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7"/>
                <w:highlight w:val="none"/>
              </w:rPr>
              <w:t>物种组成、群落结构</w:t>
            </w:r>
          </w:p>
        </w:tc>
        <w:tc>
          <w:tcPr>
            <w:tcW w:w="2225" w:type="dxa"/>
            <w:tcBorders>
              <w:tl2br w:val="nil"/>
              <w:tr2bl w:val="nil"/>
            </w:tcBorders>
            <w:vAlign w:val="center"/>
          </w:tcPr>
          <w:p w14:paraId="75FAAA49">
            <w:pPr>
              <w:pStyle w:val="35"/>
              <w:keepNext w:val="0"/>
              <w:keepLines w:val="0"/>
              <w:pageBreakBefore w:val="0"/>
              <w:widowControl/>
              <w:kinsoku/>
              <w:wordWrap w:val="0"/>
              <w:overflowPunct/>
              <w:topLinePunct/>
              <w:autoSpaceDE/>
              <w:autoSpaceDN/>
              <w:bidi w:val="0"/>
              <w:adjustRightInd w:val="0"/>
              <w:snapToGrid w:val="0"/>
              <w:spacing w:line="240" w:lineRule="auto"/>
              <w:ind w:left="565" w:right="162" w:hanging="39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土石方施工等施工建</w:t>
            </w:r>
            <w:r>
              <w:rPr>
                <w:rFonts w:hint="default" w:ascii="Times New Roman" w:hAnsi="Times New Roman" w:cs="Times New Roman"/>
                <w:color w:val="auto"/>
                <w:spacing w:val="-2"/>
                <w:highlight w:val="none"/>
              </w:rPr>
              <w:t>设内容</w:t>
            </w:r>
            <w:r>
              <w:rPr>
                <w:rFonts w:hint="default" w:ascii="Times New Roman" w:hAnsi="Times New Roman" w:eastAsia="Times New Roman" w:cs="Times New Roman"/>
                <w:color w:val="auto"/>
                <w:spacing w:val="-2"/>
                <w:highlight w:val="none"/>
              </w:rPr>
              <w:t>/</w:t>
            </w:r>
            <w:r>
              <w:rPr>
                <w:rFonts w:hint="default" w:ascii="Times New Roman" w:hAnsi="Times New Roman" w:cs="Times New Roman"/>
                <w:color w:val="auto"/>
                <w:spacing w:val="-2"/>
                <w:highlight w:val="none"/>
              </w:rPr>
              <w:t>间接</w:t>
            </w:r>
          </w:p>
        </w:tc>
        <w:tc>
          <w:tcPr>
            <w:tcW w:w="1277" w:type="dxa"/>
            <w:tcBorders>
              <w:tl2br w:val="nil"/>
              <w:tr2bl w:val="nil"/>
            </w:tcBorders>
            <w:vAlign w:val="center"/>
          </w:tcPr>
          <w:p w14:paraId="7DA47813">
            <w:pPr>
              <w:pStyle w:val="35"/>
              <w:keepNext w:val="0"/>
              <w:keepLines w:val="0"/>
              <w:pageBreakBefore w:val="0"/>
              <w:widowControl/>
              <w:kinsoku/>
              <w:wordWrap w:val="0"/>
              <w:overflowPunct/>
              <w:topLinePunct/>
              <w:autoSpaceDE/>
              <w:autoSpaceDN/>
              <w:bidi w:val="0"/>
              <w:adjustRightInd w:val="0"/>
              <w:snapToGrid w:val="0"/>
              <w:spacing w:line="240" w:lineRule="auto"/>
              <w:ind w:left="22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短期可逆</w:t>
            </w:r>
          </w:p>
        </w:tc>
        <w:tc>
          <w:tcPr>
            <w:tcW w:w="1498" w:type="dxa"/>
            <w:tcBorders>
              <w:tl2br w:val="nil"/>
              <w:tr2bl w:val="nil"/>
            </w:tcBorders>
            <w:vAlign w:val="center"/>
          </w:tcPr>
          <w:p w14:paraId="65EB4476">
            <w:pPr>
              <w:pStyle w:val="35"/>
              <w:keepNext w:val="0"/>
              <w:keepLines w:val="0"/>
              <w:pageBreakBefore w:val="0"/>
              <w:widowControl/>
              <w:kinsoku/>
              <w:wordWrap w:val="0"/>
              <w:overflowPunct/>
              <w:topLinePunct/>
              <w:autoSpaceDE/>
              <w:autoSpaceDN/>
              <w:bidi w:val="0"/>
              <w:adjustRightInd w:val="0"/>
              <w:snapToGrid w:val="0"/>
              <w:spacing w:line="240" w:lineRule="auto"/>
              <w:ind w:left="65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无</w:t>
            </w:r>
          </w:p>
        </w:tc>
      </w:tr>
      <w:tr w14:paraId="464EC2B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continue"/>
            <w:tcBorders>
              <w:tl2br w:val="nil"/>
              <w:tr2bl w:val="nil"/>
            </w:tcBorders>
            <w:vAlign w:val="center"/>
          </w:tcPr>
          <w:p w14:paraId="6AC15E01">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1287" w:type="dxa"/>
            <w:tcBorders>
              <w:tl2br w:val="nil"/>
              <w:tr2bl w:val="nil"/>
            </w:tcBorders>
            <w:vAlign w:val="center"/>
          </w:tcPr>
          <w:p w14:paraId="096E2973">
            <w:pPr>
              <w:pStyle w:val="35"/>
              <w:keepNext w:val="0"/>
              <w:keepLines w:val="0"/>
              <w:pageBreakBefore w:val="0"/>
              <w:widowControl/>
              <w:kinsoku/>
              <w:wordWrap w:val="0"/>
              <w:overflowPunct/>
              <w:topLinePunct/>
              <w:autoSpaceDE/>
              <w:autoSpaceDN/>
              <w:bidi w:val="0"/>
              <w:adjustRightInd w:val="0"/>
              <w:snapToGrid w:val="0"/>
              <w:spacing w:line="240" w:lineRule="auto"/>
              <w:ind w:left="23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生态系统</w:t>
            </w:r>
          </w:p>
        </w:tc>
        <w:tc>
          <w:tcPr>
            <w:tcW w:w="2052" w:type="dxa"/>
            <w:tcBorders>
              <w:tl2br w:val="nil"/>
              <w:tr2bl w:val="nil"/>
            </w:tcBorders>
            <w:vAlign w:val="center"/>
          </w:tcPr>
          <w:p w14:paraId="18DF9489">
            <w:pPr>
              <w:pStyle w:val="35"/>
              <w:keepNext w:val="0"/>
              <w:keepLines w:val="0"/>
              <w:pageBreakBefore w:val="0"/>
              <w:widowControl/>
              <w:kinsoku/>
              <w:wordWrap w:val="0"/>
              <w:overflowPunct/>
              <w:topLinePunct/>
              <w:autoSpaceDE/>
              <w:autoSpaceDN/>
              <w:bidi w:val="0"/>
              <w:adjustRightInd w:val="0"/>
              <w:snapToGrid w:val="0"/>
              <w:spacing w:line="240" w:lineRule="auto"/>
              <w:ind w:left="19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植被覆盖度、生产</w:t>
            </w:r>
          </w:p>
          <w:p w14:paraId="170D1393">
            <w:pPr>
              <w:pStyle w:val="35"/>
              <w:keepNext w:val="0"/>
              <w:keepLines w:val="0"/>
              <w:pageBreakBefore w:val="0"/>
              <w:widowControl/>
              <w:kinsoku/>
              <w:wordWrap w:val="0"/>
              <w:overflowPunct/>
              <w:topLinePunct/>
              <w:autoSpaceDE/>
              <w:autoSpaceDN/>
              <w:bidi w:val="0"/>
              <w:adjustRightInd w:val="0"/>
              <w:snapToGrid w:val="0"/>
              <w:spacing w:line="240" w:lineRule="auto"/>
              <w:ind w:left="11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7"/>
                <w:highlight w:val="none"/>
              </w:rPr>
              <w:t>力、生物量、生态系</w:t>
            </w:r>
            <w:r>
              <w:rPr>
                <w:rFonts w:hint="default" w:ascii="Times New Roman" w:hAnsi="Times New Roman" w:cs="Times New Roman"/>
                <w:color w:val="auto"/>
                <w:spacing w:val="-3"/>
                <w:highlight w:val="none"/>
              </w:rPr>
              <w:t>统功能</w:t>
            </w:r>
          </w:p>
        </w:tc>
        <w:tc>
          <w:tcPr>
            <w:tcW w:w="2225" w:type="dxa"/>
            <w:tcBorders>
              <w:tl2br w:val="nil"/>
              <w:tr2bl w:val="nil"/>
            </w:tcBorders>
            <w:vAlign w:val="center"/>
          </w:tcPr>
          <w:p w14:paraId="43F93A5D">
            <w:pPr>
              <w:pStyle w:val="35"/>
              <w:keepNext w:val="0"/>
              <w:keepLines w:val="0"/>
              <w:pageBreakBefore w:val="0"/>
              <w:widowControl/>
              <w:kinsoku/>
              <w:wordWrap w:val="0"/>
              <w:overflowPunct/>
              <w:topLinePunct/>
              <w:autoSpaceDE/>
              <w:autoSpaceDN/>
              <w:bidi w:val="0"/>
              <w:adjustRightInd w:val="0"/>
              <w:snapToGrid w:val="0"/>
              <w:spacing w:line="240" w:lineRule="auto"/>
              <w:ind w:left="565" w:right="162" w:hanging="39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土石方施工等施工建</w:t>
            </w:r>
            <w:r>
              <w:rPr>
                <w:rFonts w:hint="default" w:ascii="Times New Roman" w:hAnsi="Times New Roman" w:cs="Times New Roman"/>
                <w:color w:val="auto"/>
                <w:spacing w:val="-2"/>
                <w:highlight w:val="none"/>
              </w:rPr>
              <w:t>设内容</w:t>
            </w:r>
            <w:r>
              <w:rPr>
                <w:rFonts w:hint="default" w:ascii="Times New Roman" w:hAnsi="Times New Roman" w:eastAsia="Times New Roman" w:cs="Times New Roman"/>
                <w:color w:val="auto"/>
                <w:spacing w:val="-2"/>
                <w:highlight w:val="none"/>
              </w:rPr>
              <w:t>/</w:t>
            </w:r>
            <w:r>
              <w:rPr>
                <w:rFonts w:hint="default" w:ascii="Times New Roman" w:hAnsi="Times New Roman" w:cs="Times New Roman"/>
                <w:color w:val="auto"/>
                <w:spacing w:val="-2"/>
                <w:highlight w:val="none"/>
              </w:rPr>
              <w:t>间接</w:t>
            </w:r>
          </w:p>
        </w:tc>
        <w:tc>
          <w:tcPr>
            <w:tcW w:w="1277" w:type="dxa"/>
            <w:tcBorders>
              <w:tl2br w:val="nil"/>
              <w:tr2bl w:val="nil"/>
            </w:tcBorders>
            <w:vAlign w:val="center"/>
          </w:tcPr>
          <w:p w14:paraId="35A6BEC5">
            <w:pPr>
              <w:pStyle w:val="35"/>
              <w:keepNext w:val="0"/>
              <w:keepLines w:val="0"/>
              <w:pageBreakBefore w:val="0"/>
              <w:widowControl/>
              <w:kinsoku/>
              <w:wordWrap w:val="0"/>
              <w:overflowPunct/>
              <w:topLinePunct/>
              <w:autoSpaceDE/>
              <w:autoSpaceDN/>
              <w:bidi w:val="0"/>
              <w:adjustRightInd w:val="0"/>
              <w:snapToGrid w:val="0"/>
              <w:spacing w:line="240" w:lineRule="auto"/>
              <w:ind w:left="22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短期可逆</w:t>
            </w:r>
          </w:p>
        </w:tc>
        <w:tc>
          <w:tcPr>
            <w:tcW w:w="1498" w:type="dxa"/>
            <w:tcBorders>
              <w:tl2br w:val="nil"/>
              <w:tr2bl w:val="nil"/>
            </w:tcBorders>
            <w:vAlign w:val="center"/>
          </w:tcPr>
          <w:p w14:paraId="03A8AA21">
            <w:pPr>
              <w:pStyle w:val="35"/>
              <w:keepNext w:val="0"/>
              <w:keepLines w:val="0"/>
              <w:pageBreakBefore w:val="0"/>
              <w:widowControl/>
              <w:kinsoku/>
              <w:wordWrap w:val="0"/>
              <w:overflowPunct/>
              <w:topLinePunct/>
              <w:autoSpaceDE/>
              <w:autoSpaceDN/>
              <w:bidi w:val="0"/>
              <w:adjustRightInd w:val="0"/>
              <w:snapToGrid w:val="0"/>
              <w:spacing w:line="240" w:lineRule="auto"/>
              <w:ind w:left="65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无</w:t>
            </w:r>
          </w:p>
        </w:tc>
      </w:tr>
      <w:tr w14:paraId="4D46C94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continue"/>
            <w:tcBorders>
              <w:tl2br w:val="nil"/>
              <w:tr2bl w:val="nil"/>
            </w:tcBorders>
            <w:vAlign w:val="center"/>
          </w:tcPr>
          <w:p w14:paraId="32195F5F">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1287" w:type="dxa"/>
            <w:tcBorders>
              <w:tl2br w:val="nil"/>
              <w:tr2bl w:val="nil"/>
            </w:tcBorders>
            <w:vAlign w:val="center"/>
          </w:tcPr>
          <w:p w14:paraId="4A6E18C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生物多样性</w:t>
            </w:r>
          </w:p>
        </w:tc>
        <w:tc>
          <w:tcPr>
            <w:tcW w:w="2052" w:type="dxa"/>
            <w:tcBorders>
              <w:tl2br w:val="nil"/>
              <w:tr2bl w:val="nil"/>
            </w:tcBorders>
            <w:vAlign w:val="center"/>
          </w:tcPr>
          <w:p w14:paraId="375B470C">
            <w:pPr>
              <w:pStyle w:val="35"/>
              <w:keepNext w:val="0"/>
              <w:keepLines w:val="0"/>
              <w:pageBreakBefore w:val="0"/>
              <w:widowControl/>
              <w:kinsoku/>
              <w:wordWrap w:val="0"/>
              <w:overflowPunct/>
              <w:topLinePunct/>
              <w:autoSpaceDE/>
              <w:autoSpaceDN/>
              <w:bidi w:val="0"/>
              <w:adjustRightInd w:val="0"/>
              <w:snapToGrid w:val="0"/>
              <w:spacing w:line="240" w:lineRule="auto"/>
              <w:ind w:left="503" w:right="182" w:hanging="31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物种丰富度、均匀度、优势度</w:t>
            </w:r>
          </w:p>
        </w:tc>
        <w:tc>
          <w:tcPr>
            <w:tcW w:w="2225" w:type="dxa"/>
            <w:tcBorders>
              <w:tl2br w:val="nil"/>
              <w:tr2bl w:val="nil"/>
            </w:tcBorders>
            <w:vAlign w:val="center"/>
          </w:tcPr>
          <w:p w14:paraId="689726FB">
            <w:pPr>
              <w:pStyle w:val="35"/>
              <w:keepNext w:val="0"/>
              <w:keepLines w:val="0"/>
              <w:pageBreakBefore w:val="0"/>
              <w:widowControl/>
              <w:kinsoku/>
              <w:wordWrap w:val="0"/>
              <w:overflowPunct/>
              <w:topLinePunct/>
              <w:autoSpaceDE/>
              <w:autoSpaceDN/>
              <w:bidi w:val="0"/>
              <w:adjustRightInd w:val="0"/>
              <w:snapToGrid w:val="0"/>
              <w:spacing w:line="240" w:lineRule="auto"/>
              <w:ind w:left="565" w:right="162" w:hanging="39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土石方施工等施工建</w:t>
            </w:r>
            <w:r>
              <w:rPr>
                <w:rFonts w:hint="default" w:ascii="Times New Roman" w:hAnsi="Times New Roman" w:cs="Times New Roman"/>
                <w:color w:val="auto"/>
                <w:spacing w:val="-2"/>
                <w:highlight w:val="none"/>
              </w:rPr>
              <w:t>设内容</w:t>
            </w:r>
            <w:r>
              <w:rPr>
                <w:rFonts w:hint="default" w:ascii="Times New Roman" w:hAnsi="Times New Roman" w:eastAsia="Times New Roman" w:cs="Times New Roman"/>
                <w:color w:val="auto"/>
                <w:spacing w:val="-2"/>
                <w:highlight w:val="none"/>
              </w:rPr>
              <w:t>/</w:t>
            </w:r>
            <w:r>
              <w:rPr>
                <w:rFonts w:hint="default" w:ascii="Times New Roman" w:hAnsi="Times New Roman" w:cs="Times New Roman"/>
                <w:color w:val="auto"/>
                <w:spacing w:val="-2"/>
                <w:highlight w:val="none"/>
              </w:rPr>
              <w:t>间接</w:t>
            </w:r>
          </w:p>
        </w:tc>
        <w:tc>
          <w:tcPr>
            <w:tcW w:w="1277" w:type="dxa"/>
            <w:tcBorders>
              <w:tl2br w:val="nil"/>
              <w:tr2bl w:val="nil"/>
            </w:tcBorders>
            <w:vAlign w:val="center"/>
          </w:tcPr>
          <w:p w14:paraId="52E40F15">
            <w:pPr>
              <w:pStyle w:val="35"/>
              <w:keepNext w:val="0"/>
              <w:keepLines w:val="0"/>
              <w:pageBreakBefore w:val="0"/>
              <w:widowControl/>
              <w:kinsoku/>
              <w:wordWrap w:val="0"/>
              <w:overflowPunct/>
              <w:topLinePunct/>
              <w:autoSpaceDE/>
              <w:autoSpaceDN/>
              <w:bidi w:val="0"/>
              <w:adjustRightInd w:val="0"/>
              <w:snapToGrid w:val="0"/>
              <w:spacing w:line="240" w:lineRule="auto"/>
              <w:ind w:left="22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短期可逆</w:t>
            </w:r>
          </w:p>
        </w:tc>
        <w:tc>
          <w:tcPr>
            <w:tcW w:w="1498" w:type="dxa"/>
            <w:tcBorders>
              <w:tl2br w:val="nil"/>
              <w:tr2bl w:val="nil"/>
            </w:tcBorders>
            <w:vAlign w:val="center"/>
          </w:tcPr>
          <w:p w14:paraId="131FC167">
            <w:pPr>
              <w:pStyle w:val="35"/>
              <w:keepNext w:val="0"/>
              <w:keepLines w:val="0"/>
              <w:pageBreakBefore w:val="0"/>
              <w:widowControl/>
              <w:kinsoku/>
              <w:wordWrap w:val="0"/>
              <w:overflowPunct/>
              <w:topLinePunct/>
              <w:autoSpaceDE/>
              <w:autoSpaceDN/>
              <w:bidi w:val="0"/>
              <w:adjustRightInd w:val="0"/>
              <w:snapToGrid w:val="0"/>
              <w:spacing w:line="240" w:lineRule="auto"/>
              <w:ind w:left="65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无</w:t>
            </w:r>
          </w:p>
        </w:tc>
      </w:tr>
      <w:tr w14:paraId="220F0D7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restart"/>
            <w:tcBorders>
              <w:tl2br w:val="nil"/>
              <w:tr2bl w:val="nil"/>
            </w:tcBorders>
            <w:vAlign w:val="center"/>
          </w:tcPr>
          <w:p w14:paraId="4DC0C974">
            <w:pPr>
              <w:pStyle w:val="35"/>
              <w:keepNext w:val="0"/>
              <w:keepLines w:val="0"/>
              <w:pageBreakBefore w:val="0"/>
              <w:widowControl/>
              <w:kinsoku/>
              <w:wordWrap w:val="0"/>
              <w:overflowPunct/>
              <w:topLinePunct/>
              <w:autoSpaceDE/>
              <w:autoSpaceDN/>
              <w:bidi w:val="0"/>
              <w:adjustRightInd w:val="0"/>
              <w:snapToGrid w:val="0"/>
              <w:spacing w:line="240" w:lineRule="auto"/>
              <w:ind w:left="235" w:right="117" w:hanging="10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运营</w:t>
            </w:r>
            <w:r>
              <w:rPr>
                <w:rFonts w:hint="default" w:ascii="Times New Roman" w:hAnsi="Times New Roman" w:cs="Times New Roman"/>
                <w:color w:val="auto"/>
                <w:highlight w:val="none"/>
              </w:rPr>
              <w:t>期</w:t>
            </w:r>
          </w:p>
        </w:tc>
        <w:tc>
          <w:tcPr>
            <w:tcW w:w="1287" w:type="dxa"/>
            <w:tcBorders>
              <w:tl2br w:val="nil"/>
              <w:tr2bl w:val="nil"/>
            </w:tcBorders>
            <w:vAlign w:val="center"/>
          </w:tcPr>
          <w:p w14:paraId="259E267B">
            <w:pPr>
              <w:pStyle w:val="35"/>
              <w:keepNext w:val="0"/>
              <w:keepLines w:val="0"/>
              <w:pageBreakBefore w:val="0"/>
              <w:widowControl/>
              <w:kinsoku/>
              <w:wordWrap w:val="0"/>
              <w:overflowPunct/>
              <w:topLinePunct/>
              <w:autoSpaceDE/>
              <w:autoSpaceDN/>
              <w:bidi w:val="0"/>
              <w:adjustRightInd w:val="0"/>
              <w:snapToGrid w:val="0"/>
              <w:spacing w:line="240" w:lineRule="auto"/>
              <w:ind w:left="43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物种</w:t>
            </w:r>
          </w:p>
        </w:tc>
        <w:tc>
          <w:tcPr>
            <w:tcW w:w="2052" w:type="dxa"/>
            <w:tcBorders>
              <w:tl2br w:val="nil"/>
              <w:tr2bl w:val="nil"/>
            </w:tcBorders>
            <w:vAlign w:val="center"/>
          </w:tcPr>
          <w:p w14:paraId="6D2FBD54">
            <w:pPr>
              <w:pStyle w:val="35"/>
              <w:keepNext w:val="0"/>
              <w:keepLines w:val="0"/>
              <w:pageBreakBefore w:val="0"/>
              <w:widowControl/>
              <w:kinsoku/>
              <w:wordWrap w:val="0"/>
              <w:overflowPunct/>
              <w:topLinePunct/>
              <w:autoSpaceDE/>
              <w:autoSpaceDN/>
              <w:bidi w:val="0"/>
              <w:adjustRightInd w:val="0"/>
              <w:snapToGrid w:val="0"/>
              <w:spacing w:line="240" w:lineRule="auto"/>
              <w:ind w:left="113" w:right="103" w:firstLine="7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分布范围、种群数</w:t>
            </w:r>
            <w:r>
              <w:rPr>
                <w:rFonts w:hint="default" w:ascii="Times New Roman" w:hAnsi="Times New Roman" w:cs="Times New Roman"/>
                <w:color w:val="auto"/>
                <w:spacing w:val="-7"/>
                <w:highlight w:val="none"/>
              </w:rPr>
              <w:t>量、种群结构、行为</w:t>
            </w:r>
          </w:p>
        </w:tc>
        <w:tc>
          <w:tcPr>
            <w:tcW w:w="2225" w:type="dxa"/>
            <w:tcBorders>
              <w:tl2br w:val="nil"/>
              <w:tr2bl w:val="nil"/>
            </w:tcBorders>
            <w:vAlign w:val="center"/>
          </w:tcPr>
          <w:p w14:paraId="33CC5074">
            <w:pPr>
              <w:pStyle w:val="35"/>
              <w:keepNext w:val="0"/>
              <w:keepLines w:val="0"/>
              <w:pageBreakBefore w:val="0"/>
              <w:widowControl/>
              <w:kinsoku/>
              <w:wordWrap w:val="0"/>
              <w:overflowPunct/>
              <w:topLinePunct/>
              <w:autoSpaceDE/>
              <w:autoSpaceDN/>
              <w:bidi w:val="0"/>
              <w:adjustRightInd w:val="0"/>
              <w:snapToGrid w:val="0"/>
              <w:spacing w:line="240" w:lineRule="auto"/>
              <w:ind w:left="35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废气、噪声</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1"/>
                <w:highlight w:val="none"/>
              </w:rPr>
              <w:t>间接</w:t>
            </w:r>
          </w:p>
        </w:tc>
        <w:tc>
          <w:tcPr>
            <w:tcW w:w="1277" w:type="dxa"/>
            <w:tcBorders>
              <w:tl2br w:val="nil"/>
              <w:tr2bl w:val="nil"/>
            </w:tcBorders>
            <w:vAlign w:val="center"/>
          </w:tcPr>
          <w:p w14:paraId="2CE3C027">
            <w:pPr>
              <w:pStyle w:val="35"/>
              <w:keepNext w:val="0"/>
              <w:keepLines w:val="0"/>
              <w:pageBreakBefore w:val="0"/>
              <w:widowControl/>
              <w:kinsoku/>
              <w:wordWrap w:val="0"/>
              <w:overflowPunct/>
              <w:topLinePunct/>
              <w:autoSpaceDE/>
              <w:autoSpaceDN/>
              <w:bidi w:val="0"/>
              <w:adjustRightInd w:val="0"/>
              <w:snapToGrid w:val="0"/>
              <w:spacing w:line="240" w:lineRule="auto"/>
              <w:ind w:left="22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长期可逆</w:t>
            </w:r>
          </w:p>
        </w:tc>
        <w:tc>
          <w:tcPr>
            <w:tcW w:w="1498" w:type="dxa"/>
            <w:tcBorders>
              <w:tl2br w:val="nil"/>
              <w:tr2bl w:val="nil"/>
            </w:tcBorders>
            <w:vAlign w:val="center"/>
          </w:tcPr>
          <w:p w14:paraId="73FE352F">
            <w:pPr>
              <w:pStyle w:val="35"/>
              <w:keepNext w:val="0"/>
              <w:keepLines w:val="0"/>
              <w:pageBreakBefore w:val="0"/>
              <w:widowControl/>
              <w:kinsoku/>
              <w:wordWrap w:val="0"/>
              <w:overflowPunct/>
              <w:topLinePunct/>
              <w:autoSpaceDE/>
              <w:autoSpaceDN/>
              <w:bidi w:val="0"/>
              <w:adjustRightInd w:val="0"/>
              <w:snapToGrid w:val="0"/>
              <w:spacing w:line="240" w:lineRule="auto"/>
              <w:ind w:left="652"/>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弱</w:t>
            </w:r>
          </w:p>
        </w:tc>
      </w:tr>
      <w:tr w14:paraId="1EE2EAA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continue"/>
            <w:tcBorders>
              <w:tl2br w:val="nil"/>
              <w:tr2bl w:val="nil"/>
            </w:tcBorders>
            <w:vAlign w:val="center"/>
          </w:tcPr>
          <w:p w14:paraId="3483BBF2">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1287" w:type="dxa"/>
            <w:tcBorders>
              <w:tl2br w:val="nil"/>
              <w:tr2bl w:val="nil"/>
            </w:tcBorders>
            <w:vAlign w:val="center"/>
          </w:tcPr>
          <w:p w14:paraId="66654F3E">
            <w:pPr>
              <w:pStyle w:val="35"/>
              <w:keepNext w:val="0"/>
              <w:keepLines w:val="0"/>
              <w:pageBreakBefore w:val="0"/>
              <w:widowControl/>
              <w:kinsoku/>
              <w:wordWrap w:val="0"/>
              <w:overflowPunct/>
              <w:topLinePunct/>
              <w:autoSpaceDE/>
              <w:autoSpaceDN/>
              <w:bidi w:val="0"/>
              <w:adjustRightInd w:val="0"/>
              <w:snapToGrid w:val="0"/>
              <w:spacing w:line="240" w:lineRule="auto"/>
              <w:ind w:left="43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生境</w:t>
            </w:r>
          </w:p>
        </w:tc>
        <w:tc>
          <w:tcPr>
            <w:tcW w:w="2052" w:type="dxa"/>
            <w:tcBorders>
              <w:tl2br w:val="nil"/>
              <w:tr2bl w:val="nil"/>
            </w:tcBorders>
            <w:vAlign w:val="center"/>
          </w:tcPr>
          <w:p w14:paraId="1FDE067E">
            <w:pPr>
              <w:pStyle w:val="35"/>
              <w:keepNext w:val="0"/>
              <w:keepLines w:val="0"/>
              <w:pageBreakBefore w:val="0"/>
              <w:widowControl/>
              <w:kinsoku/>
              <w:wordWrap w:val="0"/>
              <w:overflowPunct/>
              <w:topLinePunct/>
              <w:autoSpaceDE/>
              <w:autoSpaceDN/>
              <w:bidi w:val="0"/>
              <w:adjustRightInd w:val="0"/>
              <w:snapToGrid w:val="0"/>
              <w:spacing w:line="240" w:lineRule="auto"/>
              <w:ind w:left="715" w:right="103" w:hanging="60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7"/>
                <w:highlight w:val="none"/>
              </w:rPr>
              <w:t>生境面积、质量、连</w:t>
            </w:r>
            <w:r>
              <w:rPr>
                <w:rFonts w:hint="default" w:ascii="Times New Roman" w:hAnsi="Times New Roman" w:cs="Times New Roman"/>
                <w:color w:val="auto"/>
                <w:spacing w:val="-2"/>
                <w:highlight w:val="none"/>
              </w:rPr>
              <w:t>通性等</w:t>
            </w:r>
          </w:p>
        </w:tc>
        <w:tc>
          <w:tcPr>
            <w:tcW w:w="2225" w:type="dxa"/>
            <w:tcBorders>
              <w:tl2br w:val="nil"/>
              <w:tr2bl w:val="nil"/>
            </w:tcBorders>
            <w:vAlign w:val="center"/>
          </w:tcPr>
          <w:p w14:paraId="310F2E63">
            <w:pPr>
              <w:pStyle w:val="35"/>
              <w:keepNext w:val="0"/>
              <w:keepLines w:val="0"/>
              <w:pageBreakBefore w:val="0"/>
              <w:widowControl/>
              <w:kinsoku/>
              <w:wordWrap w:val="0"/>
              <w:overflowPunct/>
              <w:topLinePunct/>
              <w:autoSpaceDE/>
              <w:autoSpaceDN/>
              <w:bidi w:val="0"/>
              <w:adjustRightInd w:val="0"/>
              <w:snapToGrid w:val="0"/>
              <w:spacing w:line="240" w:lineRule="auto"/>
              <w:ind w:left="35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废气、噪声</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1"/>
                <w:highlight w:val="none"/>
              </w:rPr>
              <w:t>间接</w:t>
            </w:r>
          </w:p>
        </w:tc>
        <w:tc>
          <w:tcPr>
            <w:tcW w:w="1277" w:type="dxa"/>
            <w:tcBorders>
              <w:tl2br w:val="nil"/>
              <w:tr2bl w:val="nil"/>
            </w:tcBorders>
            <w:vAlign w:val="center"/>
          </w:tcPr>
          <w:p w14:paraId="3D87928B">
            <w:pPr>
              <w:pStyle w:val="35"/>
              <w:keepNext w:val="0"/>
              <w:keepLines w:val="0"/>
              <w:pageBreakBefore w:val="0"/>
              <w:widowControl/>
              <w:kinsoku/>
              <w:wordWrap w:val="0"/>
              <w:overflowPunct/>
              <w:topLinePunct/>
              <w:autoSpaceDE/>
              <w:autoSpaceDN/>
              <w:bidi w:val="0"/>
              <w:adjustRightInd w:val="0"/>
              <w:snapToGrid w:val="0"/>
              <w:spacing w:line="240" w:lineRule="auto"/>
              <w:ind w:left="22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长期可逆</w:t>
            </w:r>
          </w:p>
        </w:tc>
        <w:tc>
          <w:tcPr>
            <w:tcW w:w="1498" w:type="dxa"/>
            <w:tcBorders>
              <w:tl2br w:val="nil"/>
              <w:tr2bl w:val="nil"/>
            </w:tcBorders>
            <w:vAlign w:val="center"/>
          </w:tcPr>
          <w:p w14:paraId="5ABADE9C">
            <w:pPr>
              <w:pStyle w:val="35"/>
              <w:keepNext w:val="0"/>
              <w:keepLines w:val="0"/>
              <w:pageBreakBefore w:val="0"/>
              <w:widowControl/>
              <w:kinsoku/>
              <w:wordWrap w:val="0"/>
              <w:overflowPunct/>
              <w:topLinePunct/>
              <w:autoSpaceDE/>
              <w:autoSpaceDN/>
              <w:bidi w:val="0"/>
              <w:adjustRightInd w:val="0"/>
              <w:snapToGrid w:val="0"/>
              <w:spacing w:line="240" w:lineRule="auto"/>
              <w:ind w:left="65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无</w:t>
            </w:r>
          </w:p>
        </w:tc>
      </w:tr>
      <w:tr w14:paraId="1A10B9E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continue"/>
            <w:tcBorders>
              <w:tl2br w:val="nil"/>
              <w:tr2bl w:val="nil"/>
            </w:tcBorders>
            <w:vAlign w:val="center"/>
          </w:tcPr>
          <w:p w14:paraId="6357D1B4">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1287" w:type="dxa"/>
            <w:tcBorders>
              <w:tl2br w:val="nil"/>
              <w:tr2bl w:val="nil"/>
            </w:tcBorders>
            <w:vAlign w:val="center"/>
          </w:tcPr>
          <w:p w14:paraId="1126B4E0">
            <w:pPr>
              <w:pStyle w:val="35"/>
              <w:keepNext w:val="0"/>
              <w:keepLines w:val="0"/>
              <w:pageBreakBefore w:val="0"/>
              <w:widowControl/>
              <w:kinsoku/>
              <w:wordWrap w:val="0"/>
              <w:overflowPunct/>
              <w:topLinePunct/>
              <w:autoSpaceDE/>
              <w:autoSpaceDN/>
              <w:bidi w:val="0"/>
              <w:adjustRightInd w:val="0"/>
              <w:snapToGrid w:val="0"/>
              <w:spacing w:line="240" w:lineRule="auto"/>
              <w:ind w:left="23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生物群落</w:t>
            </w:r>
          </w:p>
        </w:tc>
        <w:tc>
          <w:tcPr>
            <w:tcW w:w="2052" w:type="dxa"/>
            <w:tcBorders>
              <w:tl2br w:val="nil"/>
              <w:tr2bl w:val="nil"/>
            </w:tcBorders>
            <w:vAlign w:val="center"/>
          </w:tcPr>
          <w:p w14:paraId="184BAD93">
            <w:pPr>
              <w:pStyle w:val="35"/>
              <w:keepNext w:val="0"/>
              <w:keepLines w:val="0"/>
              <w:pageBreakBefore w:val="0"/>
              <w:widowControl/>
              <w:kinsoku/>
              <w:wordWrap w:val="0"/>
              <w:overflowPunct/>
              <w:topLinePunct/>
              <w:autoSpaceDE/>
              <w:autoSpaceDN/>
              <w:bidi w:val="0"/>
              <w:adjustRightInd w:val="0"/>
              <w:snapToGrid w:val="0"/>
              <w:spacing w:line="240" w:lineRule="auto"/>
              <w:ind w:left="11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7"/>
                <w:highlight w:val="none"/>
              </w:rPr>
              <w:t>物种组成、群落结构</w:t>
            </w:r>
          </w:p>
        </w:tc>
        <w:tc>
          <w:tcPr>
            <w:tcW w:w="2225" w:type="dxa"/>
            <w:tcBorders>
              <w:tl2br w:val="nil"/>
              <w:tr2bl w:val="nil"/>
            </w:tcBorders>
            <w:vAlign w:val="center"/>
          </w:tcPr>
          <w:p w14:paraId="5AC87B43">
            <w:pPr>
              <w:pStyle w:val="35"/>
              <w:keepNext w:val="0"/>
              <w:keepLines w:val="0"/>
              <w:pageBreakBefore w:val="0"/>
              <w:widowControl/>
              <w:kinsoku/>
              <w:wordWrap w:val="0"/>
              <w:overflowPunct/>
              <w:topLinePunct/>
              <w:autoSpaceDE/>
              <w:autoSpaceDN/>
              <w:bidi w:val="0"/>
              <w:adjustRightInd w:val="0"/>
              <w:snapToGrid w:val="0"/>
              <w:spacing w:line="240" w:lineRule="auto"/>
              <w:ind w:left="35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废气、噪声</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1"/>
                <w:highlight w:val="none"/>
              </w:rPr>
              <w:t>间接</w:t>
            </w:r>
          </w:p>
        </w:tc>
        <w:tc>
          <w:tcPr>
            <w:tcW w:w="1277" w:type="dxa"/>
            <w:tcBorders>
              <w:tl2br w:val="nil"/>
              <w:tr2bl w:val="nil"/>
            </w:tcBorders>
            <w:vAlign w:val="center"/>
          </w:tcPr>
          <w:p w14:paraId="6AC3FCB7">
            <w:pPr>
              <w:pStyle w:val="35"/>
              <w:keepNext w:val="0"/>
              <w:keepLines w:val="0"/>
              <w:pageBreakBefore w:val="0"/>
              <w:widowControl/>
              <w:kinsoku/>
              <w:wordWrap w:val="0"/>
              <w:overflowPunct/>
              <w:topLinePunct/>
              <w:autoSpaceDE/>
              <w:autoSpaceDN/>
              <w:bidi w:val="0"/>
              <w:adjustRightInd w:val="0"/>
              <w:snapToGrid w:val="0"/>
              <w:spacing w:line="240" w:lineRule="auto"/>
              <w:ind w:left="22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长期可逆</w:t>
            </w:r>
          </w:p>
        </w:tc>
        <w:tc>
          <w:tcPr>
            <w:tcW w:w="1498" w:type="dxa"/>
            <w:tcBorders>
              <w:tl2br w:val="nil"/>
              <w:tr2bl w:val="nil"/>
            </w:tcBorders>
            <w:vAlign w:val="center"/>
          </w:tcPr>
          <w:p w14:paraId="5F68DF4D">
            <w:pPr>
              <w:pStyle w:val="35"/>
              <w:keepNext w:val="0"/>
              <w:keepLines w:val="0"/>
              <w:pageBreakBefore w:val="0"/>
              <w:widowControl/>
              <w:kinsoku/>
              <w:wordWrap w:val="0"/>
              <w:overflowPunct/>
              <w:topLinePunct/>
              <w:autoSpaceDE/>
              <w:autoSpaceDN/>
              <w:bidi w:val="0"/>
              <w:adjustRightInd w:val="0"/>
              <w:snapToGrid w:val="0"/>
              <w:spacing w:line="240" w:lineRule="auto"/>
              <w:ind w:left="65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无</w:t>
            </w:r>
          </w:p>
        </w:tc>
      </w:tr>
      <w:tr w14:paraId="578DEDA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continue"/>
            <w:tcBorders>
              <w:tl2br w:val="nil"/>
              <w:tr2bl w:val="nil"/>
            </w:tcBorders>
            <w:vAlign w:val="center"/>
          </w:tcPr>
          <w:p w14:paraId="37445C44">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1287" w:type="dxa"/>
            <w:tcBorders>
              <w:tl2br w:val="nil"/>
              <w:tr2bl w:val="nil"/>
            </w:tcBorders>
            <w:vAlign w:val="center"/>
          </w:tcPr>
          <w:p w14:paraId="1DA16929">
            <w:pPr>
              <w:pStyle w:val="35"/>
              <w:keepNext w:val="0"/>
              <w:keepLines w:val="0"/>
              <w:pageBreakBefore w:val="0"/>
              <w:widowControl/>
              <w:kinsoku/>
              <w:wordWrap w:val="0"/>
              <w:overflowPunct/>
              <w:topLinePunct/>
              <w:autoSpaceDE/>
              <w:autoSpaceDN/>
              <w:bidi w:val="0"/>
              <w:adjustRightInd w:val="0"/>
              <w:snapToGrid w:val="0"/>
              <w:spacing w:line="240" w:lineRule="auto"/>
              <w:ind w:left="23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生态系统</w:t>
            </w:r>
          </w:p>
        </w:tc>
        <w:tc>
          <w:tcPr>
            <w:tcW w:w="2052" w:type="dxa"/>
            <w:tcBorders>
              <w:tl2br w:val="nil"/>
              <w:tr2bl w:val="nil"/>
            </w:tcBorders>
            <w:vAlign w:val="center"/>
          </w:tcPr>
          <w:p w14:paraId="242F0F0D">
            <w:pPr>
              <w:pStyle w:val="35"/>
              <w:keepNext w:val="0"/>
              <w:keepLines w:val="0"/>
              <w:pageBreakBefore w:val="0"/>
              <w:widowControl/>
              <w:kinsoku/>
              <w:wordWrap w:val="0"/>
              <w:overflowPunct/>
              <w:topLinePunct/>
              <w:autoSpaceDE/>
              <w:autoSpaceDN/>
              <w:bidi w:val="0"/>
              <w:adjustRightInd w:val="0"/>
              <w:snapToGrid w:val="0"/>
              <w:spacing w:line="240" w:lineRule="auto"/>
              <w:ind w:left="19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植被覆盖度、生产</w:t>
            </w:r>
          </w:p>
          <w:p w14:paraId="373CE1A6">
            <w:pPr>
              <w:pStyle w:val="35"/>
              <w:keepNext w:val="0"/>
              <w:keepLines w:val="0"/>
              <w:pageBreakBefore w:val="0"/>
              <w:widowControl/>
              <w:kinsoku/>
              <w:wordWrap w:val="0"/>
              <w:overflowPunct/>
              <w:topLinePunct/>
              <w:autoSpaceDE/>
              <w:autoSpaceDN/>
              <w:bidi w:val="0"/>
              <w:adjustRightInd w:val="0"/>
              <w:snapToGrid w:val="0"/>
              <w:spacing w:line="240" w:lineRule="auto"/>
              <w:ind w:left="11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7"/>
                <w:highlight w:val="none"/>
              </w:rPr>
              <w:t>力、生物量、生态系</w:t>
            </w:r>
            <w:r>
              <w:rPr>
                <w:rFonts w:hint="default" w:ascii="Times New Roman" w:hAnsi="Times New Roman" w:cs="Times New Roman"/>
                <w:color w:val="auto"/>
                <w:spacing w:val="-3"/>
                <w:highlight w:val="none"/>
              </w:rPr>
              <w:t>统功能</w:t>
            </w:r>
          </w:p>
        </w:tc>
        <w:tc>
          <w:tcPr>
            <w:tcW w:w="2225" w:type="dxa"/>
            <w:tcBorders>
              <w:tl2br w:val="nil"/>
              <w:tr2bl w:val="nil"/>
            </w:tcBorders>
            <w:vAlign w:val="center"/>
          </w:tcPr>
          <w:p w14:paraId="46A81080">
            <w:pPr>
              <w:pStyle w:val="35"/>
              <w:keepNext w:val="0"/>
              <w:keepLines w:val="0"/>
              <w:pageBreakBefore w:val="0"/>
              <w:widowControl/>
              <w:kinsoku/>
              <w:wordWrap w:val="0"/>
              <w:overflowPunct/>
              <w:topLinePunct/>
              <w:autoSpaceDE/>
              <w:autoSpaceDN/>
              <w:bidi w:val="0"/>
              <w:adjustRightInd w:val="0"/>
              <w:snapToGrid w:val="0"/>
              <w:spacing w:line="240" w:lineRule="auto"/>
              <w:ind w:left="35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废气、噪声</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1"/>
                <w:highlight w:val="none"/>
              </w:rPr>
              <w:t>间接</w:t>
            </w:r>
          </w:p>
        </w:tc>
        <w:tc>
          <w:tcPr>
            <w:tcW w:w="1277" w:type="dxa"/>
            <w:tcBorders>
              <w:tl2br w:val="nil"/>
              <w:tr2bl w:val="nil"/>
            </w:tcBorders>
            <w:vAlign w:val="center"/>
          </w:tcPr>
          <w:p w14:paraId="518959DD">
            <w:pPr>
              <w:pStyle w:val="35"/>
              <w:keepNext w:val="0"/>
              <w:keepLines w:val="0"/>
              <w:pageBreakBefore w:val="0"/>
              <w:widowControl/>
              <w:kinsoku/>
              <w:wordWrap w:val="0"/>
              <w:overflowPunct/>
              <w:topLinePunct/>
              <w:autoSpaceDE/>
              <w:autoSpaceDN/>
              <w:bidi w:val="0"/>
              <w:adjustRightInd w:val="0"/>
              <w:snapToGrid w:val="0"/>
              <w:spacing w:line="240" w:lineRule="auto"/>
              <w:ind w:left="22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长期可逆</w:t>
            </w:r>
          </w:p>
        </w:tc>
        <w:tc>
          <w:tcPr>
            <w:tcW w:w="1498" w:type="dxa"/>
            <w:tcBorders>
              <w:tl2br w:val="nil"/>
              <w:tr2bl w:val="nil"/>
            </w:tcBorders>
            <w:vAlign w:val="center"/>
          </w:tcPr>
          <w:p w14:paraId="5BFA0287">
            <w:pPr>
              <w:pStyle w:val="35"/>
              <w:keepNext w:val="0"/>
              <w:keepLines w:val="0"/>
              <w:pageBreakBefore w:val="0"/>
              <w:widowControl/>
              <w:kinsoku/>
              <w:wordWrap w:val="0"/>
              <w:overflowPunct/>
              <w:topLinePunct/>
              <w:autoSpaceDE/>
              <w:autoSpaceDN/>
              <w:bidi w:val="0"/>
              <w:adjustRightInd w:val="0"/>
              <w:snapToGrid w:val="0"/>
              <w:spacing w:line="240" w:lineRule="auto"/>
              <w:ind w:left="65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无</w:t>
            </w:r>
          </w:p>
        </w:tc>
      </w:tr>
      <w:tr w14:paraId="5A2F32C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65" w:type="dxa"/>
            <w:vMerge w:val="continue"/>
            <w:tcBorders>
              <w:tl2br w:val="nil"/>
              <w:tr2bl w:val="nil"/>
            </w:tcBorders>
            <w:vAlign w:val="center"/>
          </w:tcPr>
          <w:p w14:paraId="784AA823">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1287" w:type="dxa"/>
            <w:tcBorders>
              <w:tl2br w:val="nil"/>
              <w:tr2bl w:val="nil"/>
            </w:tcBorders>
            <w:vAlign w:val="center"/>
          </w:tcPr>
          <w:p w14:paraId="3B636811">
            <w:pPr>
              <w:pStyle w:val="35"/>
              <w:keepNext w:val="0"/>
              <w:keepLines w:val="0"/>
              <w:pageBreakBefore w:val="0"/>
              <w:widowControl/>
              <w:kinsoku/>
              <w:wordWrap w:val="0"/>
              <w:overflowPunct/>
              <w:topLinePunct/>
              <w:autoSpaceDE/>
              <w:autoSpaceDN/>
              <w:bidi w:val="0"/>
              <w:adjustRightInd w:val="0"/>
              <w:snapToGrid w:val="0"/>
              <w:spacing w:line="240" w:lineRule="auto"/>
              <w:ind w:left="12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生物多样性</w:t>
            </w:r>
          </w:p>
        </w:tc>
        <w:tc>
          <w:tcPr>
            <w:tcW w:w="2052" w:type="dxa"/>
            <w:tcBorders>
              <w:tl2br w:val="nil"/>
              <w:tr2bl w:val="nil"/>
            </w:tcBorders>
            <w:vAlign w:val="center"/>
          </w:tcPr>
          <w:p w14:paraId="3116A95A">
            <w:pPr>
              <w:pStyle w:val="35"/>
              <w:keepNext w:val="0"/>
              <w:keepLines w:val="0"/>
              <w:pageBreakBefore w:val="0"/>
              <w:widowControl/>
              <w:kinsoku/>
              <w:wordWrap w:val="0"/>
              <w:overflowPunct/>
              <w:topLinePunct/>
              <w:autoSpaceDE/>
              <w:autoSpaceDN/>
              <w:bidi w:val="0"/>
              <w:adjustRightInd w:val="0"/>
              <w:snapToGrid w:val="0"/>
              <w:spacing w:line="240" w:lineRule="auto"/>
              <w:ind w:left="503" w:right="182" w:hanging="31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物种丰富度、均匀度、优势度</w:t>
            </w:r>
          </w:p>
        </w:tc>
        <w:tc>
          <w:tcPr>
            <w:tcW w:w="2225" w:type="dxa"/>
            <w:tcBorders>
              <w:tl2br w:val="nil"/>
              <w:tr2bl w:val="nil"/>
            </w:tcBorders>
            <w:vAlign w:val="center"/>
          </w:tcPr>
          <w:p w14:paraId="0EAABEB1">
            <w:pPr>
              <w:pStyle w:val="35"/>
              <w:keepNext w:val="0"/>
              <w:keepLines w:val="0"/>
              <w:pageBreakBefore w:val="0"/>
              <w:widowControl/>
              <w:kinsoku/>
              <w:wordWrap w:val="0"/>
              <w:overflowPunct/>
              <w:topLinePunct/>
              <w:autoSpaceDE/>
              <w:autoSpaceDN/>
              <w:bidi w:val="0"/>
              <w:adjustRightInd w:val="0"/>
              <w:snapToGrid w:val="0"/>
              <w:spacing w:line="240" w:lineRule="auto"/>
              <w:ind w:left="35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废气、噪声</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1"/>
                <w:highlight w:val="none"/>
              </w:rPr>
              <w:t>间接</w:t>
            </w:r>
          </w:p>
        </w:tc>
        <w:tc>
          <w:tcPr>
            <w:tcW w:w="1277" w:type="dxa"/>
            <w:tcBorders>
              <w:tl2br w:val="nil"/>
              <w:tr2bl w:val="nil"/>
            </w:tcBorders>
            <w:vAlign w:val="center"/>
          </w:tcPr>
          <w:p w14:paraId="38FABFCC">
            <w:pPr>
              <w:pStyle w:val="35"/>
              <w:keepNext w:val="0"/>
              <w:keepLines w:val="0"/>
              <w:pageBreakBefore w:val="0"/>
              <w:widowControl/>
              <w:kinsoku/>
              <w:wordWrap w:val="0"/>
              <w:overflowPunct/>
              <w:topLinePunct/>
              <w:autoSpaceDE/>
              <w:autoSpaceDN/>
              <w:bidi w:val="0"/>
              <w:adjustRightInd w:val="0"/>
              <w:snapToGrid w:val="0"/>
              <w:spacing w:line="240" w:lineRule="auto"/>
              <w:ind w:left="22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长期可逆</w:t>
            </w:r>
          </w:p>
        </w:tc>
        <w:tc>
          <w:tcPr>
            <w:tcW w:w="1498" w:type="dxa"/>
            <w:tcBorders>
              <w:tl2br w:val="nil"/>
              <w:tr2bl w:val="nil"/>
            </w:tcBorders>
            <w:vAlign w:val="center"/>
          </w:tcPr>
          <w:p w14:paraId="2DC3A39A">
            <w:pPr>
              <w:pStyle w:val="35"/>
              <w:keepNext w:val="0"/>
              <w:keepLines w:val="0"/>
              <w:pageBreakBefore w:val="0"/>
              <w:widowControl/>
              <w:kinsoku/>
              <w:wordWrap w:val="0"/>
              <w:overflowPunct/>
              <w:topLinePunct/>
              <w:autoSpaceDE/>
              <w:autoSpaceDN/>
              <w:bidi w:val="0"/>
              <w:adjustRightInd w:val="0"/>
              <w:snapToGrid w:val="0"/>
              <w:spacing w:line="240" w:lineRule="auto"/>
              <w:ind w:left="65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无</w:t>
            </w:r>
          </w:p>
        </w:tc>
      </w:tr>
    </w:tbl>
    <w:p w14:paraId="1A9725D4">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73" w:name="_Toc16696"/>
      <w:r>
        <w:rPr>
          <w:rFonts w:hint="default" w:ascii="Times New Roman" w:hAnsi="Times New Roman" w:eastAsia="宋体" w:cs="Times New Roman"/>
          <w:b/>
          <w:bCs/>
          <w:color w:val="auto"/>
          <w:spacing w:val="-2"/>
          <w:sz w:val="24"/>
          <w:szCs w:val="24"/>
          <w:highlight w:val="none"/>
          <w:lang w:val="en-US" w:eastAsia="zh-CN"/>
        </w:rPr>
        <w:t>2.4.3环境功能区划</w:t>
      </w:r>
      <w:bookmarkEnd w:id="73"/>
    </w:p>
    <w:p w14:paraId="012C33FF">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7"/>
          <w:sz w:val="24"/>
          <w:szCs w:val="24"/>
          <w:highlight w:val="none"/>
        </w:rPr>
        <w:t>1</w:t>
      </w:r>
      <w:r>
        <w:rPr>
          <w:rFonts w:hint="default" w:ascii="Times New Roman" w:hAnsi="Times New Roman" w:eastAsia="宋体" w:cs="Times New Roman"/>
          <w:color w:val="auto"/>
          <w:spacing w:val="-7"/>
          <w:sz w:val="24"/>
          <w:szCs w:val="24"/>
          <w:highlight w:val="none"/>
        </w:rPr>
        <w:t>、大气环境</w:t>
      </w:r>
    </w:p>
    <w:p w14:paraId="77E88BC4">
      <w:pPr>
        <w:keepNext w:val="0"/>
        <w:keepLines w:val="0"/>
        <w:pageBreakBefore w:val="0"/>
        <w:widowControl/>
        <w:kinsoku/>
        <w:wordWrap w:val="0"/>
        <w:overflowPunct/>
        <w:topLinePunct/>
        <w:autoSpaceDE/>
        <w:autoSpaceDN/>
        <w:bidi w:val="0"/>
        <w:adjustRightInd w:val="0"/>
        <w:snapToGrid w:val="0"/>
        <w:spacing w:line="360" w:lineRule="auto"/>
        <w:ind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根据《环境空气质量标准》</w:t>
      </w:r>
      <w:r>
        <w:rPr>
          <w:rFonts w:hint="default" w:ascii="Times New Roman" w:hAnsi="Times New Roman" w:eastAsia="Times New Roman" w:cs="Times New Roman"/>
          <w:color w:val="auto"/>
          <w:sz w:val="24"/>
          <w:szCs w:val="24"/>
          <w:highlight w:val="none"/>
        </w:rPr>
        <w:t>(GB3095-2012)</w:t>
      </w:r>
      <w:r>
        <w:rPr>
          <w:rFonts w:hint="default" w:ascii="Times New Roman" w:hAnsi="Times New Roman" w:eastAsia="宋体" w:cs="Times New Roman"/>
          <w:color w:val="auto"/>
          <w:sz w:val="24"/>
          <w:szCs w:val="24"/>
          <w:highlight w:val="none"/>
        </w:rPr>
        <w:t>及其修改单中有</w:t>
      </w:r>
      <w:r>
        <w:rPr>
          <w:rFonts w:hint="default" w:ascii="Times New Roman" w:hAnsi="Times New Roman" w:eastAsia="宋体" w:cs="Times New Roman"/>
          <w:color w:val="auto"/>
          <w:spacing w:val="-1"/>
          <w:sz w:val="24"/>
          <w:szCs w:val="24"/>
          <w:highlight w:val="none"/>
        </w:rPr>
        <w:t>关功能区分类标准，</w:t>
      </w:r>
      <w:r>
        <w:rPr>
          <w:rFonts w:hint="default" w:ascii="Times New Roman" w:hAnsi="Times New Roman" w:eastAsia="宋体" w:cs="Times New Roman"/>
          <w:color w:val="auto"/>
          <w:spacing w:val="-3"/>
          <w:sz w:val="24"/>
          <w:szCs w:val="24"/>
          <w:highlight w:val="none"/>
        </w:rPr>
        <w:t>确定本项目所在区域环境空气功能为二类区。</w:t>
      </w:r>
    </w:p>
    <w:p w14:paraId="31B2EA35">
      <w:pPr>
        <w:keepNext w:val="0"/>
        <w:keepLines w:val="0"/>
        <w:pageBreakBefore w:val="0"/>
        <w:kinsoku/>
        <w:wordWrap w:val="0"/>
        <w:overflowPunct/>
        <w:topLinePunct/>
        <w:autoSpaceDE/>
        <w:autoSpaceDN/>
        <w:bidi w:val="0"/>
        <w:adjustRightInd w:val="0"/>
        <w:snapToGrid w:val="0"/>
        <w:spacing w:before="25" w:line="233" w:lineRule="auto"/>
        <w:ind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2"/>
          <w:sz w:val="24"/>
          <w:szCs w:val="24"/>
          <w:highlight w:val="none"/>
        </w:rPr>
        <w:t>2</w:t>
      </w:r>
      <w:r>
        <w:rPr>
          <w:rFonts w:hint="default" w:ascii="Times New Roman" w:hAnsi="Times New Roman" w:eastAsia="宋体" w:cs="Times New Roman"/>
          <w:color w:val="auto"/>
          <w:spacing w:val="-2"/>
          <w:sz w:val="24"/>
          <w:szCs w:val="24"/>
          <w:highlight w:val="none"/>
        </w:rPr>
        <w:t>、地表水环境</w:t>
      </w:r>
    </w:p>
    <w:p w14:paraId="573D2D9E">
      <w:pPr>
        <w:keepNext w:val="0"/>
        <w:keepLines w:val="0"/>
        <w:pageBreakBefore w:val="0"/>
        <w:kinsoku/>
        <w:wordWrap w:val="0"/>
        <w:overflowPunct/>
        <w:topLinePunct/>
        <w:autoSpaceDE/>
        <w:autoSpaceDN/>
        <w:bidi w:val="0"/>
        <w:adjustRightInd w:val="0"/>
        <w:snapToGrid w:val="0"/>
        <w:spacing w:before="162" w:line="350" w:lineRule="auto"/>
        <w:ind w:right="46"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本项目所在区域地表水体主要为安邦河，安邦河属双鸭山市和集贤县的生活污水纳污水体，属松花江右岸一级支流，根据《全国重要江河湖泊水功能区划（2011-2030）》</w:t>
      </w:r>
      <w:bookmarkStart w:id="74" w:name="bookmark56"/>
      <w:bookmarkEnd w:id="74"/>
      <w:r>
        <w:rPr>
          <w:rFonts w:hint="default" w:ascii="Times New Roman" w:hAnsi="Times New Roman" w:eastAsia="宋体" w:cs="Times New Roman"/>
          <w:color w:val="auto"/>
          <w:sz w:val="24"/>
          <w:szCs w:val="24"/>
          <w:highlight w:val="none"/>
        </w:rPr>
        <w:t>（黑龙江省）可知，长富村至入松花江河口段执行《地表水环境质量标准》（GB3838-2002）中的Ⅳ类水体标准。</w:t>
      </w:r>
    </w:p>
    <w:p w14:paraId="790E5720">
      <w:pPr>
        <w:keepNext w:val="0"/>
        <w:keepLines w:val="0"/>
        <w:pageBreakBefore w:val="0"/>
        <w:kinsoku/>
        <w:wordWrap w:val="0"/>
        <w:overflowPunct/>
        <w:topLinePunct/>
        <w:autoSpaceDE/>
        <w:autoSpaceDN/>
        <w:bidi w:val="0"/>
        <w:adjustRightInd w:val="0"/>
        <w:snapToGrid w:val="0"/>
        <w:spacing w:line="233" w:lineRule="auto"/>
        <w:ind w:left="49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3</w:t>
      </w:r>
      <w:r>
        <w:rPr>
          <w:rFonts w:hint="default" w:ascii="Times New Roman" w:hAnsi="Times New Roman" w:eastAsia="宋体" w:cs="Times New Roman"/>
          <w:color w:val="auto"/>
          <w:spacing w:val="-3"/>
          <w:sz w:val="24"/>
          <w:szCs w:val="24"/>
          <w:highlight w:val="none"/>
        </w:rPr>
        <w:t>、地下水环境</w:t>
      </w:r>
    </w:p>
    <w:p w14:paraId="637FBC4C">
      <w:pPr>
        <w:keepNext w:val="0"/>
        <w:keepLines w:val="0"/>
        <w:pageBreakBefore w:val="0"/>
        <w:kinsoku/>
        <w:wordWrap w:val="0"/>
        <w:overflowPunct/>
        <w:topLinePunct/>
        <w:autoSpaceDE/>
        <w:autoSpaceDN/>
        <w:bidi w:val="0"/>
        <w:adjustRightInd w:val="0"/>
        <w:snapToGrid w:val="0"/>
        <w:spacing w:before="162" w:line="352" w:lineRule="auto"/>
        <w:ind w:left="11" w:firstLine="479"/>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本项目所在区域地下水环境质量执行《地下水质量标准》</w:t>
      </w:r>
      <w:r>
        <w:rPr>
          <w:rFonts w:hint="default" w:ascii="Times New Roman" w:hAnsi="Times New Roman" w:eastAsia="Times New Roman" w:cs="Times New Roman"/>
          <w:color w:val="auto"/>
          <w:spacing w:val="-1"/>
          <w:sz w:val="24"/>
          <w:szCs w:val="24"/>
          <w:highlight w:val="none"/>
        </w:rPr>
        <w:t>(GB/T14848-</w:t>
      </w:r>
      <w:r>
        <w:rPr>
          <w:rFonts w:hint="default" w:ascii="Times New Roman" w:hAnsi="Times New Roman" w:eastAsia="Times New Roman" w:cs="Times New Roman"/>
          <w:color w:val="auto"/>
          <w:spacing w:val="-2"/>
          <w:sz w:val="24"/>
          <w:szCs w:val="24"/>
          <w:highlight w:val="none"/>
        </w:rPr>
        <w:t>2017)</w:t>
      </w:r>
      <w:r>
        <w:rPr>
          <w:rFonts w:hint="default" w:ascii="Times New Roman" w:hAnsi="Times New Roman" w:eastAsia="宋体" w:cs="Times New Roman"/>
          <w:color w:val="auto"/>
          <w:spacing w:val="-2"/>
          <w:sz w:val="24"/>
          <w:szCs w:val="24"/>
          <w:highlight w:val="none"/>
          <w:lang w:val="en-US" w:eastAsia="zh-CN"/>
        </w:rPr>
        <w:t>Ⅲ</w:t>
      </w:r>
      <w:r>
        <w:rPr>
          <w:rFonts w:hint="default" w:ascii="Times New Roman" w:hAnsi="Times New Roman" w:eastAsia="宋体" w:cs="Times New Roman"/>
          <w:color w:val="auto"/>
          <w:spacing w:val="-2"/>
          <w:sz w:val="24"/>
          <w:szCs w:val="24"/>
          <w:highlight w:val="none"/>
        </w:rPr>
        <w:t>类</w:t>
      </w:r>
      <w:r>
        <w:rPr>
          <w:rFonts w:hint="default" w:ascii="Times New Roman" w:hAnsi="Times New Roman" w:eastAsia="宋体" w:cs="Times New Roman"/>
          <w:color w:val="auto"/>
          <w:spacing w:val="-10"/>
          <w:sz w:val="24"/>
          <w:szCs w:val="24"/>
          <w:highlight w:val="none"/>
        </w:rPr>
        <w:t>标准。</w:t>
      </w:r>
    </w:p>
    <w:p w14:paraId="19E79DE2">
      <w:pPr>
        <w:keepNext w:val="0"/>
        <w:keepLines w:val="0"/>
        <w:pageBreakBefore w:val="0"/>
        <w:kinsoku/>
        <w:wordWrap w:val="0"/>
        <w:overflowPunct/>
        <w:topLinePunct/>
        <w:autoSpaceDE/>
        <w:autoSpaceDN/>
        <w:bidi w:val="0"/>
        <w:adjustRightInd w:val="0"/>
        <w:snapToGrid w:val="0"/>
        <w:spacing w:before="18" w:line="234" w:lineRule="auto"/>
        <w:ind w:left="484"/>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4</w:t>
      </w:r>
      <w:r>
        <w:rPr>
          <w:rFonts w:hint="default" w:ascii="Times New Roman" w:hAnsi="Times New Roman" w:eastAsia="宋体" w:cs="Times New Roman"/>
          <w:color w:val="auto"/>
          <w:spacing w:val="-3"/>
          <w:sz w:val="24"/>
          <w:szCs w:val="24"/>
          <w:highlight w:val="none"/>
        </w:rPr>
        <w:t>、声环境</w:t>
      </w:r>
    </w:p>
    <w:p w14:paraId="7AEA47D1">
      <w:pPr>
        <w:keepNext w:val="0"/>
        <w:keepLines w:val="0"/>
        <w:pageBreakBefore w:val="0"/>
        <w:widowControl/>
        <w:kinsoku/>
        <w:wordWrap w:val="0"/>
        <w:overflowPunct/>
        <w:topLinePunct/>
        <w:autoSpaceDE/>
        <w:autoSpaceDN/>
        <w:bidi w:val="0"/>
        <w:adjustRightInd w:val="0"/>
        <w:snapToGrid w:val="0"/>
        <w:spacing w:before="162" w:line="360" w:lineRule="auto"/>
        <w:ind w:left="11" w:firstLine="476" w:firstLineChars="200"/>
        <w:textAlignment w:val="baseline"/>
        <w:rPr>
          <w:rFonts w:hint="default" w:ascii="Times New Roman" w:hAnsi="Times New Roman" w:eastAsia="宋体" w:cs="Times New Roman"/>
          <w:color w:val="auto"/>
          <w:spacing w:val="-1"/>
          <w:sz w:val="24"/>
          <w:szCs w:val="24"/>
          <w:highlight w:val="none"/>
        </w:rPr>
      </w:pPr>
      <w:r>
        <w:rPr>
          <w:rFonts w:hint="default" w:ascii="Times New Roman" w:hAnsi="Times New Roman" w:eastAsia="宋体" w:cs="Times New Roman"/>
          <w:color w:val="auto"/>
          <w:spacing w:val="-1"/>
          <w:sz w:val="24"/>
          <w:szCs w:val="24"/>
          <w:highlight w:val="none"/>
        </w:rPr>
        <w:t>根据《双鸭山市人民政府关于双鸭山市市区声环境功能区划的公告》可知，本项目所在地未划分声环境功能区，根据《声环境质量标准》（GB3096-2008）可知，</w:t>
      </w:r>
      <w:r>
        <w:rPr>
          <w:rFonts w:hint="default" w:ascii="Times New Roman" w:hAnsi="Times New Roman" w:eastAsia="宋体" w:cs="Times New Roman"/>
          <w:color w:val="FF0000"/>
          <w:spacing w:val="-1"/>
          <w:sz w:val="24"/>
          <w:szCs w:val="24"/>
          <w:highlight w:val="none"/>
        </w:rPr>
        <w:t>本项目所在区域属于</w:t>
      </w:r>
      <w:r>
        <w:rPr>
          <w:rFonts w:hint="default" w:ascii="Times New Roman" w:hAnsi="Times New Roman" w:eastAsia="宋体" w:cs="Times New Roman"/>
          <w:color w:val="FF0000"/>
          <w:spacing w:val="-1"/>
          <w:sz w:val="24"/>
          <w:szCs w:val="24"/>
          <w:highlight w:val="none"/>
          <w:lang w:val="en-US" w:eastAsia="zh-CN"/>
        </w:rPr>
        <w:t>居民住宅</w:t>
      </w:r>
      <w:r>
        <w:rPr>
          <w:rFonts w:hint="default" w:ascii="Times New Roman" w:hAnsi="Times New Roman" w:eastAsia="宋体" w:cs="Times New Roman"/>
          <w:color w:val="FF0000"/>
          <w:spacing w:val="-1"/>
          <w:sz w:val="24"/>
          <w:szCs w:val="24"/>
          <w:highlight w:val="none"/>
        </w:rPr>
        <w:t>区域，因此</w:t>
      </w:r>
      <w:r>
        <w:rPr>
          <w:rFonts w:hint="default" w:ascii="Times New Roman" w:hAnsi="Times New Roman" w:eastAsia="宋体" w:cs="Times New Roman"/>
          <w:color w:val="FF0000"/>
          <w:spacing w:val="0"/>
          <w:sz w:val="24"/>
          <w:szCs w:val="24"/>
          <w:highlight w:val="none"/>
        </w:rPr>
        <w:t>为</w:t>
      </w:r>
      <w:r>
        <w:rPr>
          <w:rFonts w:hint="default" w:ascii="Times New Roman" w:hAnsi="Times New Roman" w:eastAsia="宋体" w:cs="Times New Roman"/>
          <w:color w:val="FF0000"/>
          <w:spacing w:val="0"/>
          <w:sz w:val="24"/>
          <w:szCs w:val="24"/>
          <w:highlight w:val="none"/>
          <w:lang w:val="en-US" w:eastAsia="zh-CN"/>
        </w:rPr>
        <w:t>1</w:t>
      </w:r>
      <w:r>
        <w:rPr>
          <w:rFonts w:hint="default" w:ascii="Times New Roman" w:hAnsi="Times New Roman" w:eastAsia="宋体" w:cs="Times New Roman"/>
          <w:color w:val="FF0000"/>
          <w:spacing w:val="0"/>
          <w:sz w:val="24"/>
          <w:szCs w:val="24"/>
          <w:highlight w:val="none"/>
        </w:rPr>
        <w:t>类声</w:t>
      </w:r>
      <w:r>
        <w:rPr>
          <w:rFonts w:hint="default" w:ascii="Times New Roman" w:hAnsi="Times New Roman" w:eastAsia="宋体" w:cs="Times New Roman"/>
          <w:color w:val="FF0000"/>
          <w:spacing w:val="-1"/>
          <w:sz w:val="24"/>
          <w:szCs w:val="24"/>
          <w:highlight w:val="none"/>
        </w:rPr>
        <w:t>环境功能区，声环境质量执行《声环境质量标准》（GB3096-2008）</w:t>
      </w:r>
      <w:r>
        <w:rPr>
          <w:rFonts w:hint="default" w:ascii="Times New Roman" w:hAnsi="Times New Roman" w:eastAsia="宋体" w:cs="Times New Roman"/>
          <w:color w:val="FF0000"/>
          <w:spacing w:val="-1"/>
          <w:sz w:val="24"/>
          <w:szCs w:val="24"/>
          <w:highlight w:val="none"/>
          <w:lang w:val="en-US" w:eastAsia="zh-CN"/>
        </w:rPr>
        <w:t>1</w:t>
      </w:r>
      <w:r>
        <w:rPr>
          <w:rFonts w:hint="default" w:ascii="Times New Roman" w:hAnsi="Times New Roman" w:eastAsia="宋体" w:cs="Times New Roman"/>
          <w:color w:val="FF0000"/>
          <w:spacing w:val="-1"/>
          <w:sz w:val="24"/>
          <w:szCs w:val="24"/>
          <w:highlight w:val="none"/>
        </w:rPr>
        <w:t>类声环境功能区</w:t>
      </w:r>
      <w:r>
        <w:rPr>
          <w:rFonts w:hint="default" w:ascii="Times New Roman" w:hAnsi="Times New Roman" w:eastAsia="宋体" w:cs="Times New Roman"/>
          <w:color w:val="auto"/>
          <w:spacing w:val="-1"/>
          <w:sz w:val="24"/>
          <w:szCs w:val="24"/>
          <w:highlight w:val="none"/>
        </w:rPr>
        <w:t>。</w:t>
      </w:r>
    </w:p>
    <w:p w14:paraId="4D6E7445">
      <w:pPr>
        <w:keepNext w:val="0"/>
        <w:keepLines w:val="0"/>
        <w:pageBreakBefore w:val="0"/>
        <w:kinsoku/>
        <w:wordWrap w:val="0"/>
        <w:overflowPunct/>
        <w:topLinePunct/>
        <w:autoSpaceDE/>
        <w:autoSpaceDN/>
        <w:bidi w:val="0"/>
        <w:adjustRightInd w:val="0"/>
        <w:snapToGrid w:val="0"/>
        <w:spacing w:before="85" w:line="234" w:lineRule="auto"/>
        <w:ind w:left="492"/>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4"/>
          <w:sz w:val="24"/>
          <w:szCs w:val="24"/>
          <w:highlight w:val="none"/>
        </w:rPr>
        <w:t>5</w:t>
      </w:r>
      <w:r>
        <w:rPr>
          <w:rFonts w:hint="default" w:ascii="Times New Roman" w:hAnsi="Times New Roman" w:eastAsia="宋体" w:cs="Times New Roman"/>
          <w:color w:val="auto"/>
          <w:spacing w:val="-4"/>
          <w:sz w:val="24"/>
          <w:szCs w:val="24"/>
          <w:highlight w:val="none"/>
        </w:rPr>
        <w:t>、生态环境</w:t>
      </w:r>
    </w:p>
    <w:p w14:paraId="2CB4A497">
      <w:pPr>
        <w:keepNext w:val="0"/>
        <w:keepLines w:val="0"/>
        <w:pageBreakBefore w:val="0"/>
        <w:kinsoku/>
        <w:wordWrap w:val="0"/>
        <w:overflowPunct/>
        <w:topLinePunct/>
        <w:autoSpaceDE/>
        <w:autoSpaceDN/>
        <w:bidi w:val="0"/>
        <w:adjustRightInd w:val="0"/>
        <w:snapToGrid w:val="0"/>
        <w:spacing w:before="161" w:line="361" w:lineRule="auto"/>
        <w:ind w:left="11" w:firstLine="479"/>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本项目位于</w:t>
      </w:r>
      <w:r>
        <w:rPr>
          <w:rFonts w:hint="default" w:ascii="Times New Roman" w:hAnsi="Times New Roman" w:eastAsia="宋体" w:cs="Times New Roman"/>
          <w:color w:val="auto"/>
          <w:sz w:val="24"/>
          <w:szCs w:val="24"/>
          <w:highlight w:val="none"/>
          <w:lang w:val="en-US" w:eastAsia="zh-CN"/>
        </w:rPr>
        <w:t>双鸭山市集贤县集贤镇种畜场（康家屯）</w:t>
      </w:r>
      <w:r>
        <w:rPr>
          <w:rFonts w:hint="default" w:ascii="Times New Roman" w:hAnsi="Times New Roman" w:eastAsia="宋体" w:cs="Times New Roman"/>
          <w:color w:val="auto"/>
          <w:spacing w:val="-3"/>
          <w:sz w:val="24"/>
          <w:szCs w:val="24"/>
          <w:highlight w:val="none"/>
        </w:rPr>
        <w:t>，不属于生态保护区域、重要生境</w:t>
      </w:r>
      <w:r>
        <w:rPr>
          <w:rFonts w:hint="default" w:ascii="Times New Roman" w:hAnsi="Times New Roman" w:eastAsia="宋体" w:cs="Times New Roman"/>
          <w:color w:val="auto"/>
          <w:spacing w:val="-5"/>
          <w:sz w:val="24"/>
          <w:szCs w:val="24"/>
          <w:highlight w:val="none"/>
        </w:rPr>
        <w:t>以及其他具有重要生态功能、对保护生物多样性具有重要意义的区域，不属于生态敏</w:t>
      </w:r>
      <w:r>
        <w:rPr>
          <w:rFonts w:hint="default" w:ascii="Times New Roman" w:hAnsi="Times New Roman" w:eastAsia="宋体" w:cs="Times New Roman"/>
          <w:color w:val="auto"/>
          <w:spacing w:val="-3"/>
          <w:sz w:val="24"/>
          <w:szCs w:val="24"/>
          <w:highlight w:val="none"/>
        </w:rPr>
        <w:t>感区，属于生态一般区域。</w:t>
      </w:r>
    </w:p>
    <w:p w14:paraId="48DA2272">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75" w:name="_Toc25687"/>
      <w:r>
        <w:rPr>
          <w:rFonts w:hint="default" w:ascii="Times New Roman" w:hAnsi="Times New Roman" w:eastAsia="宋体" w:cs="Times New Roman"/>
          <w:b/>
          <w:bCs/>
          <w:color w:val="auto"/>
          <w:spacing w:val="-2"/>
          <w:sz w:val="24"/>
          <w:szCs w:val="24"/>
          <w:highlight w:val="none"/>
          <w:lang w:val="en-US" w:eastAsia="zh-CN"/>
        </w:rPr>
        <w:t>2.4.4评价标准</w:t>
      </w:r>
      <w:bookmarkEnd w:id="75"/>
    </w:p>
    <w:p w14:paraId="713AEAA6">
      <w:pPr>
        <w:keepNext w:val="0"/>
        <w:keepLines w:val="0"/>
        <w:pageBreakBefore w:val="0"/>
        <w:widowControl/>
        <w:kinsoku/>
        <w:wordWrap w:val="0"/>
        <w:overflowPunct/>
        <w:topLinePunct/>
        <w:autoSpaceDE/>
        <w:autoSpaceDN/>
        <w:bidi w:val="0"/>
        <w:adjustRightInd w:val="0"/>
        <w:snapToGrid w:val="0"/>
        <w:spacing w:line="360" w:lineRule="auto"/>
        <w:ind w:left="0" w:firstLine="468"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1、环境质量标准</w:t>
      </w:r>
    </w:p>
    <w:p w14:paraId="4004F7C9">
      <w:pPr>
        <w:keepNext w:val="0"/>
        <w:keepLines w:val="0"/>
        <w:pageBreakBefore w:val="0"/>
        <w:widowControl/>
        <w:kinsoku/>
        <w:wordWrap w:val="0"/>
        <w:overflowPunct/>
        <w:topLinePunct/>
        <w:autoSpaceDE/>
        <w:autoSpaceDN/>
        <w:bidi w:val="0"/>
        <w:adjustRightInd w:val="0"/>
        <w:snapToGrid w:val="0"/>
        <w:spacing w:line="360" w:lineRule="auto"/>
        <w:ind w:left="0" w:firstLine="468"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（1）环境空气</w:t>
      </w:r>
    </w:p>
    <w:p w14:paraId="0AE0AFF1">
      <w:pPr>
        <w:keepNext w:val="0"/>
        <w:keepLines w:val="0"/>
        <w:pageBreakBefore w:val="0"/>
        <w:widowControl/>
        <w:kinsoku/>
        <w:wordWrap w:val="0"/>
        <w:overflowPunct/>
        <w:topLinePunct/>
        <w:autoSpaceDE/>
        <w:autoSpaceDN/>
        <w:bidi w:val="0"/>
        <w:adjustRightInd w:val="0"/>
        <w:snapToGrid w:val="0"/>
        <w:spacing w:line="360" w:lineRule="auto"/>
        <w:ind w:left="0" w:firstLine="468"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该项目所在区域环境空气质量执行《环境空气质量标准》（GB3095－2012）中二类区标准相应限值；NH</w:t>
      </w:r>
      <w:r>
        <w:rPr>
          <w:rFonts w:hint="default" w:ascii="Times New Roman" w:hAnsi="Times New Roman" w:eastAsia="宋体" w:cs="Times New Roman"/>
          <w:color w:val="auto"/>
          <w:spacing w:val="-3"/>
          <w:sz w:val="24"/>
          <w:szCs w:val="24"/>
          <w:highlight w:val="none"/>
          <w:vertAlign w:val="subscript"/>
        </w:rPr>
        <w:t>3</w:t>
      </w:r>
      <w:r>
        <w:rPr>
          <w:rFonts w:hint="default" w:ascii="Times New Roman" w:hAnsi="Times New Roman" w:eastAsia="宋体" w:cs="Times New Roman"/>
          <w:color w:val="auto"/>
          <w:spacing w:val="-3"/>
          <w:sz w:val="24"/>
          <w:szCs w:val="24"/>
          <w:highlight w:val="none"/>
        </w:rPr>
        <w:t>、H</w:t>
      </w:r>
      <w:r>
        <w:rPr>
          <w:rFonts w:hint="default" w:ascii="Times New Roman" w:hAnsi="Times New Roman" w:eastAsia="宋体" w:cs="Times New Roman"/>
          <w:color w:val="auto"/>
          <w:spacing w:val="-3"/>
          <w:sz w:val="24"/>
          <w:szCs w:val="24"/>
          <w:highlight w:val="none"/>
          <w:vertAlign w:val="subscript"/>
        </w:rPr>
        <w:t>2</w:t>
      </w:r>
      <w:r>
        <w:rPr>
          <w:rFonts w:hint="default" w:ascii="Times New Roman" w:hAnsi="Times New Roman" w:eastAsia="宋体" w:cs="Times New Roman"/>
          <w:color w:val="auto"/>
          <w:spacing w:val="-3"/>
          <w:sz w:val="24"/>
          <w:szCs w:val="24"/>
          <w:highlight w:val="none"/>
        </w:rPr>
        <w:t>S执行《环境影响评价技术导则大气环境》（HJ2.2-2018）附录D中的浓度限值要求，</w:t>
      </w:r>
      <w:r>
        <w:rPr>
          <w:rFonts w:hint="default" w:ascii="Times New Roman" w:hAnsi="Times New Roman" w:eastAsia="宋体" w:cs="Times New Roman"/>
          <w:color w:val="auto"/>
          <w:spacing w:val="-3"/>
          <w:sz w:val="24"/>
          <w:szCs w:val="24"/>
          <w:highlight w:val="green"/>
          <w:lang w:val="en-US" w:eastAsia="zh-CN"/>
        </w:rPr>
        <w:t>臭气浓度参照执行《恶臭污染物排放标准》(GB14554-93）表 1 中二级新改扩建标准</w:t>
      </w:r>
      <w:r>
        <w:rPr>
          <w:rFonts w:hint="default" w:ascii="Times New Roman" w:hAnsi="Times New Roman" w:eastAsia="宋体" w:cs="Times New Roman"/>
          <w:color w:val="auto"/>
          <w:spacing w:val="-3"/>
          <w:sz w:val="24"/>
          <w:szCs w:val="24"/>
          <w:highlight w:val="none"/>
        </w:rPr>
        <w:t>。具体标准值见表2.4-5。</w:t>
      </w:r>
    </w:p>
    <w:p w14:paraId="242D9523">
      <w:pPr>
        <w:keepNext w:val="0"/>
        <w:keepLines w:val="0"/>
        <w:pageBreakBefore w:val="0"/>
        <w:kinsoku/>
        <w:wordWrap w:val="0"/>
        <w:overflowPunct/>
        <w:topLinePunct/>
        <w:autoSpaceDE/>
        <w:autoSpaceDN/>
        <w:bidi w:val="0"/>
        <w:adjustRightInd w:val="0"/>
        <w:snapToGrid w:val="0"/>
        <w:spacing w:before="1" w:line="213" w:lineRule="auto"/>
        <w:ind w:left="3119"/>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2.4-5</w:t>
      </w:r>
      <w:r>
        <w:rPr>
          <w:rFonts w:hint="default" w:ascii="Times New Roman" w:hAnsi="Times New Roman" w:eastAsia="宋体" w:cs="Times New Roman"/>
          <w:b/>
          <w:bCs/>
          <w:color w:val="auto"/>
          <w:spacing w:val="-1"/>
          <w:sz w:val="24"/>
          <w:szCs w:val="24"/>
          <w:highlight w:val="none"/>
        </w:rPr>
        <w:t>环境空气质量标准</w:t>
      </w:r>
    </w:p>
    <w:tbl>
      <w:tblPr>
        <w:tblStyle w:val="34"/>
        <w:tblW w:w="8807"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698"/>
        <w:gridCol w:w="1828"/>
        <w:gridCol w:w="2027"/>
        <w:gridCol w:w="1138"/>
        <w:gridCol w:w="855"/>
        <w:gridCol w:w="2261"/>
      </w:tblGrid>
      <w:tr w14:paraId="5B47E49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tcBorders>
              <w:tl2br w:val="nil"/>
              <w:tr2bl w:val="nil"/>
            </w:tcBorders>
            <w:vAlign w:val="center"/>
          </w:tcPr>
          <w:p w14:paraId="5F153F03">
            <w:pPr>
              <w:pStyle w:val="35"/>
              <w:keepNext w:val="0"/>
              <w:keepLines w:val="0"/>
              <w:pageBreakBefore w:val="0"/>
              <w:widowControl/>
              <w:kinsoku/>
              <w:wordWrap w:val="0"/>
              <w:overflowPunct/>
              <w:topLinePunct/>
              <w:autoSpaceDE/>
              <w:autoSpaceDN/>
              <w:bidi w:val="0"/>
              <w:adjustRightInd w:val="0"/>
              <w:snapToGrid w:val="0"/>
              <w:spacing w:line="211" w:lineRule="auto"/>
              <w:ind w:left="0" w:leftChars="0" w:firstLine="0" w:firstLineChars="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b/>
                <w:bCs/>
                <w:color w:val="auto"/>
                <w:highlight w:val="none"/>
                <w:lang w:val="en-US" w:eastAsia="zh-CN"/>
              </w:rPr>
              <w:t>序号</w:t>
            </w:r>
          </w:p>
        </w:tc>
        <w:tc>
          <w:tcPr>
            <w:tcW w:w="1828" w:type="dxa"/>
            <w:tcBorders>
              <w:tl2br w:val="nil"/>
              <w:tr2bl w:val="nil"/>
            </w:tcBorders>
            <w:vAlign w:val="center"/>
          </w:tcPr>
          <w:p w14:paraId="6DA7C507">
            <w:pPr>
              <w:pStyle w:val="35"/>
              <w:keepNext w:val="0"/>
              <w:keepLines w:val="0"/>
              <w:pageBreakBefore w:val="0"/>
              <w:widowControl/>
              <w:kinsoku/>
              <w:wordWrap w:val="0"/>
              <w:overflowPunct/>
              <w:topLinePunct/>
              <w:autoSpaceDE/>
              <w:autoSpaceDN/>
              <w:bidi w:val="0"/>
              <w:adjustRightInd w:val="0"/>
              <w:snapToGrid w:val="0"/>
              <w:spacing w:line="221" w:lineRule="auto"/>
              <w:ind w:left="696"/>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污染物</w:t>
            </w:r>
          </w:p>
        </w:tc>
        <w:tc>
          <w:tcPr>
            <w:tcW w:w="2027" w:type="dxa"/>
            <w:tcBorders>
              <w:tl2br w:val="nil"/>
              <w:tr2bl w:val="nil"/>
            </w:tcBorders>
            <w:vAlign w:val="center"/>
          </w:tcPr>
          <w:p w14:paraId="51C33A8E">
            <w:pPr>
              <w:pStyle w:val="35"/>
              <w:keepNext w:val="0"/>
              <w:keepLines w:val="0"/>
              <w:pageBreakBefore w:val="0"/>
              <w:widowControl/>
              <w:kinsoku/>
              <w:wordWrap w:val="0"/>
              <w:overflowPunct/>
              <w:topLinePunct/>
              <w:autoSpaceDE/>
              <w:autoSpaceDN/>
              <w:bidi w:val="0"/>
              <w:adjustRightInd w:val="0"/>
              <w:snapToGrid w:val="0"/>
              <w:spacing w:line="221" w:lineRule="auto"/>
              <w:ind w:left="566"/>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取值时间</w:t>
            </w:r>
          </w:p>
        </w:tc>
        <w:tc>
          <w:tcPr>
            <w:tcW w:w="1138" w:type="dxa"/>
            <w:tcBorders>
              <w:tl2br w:val="nil"/>
              <w:tr2bl w:val="nil"/>
            </w:tcBorders>
            <w:vAlign w:val="center"/>
          </w:tcPr>
          <w:p w14:paraId="154EDE5A">
            <w:pPr>
              <w:pStyle w:val="35"/>
              <w:keepNext w:val="0"/>
              <w:keepLines w:val="0"/>
              <w:pageBreakBefore w:val="0"/>
              <w:widowControl/>
              <w:kinsoku/>
              <w:wordWrap w:val="0"/>
              <w:overflowPunct/>
              <w:topLinePunct/>
              <w:autoSpaceDE/>
              <w:autoSpaceDN/>
              <w:bidi w:val="0"/>
              <w:adjustRightInd w:val="0"/>
              <w:snapToGrid w:val="0"/>
              <w:spacing w:line="221" w:lineRule="auto"/>
              <w:ind w:left="152"/>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浓度限值</w:t>
            </w:r>
          </w:p>
        </w:tc>
        <w:tc>
          <w:tcPr>
            <w:tcW w:w="855" w:type="dxa"/>
            <w:tcBorders>
              <w:tl2br w:val="nil"/>
              <w:tr2bl w:val="nil"/>
            </w:tcBorders>
            <w:vAlign w:val="center"/>
          </w:tcPr>
          <w:p w14:paraId="29FBEB66">
            <w:pPr>
              <w:pStyle w:val="35"/>
              <w:keepNext w:val="0"/>
              <w:keepLines w:val="0"/>
              <w:pageBreakBefore w:val="0"/>
              <w:widowControl/>
              <w:kinsoku/>
              <w:wordWrap w:val="0"/>
              <w:overflowPunct/>
              <w:topLinePunct/>
              <w:autoSpaceDE/>
              <w:autoSpaceDN/>
              <w:bidi w:val="0"/>
              <w:adjustRightInd w:val="0"/>
              <w:snapToGrid w:val="0"/>
              <w:spacing w:line="221" w:lineRule="auto"/>
              <w:ind w:left="221"/>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单位</w:t>
            </w:r>
          </w:p>
        </w:tc>
        <w:tc>
          <w:tcPr>
            <w:tcW w:w="2261" w:type="dxa"/>
            <w:tcBorders>
              <w:tl2br w:val="nil"/>
              <w:tr2bl w:val="nil"/>
            </w:tcBorders>
            <w:vAlign w:val="center"/>
          </w:tcPr>
          <w:p w14:paraId="66CB39E0">
            <w:pPr>
              <w:pStyle w:val="35"/>
              <w:keepNext w:val="0"/>
              <w:keepLines w:val="0"/>
              <w:pageBreakBefore w:val="0"/>
              <w:widowControl/>
              <w:kinsoku/>
              <w:wordWrap w:val="0"/>
              <w:overflowPunct/>
              <w:topLinePunct/>
              <w:autoSpaceDE/>
              <w:autoSpaceDN/>
              <w:bidi w:val="0"/>
              <w:adjustRightInd w:val="0"/>
              <w:snapToGrid w:val="0"/>
              <w:spacing w:line="221" w:lineRule="auto"/>
              <w:ind w:left="714"/>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标准来源</w:t>
            </w:r>
          </w:p>
        </w:tc>
      </w:tr>
      <w:tr w14:paraId="27DCA17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restart"/>
            <w:tcBorders>
              <w:tl2br w:val="nil"/>
              <w:tr2bl w:val="nil"/>
            </w:tcBorders>
            <w:vAlign w:val="center"/>
          </w:tcPr>
          <w:p w14:paraId="4A069766">
            <w:pPr>
              <w:keepNext w:val="0"/>
              <w:keepLines w:val="0"/>
              <w:pageBreakBefore w:val="0"/>
              <w:widowControl/>
              <w:kinsoku/>
              <w:wordWrap w:val="0"/>
              <w:overflowPunct/>
              <w:topLinePunct/>
              <w:autoSpaceDE/>
              <w:autoSpaceDN/>
              <w:bidi w:val="0"/>
              <w:adjustRightInd w:val="0"/>
              <w:snapToGrid w:val="0"/>
              <w:spacing w:before="10" w:line="236" w:lineRule="auto"/>
              <w:ind w:left="26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1828" w:type="dxa"/>
            <w:vMerge w:val="restart"/>
            <w:tcBorders>
              <w:tl2br w:val="nil"/>
              <w:tr2bl w:val="nil"/>
            </w:tcBorders>
            <w:vAlign w:val="center"/>
          </w:tcPr>
          <w:p w14:paraId="5CB5F2F6">
            <w:pPr>
              <w:keepNext w:val="0"/>
              <w:keepLines w:val="0"/>
              <w:pageBreakBefore w:val="0"/>
              <w:widowControl/>
              <w:kinsoku/>
              <w:wordWrap w:val="0"/>
              <w:overflowPunct/>
              <w:topLinePunct/>
              <w:autoSpaceDE/>
              <w:autoSpaceDN/>
              <w:bidi w:val="0"/>
              <w:adjustRightInd w:val="0"/>
              <w:snapToGrid w:val="0"/>
              <w:spacing w:before="10" w:line="228"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pacing w:val="-2"/>
                <w:sz w:val="21"/>
                <w:szCs w:val="21"/>
                <w:highlight w:val="none"/>
              </w:rPr>
              <w:t>SO</w:t>
            </w:r>
            <w:r>
              <w:rPr>
                <w:rFonts w:hint="default" w:ascii="Times New Roman" w:hAnsi="Times New Roman" w:eastAsia="Times New Roman" w:cs="Times New Roman"/>
                <w:color w:val="auto"/>
                <w:spacing w:val="-2"/>
                <w:position w:val="-2"/>
                <w:sz w:val="13"/>
                <w:szCs w:val="13"/>
                <w:highlight w:val="none"/>
              </w:rPr>
              <w:t>2</w:t>
            </w:r>
          </w:p>
        </w:tc>
        <w:tc>
          <w:tcPr>
            <w:tcW w:w="2027" w:type="dxa"/>
            <w:tcBorders>
              <w:tl2br w:val="nil"/>
              <w:tr2bl w:val="nil"/>
            </w:tcBorders>
            <w:vAlign w:val="center"/>
          </w:tcPr>
          <w:p w14:paraId="1FD2ED51">
            <w:pPr>
              <w:pStyle w:val="35"/>
              <w:keepNext w:val="0"/>
              <w:keepLines w:val="0"/>
              <w:pageBreakBefore w:val="0"/>
              <w:kinsoku/>
              <w:wordWrap w:val="0"/>
              <w:overflowPunct/>
              <w:topLinePunct/>
              <w:autoSpaceDE/>
              <w:autoSpaceDN/>
              <w:bidi w:val="0"/>
              <w:adjustRightInd w:val="0"/>
              <w:snapToGrid w:val="0"/>
              <w:spacing w:before="53" w:line="221" w:lineRule="auto"/>
              <w:ind w:left="67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年平均</w:t>
            </w:r>
          </w:p>
        </w:tc>
        <w:tc>
          <w:tcPr>
            <w:tcW w:w="1138" w:type="dxa"/>
            <w:tcBorders>
              <w:tl2br w:val="nil"/>
              <w:tr2bl w:val="nil"/>
            </w:tcBorders>
            <w:vAlign w:val="center"/>
          </w:tcPr>
          <w:p w14:paraId="75F92574">
            <w:pPr>
              <w:keepNext w:val="0"/>
              <w:keepLines w:val="0"/>
              <w:pageBreakBefore w:val="0"/>
              <w:kinsoku/>
              <w:wordWrap w:val="0"/>
              <w:overflowPunct/>
              <w:topLinePunct/>
              <w:autoSpaceDE/>
              <w:autoSpaceDN/>
              <w:bidi w:val="0"/>
              <w:adjustRightInd w:val="0"/>
              <w:snapToGrid w:val="0"/>
              <w:spacing w:before="86" w:line="217" w:lineRule="auto"/>
              <w:ind w:left="47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60</w:t>
            </w:r>
          </w:p>
        </w:tc>
        <w:tc>
          <w:tcPr>
            <w:tcW w:w="855" w:type="dxa"/>
            <w:vMerge w:val="restart"/>
            <w:tcBorders>
              <w:tl2br w:val="nil"/>
              <w:tr2bl w:val="nil"/>
            </w:tcBorders>
            <w:vAlign w:val="center"/>
          </w:tcPr>
          <w:p w14:paraId="207948E7">
            <w:pPr>
              <w:keepNext w:val="0"/>
              <w:keepLines w:val="0"/>
              <w:pageBreakBefore w:val="0"/>
              <w:kinsoku/>
              <w:wordWrap w:val="0"/>
              <w:overflowPunct/>
              <w:topLinePunct/>
              <w:autoSpaceDE/>
              <w:autoSpaceDN/>
              <w:bidi w:val="0"/>
              <w:adjustRightInd w:val="0"/>
              <w:snapToGrid w:val="0"/>
              <w:spacing w:before="60" w:line="227" w:lineRule="auto"/>
              <w:ind w:left="180"/>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pacing w:val="-2"/>
                <w:sz w:val="21"/>
                <w:szCs w:val="21"/>
                <w:highlight w:val="none"/>
              </w:rPr>
              <w:t>μg/m</w:t>
            </w:r>
            <w:r>
              <w:rPr>
                <w:rFonts w:hint="default" w:ascii="Times New Roman" w:hAnsi="Times New Roman" w:eastAsia="Times New Roman" w:cs="Times New Roman"/>
                <w:color w:val="auto"/>
                <w:spacing w:val="-2"/>
                <w:position w:val="9"/>
                <w:sz w:val="13"/>
                <w:szCs w:val="13"/>
                <w:highlight w:val="none"/>
              </w:rPr>
              <w:t>3</w:t>
            </w:r>
          </w:p>
        </w:tc>
        <w:tc>
          <w:tcPr>
            <w:tcW w:w="2261" w:type="dxa"/>
            <w:vMerge w:val="restart"/>
            <w:tcBorders>
              <w:tl2br w:val="nil"/>
              <w:tr2bl w:val="nil"/>
            </w:tcBorders>
            <w:vAlign w:val="center"/>
          </w:tcPr>
          <w:p w14:paraId="3E775A7B">
            <w:pPr>
              <w:pStyle w:val="35"/>
              <w:keepNext w:val="0"/>
              <w:keepLines w:val="0"/>
              <w:pageBreakBefore w:val="0"/>
              <w:kinsoku/>
              <w:wordWrap w:val="0"/>
              <w:overflowPunct/>
              <w:topLinePunct/>
              <w:autoSpaceDE/>
              <w:autoSpaceDN/>
              <w:bidi w:val="0"/>
              <w:adjustRightInd w:val="0"/>
              <w:snapToGrid w:val="0"/>
              <w:spacing w:before="69" w:line="221" w:lineRule="auto"/>
              <w:ind w:left="11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《环境空气质量标准》</w:t>
            </w:r>
          </w:p>
          <w:p w14:paraId="738141C3">
            <w:pPr>
              <w:pStyle w:val="35"/>
              <w:keepNext w:val="0"/>
              <w:keepLines w:val="0"/>
              <w:pageBreakBefore w:val="0"/>
              <w:kinsoku/>
              <w:wordWrap w:val="0"/>
              <w:overflowPunct/>
              <w:topLinePunct/>
              <w:autoSpaceDE/>
              <w:autoSpaceDN/>
              <w:bidi w:val="0"/>
              <w:adjustRightInd w:val="0"/>
              <w:snapToGrid w:val="0"/>
              <w:spacing w:before="59" w:line="237" w:lineRule="auto"/>
              <w:ind w:left="12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GB3095-2012</w:t>
            </w:r>
            <w:r>
              <w:rPr>
                <w:rFonts w:hint="default" w:ascii="Times New Roman" w:hAnsi="Times New Roman" w:cs="Times New Roman"/>
                <w:color w:val="auto"/>
                <w:spacing w:val="-1"/>
                <w:highlight w:val="none"/>
              </w:rPr>
              <w:t>）二级</w:t>
            </w:r>
          </w:p>
          <w:p w14:paraId="12636305">
            <w:pPr>
              <w:pStyle w:val="35"/>
              <w:keepNext w:val="0"/>
              <w:keepLines w:val="0"/>
              <w:pageBreakBefore w:val="0"/>
              <w:kinsoku/>
              <w:wordWrap w:val="0"/>
              <w:overflowPunct/>
              <w:topLinePunct/>
              <w:autoSpaceDE/>
              <w:autoSpaceDN/>
              <w:bidi w:val="0"/>
              <w:adjustRightInd w:val="0"/>
              <w:snapToGrid w:val="0"/>
              <w:spacing w:before="43" w:line="221" w:lineRule="auto"/>
              <w:ind w:left="92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标准</w:t>
            </w:r>
          </w:p>
        </w:tc>
      </w:tr>
      <w:tr w14:paraId="63B8CC6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continue"/>
            <w:tcBorders>
              <w:tl2br w:val="nil"/>
              <w:tr2bl w:val="nil"/>
            </w:tcBorders>
            <w:vAlign w:val="center"/>
          </w:tcPr>
          <w:p w14:paraId="5602539A">
            <w:pPr>
              <w:keepNext w:val="0"/>
              <w:keepLines w:val="0"/>
              <w:pageBreakBefore w:val="0"/>
              <w:widowControl/>
              <w:kinsoku/>
              <w:wordWrap w:val="0"/>
              <w:overflowPunct/>
              <w:topLinePunct/>
              <w:autoSpaceDE/>
              <w:autoSpaceDN/>
              <w:bidi w:val="0"/>
              <w:adjustRightInd w:val="0"/>
              <w:snapToGrid w:val="0"/>
              <w:spacing w:before="10"/>
              <w:textAlignment w:val="baseline"/>
              <w:rPr>
                <w:rFonts w:hint="default" w:ascii="Times New Roman" w:hAnsi="Times New Roman" w:cs="Times New Roman"/>
                <w:color w:val="auto"/>
                <w:sz w:val="21"/>
                <w:highlight w:val="none"/>
              </w:rPr>
            </w:pPr>
          </w:p>
        </w:tc>
        <w:tc>
          <w:tcPr>
            <w:tcW w:w="1828" w:type="dxa"/>
            <w:vMerge w:val="continue"/>
            <w:tcBorders>
              <w:tl2br w:val="nil"/>
              <w:tr2bl w:val="nil"/>
            </w:tcBorders>
            <w:vAlign w:val="center"/>
          </w:tcPr>
          <w:p w14:paraId="3793E279">
            <w:pPr>
              <w:keepNext w:val="0"/>
              <w:keepLines w:val="0"/>
              <w:pageBreakBefore w:val="0"/>
              <w:widowControl/>
              <w:kinsoku/>
              <w:wordWrap w:val="0"/>
              <w:overflowPunct/>
              <w:topLinePunct/>
              <w:autoSpaceDE/>
              <w:autoSpaceDN/>
              <w:bidi w:val="0"/>
              <w:adjustRightInd w:val="0"/>
              <w:snapToGrid w:val="0"/>
              <w:spacing w:before="10"/>
              <w:jc w:val="center"/>
              <w:textAlignment w:val="baseline"/>
              <w:rPr>
                <w:rFonts w:hint="default" w:ascii="Times New Roman" w:hAnsi="Times New Roman" w:cs="Times New Roman"/>
                <w:color w:val="auto"/>
                <w:sz w:val="21"/>
                <w:highlight w:val="none"/>
              </w:rPr>
            </w:pPr>
          </w:p>
        </w:tc>
        <w:tc>
          <w:tcPr>
            <w:tcW w:w="2027" w:type="dxa"/>
            <w:tcBorders>
              <w:tl2br w:val="nil"/>
              <w:tr2bl w:val="nil"/>
            </w:tcBorders>
            <w:vAlign w:val="center"/>
          </w:tcPr>
          <w:p w14:paraId="70C750C2">
            <w:pPr>
              <w:pStyle w:val="35"/>
              <w:keepNext w:val="0"/>
              <w:keepLines w:val="0"/>
              <w:pageBreakBefore w:val="0"/>
              <w:kinsoku/>
              <w:wordWrap w:val="0"/>
              <w:overflowPunct/>
              <w:topLinePunct/>
              <w:autoSpaceDE/>
              <w:autoSpaceDN/>
              <w:bidi w:val="0"/>
              <w:adjustRightInd w:val="0"/>
              <w:snapToGrid w:val="0"/>
              <w:spacing w:before="57" w:line="220" w:lineRule="auto"/>
              <w:ind w:left="430"/>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3"/>
                <w:highlight w:val="none"/>
              </w:rPr>
              <w:t>24</w:t>
            </w:r>
            <w:r>
              <w:rPr>
                <w:rFonts w:hint="default" w:ascii="Times New Roman" w:hAnsi="Times New Roman" w:cs="Times New Roman"/>
                <w:color w:val="auto"/>
                <w:spacing w:val="-3"/>
                <w:highlight w:val="none"/>
              </w:rPr>
              <w:t>小时平均</w:t>
            </w:r>
          </w:p>
        </w:tc>
        <w:tc>
          <w:tcPr>
            <w:tcW w:w="1138" w:type="dxa"/>
            <w:tcBorders>
              <w:tl2br w:val="nil"/>
              <w:tr2bl w:val="nil"/>
            </w:tcBorders>
            <w:vAlign w:val="center"/>
          </w:tcPr>
          <w:p w14:paraId="099DA589">
            <w:pPr>
              <w:keepNext w:val="0"/>
              <w:keepLines w:val="0"/>
              <w:pageBreakBefore w:val="0"/>
              <w:kinsoku/>
              <w:wordWrap w:val="0"/>
              <w:overflowPunct/>
              <w:topLinePunct/>
              <w:autoSpaceDE/>
              <w:autoSpaceDN/>
              <w:bidi w:val="0"/>
              <w:adjustRightInd w:val="0"/>
              <w:snapToGrid w:val="0"/>
              <w:spacing w:before="90" w:line="216" w:lineRule="auto"/>
              <w:ind w:left="433"/>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150</w:t>
            </w:r>
          </w:p>
        </w:tc>
        <w:tc>
          <w:tcPr>
            <w:tcW w:w="855" w:type="dxa"/>
            <w:vMerge w:val="continue"/>
            <w:tcBorders>
              <w:tl2br w:val="nil"/>
              <w:tr2bl w:val="nil"/>
            </w:tcBorders>
            <w:vAlign w:val="center"/>
          </w:tcPr>
          <w:p w14:paraId="72549A9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446150E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3BD8B21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continue"/>
            <w:tcBorders>
              <w:tl2br w:val="nil"/>
              <w:tr2bl w:val="nil"/>
            </w:tcBorders>
            <w:vAlign w:val="center"/>
          </w:tcPr>
          <w:p w14:paraId="255C50DB">
            <w:pPr>
              <w:keepNext w:val="0"/>
              <w:keepLines w:val="0"/>
              <w:pageBreakBefore w:val="0"/>
              <w:widowControl/>
              <w:kinsoku/>
              <w:wordWrap w:val="0"/>
              <w:overflowPunct/>
              <w:topLinePunct/>
              <w:autoSpaceDE/>
              <w:autoSpaceDN/>
              <w:bidi w:val="0"/>
              <w:adjustRightInd w:val="0"/>
              <w:snapToGrid w:val="0"/>
              <w:spacing w:before="10"/>
              <w:textAlignment w:val="baseline"/>
              <w:rPr>
                <w:rFonts w:hint="default" w:ascii="Times New Roman" w:hAnsi="Times New Roman" w:cs="Times New Roman"/>
                <w:color w:val="auto"/>
                <w:sz w:val="21"/>
                <w:highlight w:val="none"/>
              </w:rPr>
            </w:pPr>
          </w:p>
        </w:tc>
        <w:tc>
          <w:tcPr>
            <w:tcW w:w="1828" w:type="dxa"/>
            <w:vMerge w:val="continue"/>
            <w:tcBorders>
              <w:tl2br w:val="nil"/>
              <w:tr2bl w:val="nil"/>
            </w:tcBorders>
            <w:vAlign w:val="center"/>
          </w:tcPr>
          <w:p w14:paraId="306769AF">
            <w:pPr>
              <w:keepNext w:val="0"/>
              <w:keepLines w:val="0"/>
              <w:pageBreakBefore w:val="0"/>
              <w:widowControl/>
              <w:kinsoku/>
              <w:wordWrap w:val="0"/>
              <w:overflowPunct/>
              <w:topLinePunct/>
              <w:autoSpaceDE/>
              <w:autoSpaceDN/>
              <w:bidi w:val="0"/>
              <w:adjustRightInd w:val="0"/>
              <w:snapToGrid w:val="0"/>
              <w:spacing w:before="10"/>
              <w:jc w:val="center"/>
              <w:textAlignment w:val="baseline"/>
              <w:rPr>
                <w:rFonts w:hint="default" w:ascii="Times New Roman" w:hAnsi="Times New Roman" w:cs="Times New Roman"/>
                <w:color w:val="auto"/>
                <w:sz w:val="21"/>
                <w:highlight w:val="none"/>
              </w:rPr>
            </w:pPr>
          </w:p>
        </w:tc>
        <w:tc>
          <w:tcPr>
            <w:tcW w:w="2027" w:type="dxa"/>
            <w:tcBorders>
              <w:tl2br w:val="nil"/>
              <w:tr2bl w:val="nil"/>
            </w:tcBorders>
            <w:vAlign w:val="center"/>
          </w:tcPr>
          <w:p w14:paraId="5818F6EC">
            <w:pPr>
              <w:pStyle w:val="35"/>
              <w:keepNext w:val="0"/>
              <w:keepLines w:val="0"/>
              <w:pageBreakBefore w:val="0"/>
              <w:kinsoku/>
              <w:wordWrap w:val="0"/>
              <w:overflowPunct/>
              <w:topLinePunct/>
              <w:autoSpaceDE/>
              <w:autoSpaceDN/>
              <w:bidi w:val="0"/>
              <w:adjustRightInd w:val="0"/>
              <w:snapToGrid w:val="0"/>
              <w:spacing w:before="55" w:line="219" w:lineRule="auto"/>
              <w:ind w:left="503"/>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8"/>
                <w:highlight w:val="none"/>
              </w:rPr>
              <w:t>1</w:t>
            </w:r>
            <w:r>
              <w:rPr>
                <w:rFonts w:hint="default" w:ascii="Times New Roman" w:hAnsi="Times New Roman" w:cs="Times New Roman"/>
                <w:color w:val="auto"/>
                <w:spacing w:val="-8"/>
                <w:highlight w:val="none"/>
              </w:rPr>
              <w:t>小时平均</w:t>
            </w:r>
          </w:p>
        </w:tc>
        <w:tc>
          <w:tcPr>
            <w:tcW w:w="1138" w:type="dxa"/>
            <w:tcBorders>
              <w:tl2br w:val="nil"/>
              <w:tr2bl w:val="nil"/>
            </w:tcBorders>
            <w:vAlign w:val="center"/>
          </w:tcPr>
          <w:p w14:paraId="6D83BC75">
            <w:pPr>
              <w:keepNext w:val="0"/>
              <w:keepLines w:val="0"/>
              <w:pageBreakBefore w:val="0"/>
              <w:kinsoku/>
              <w:wordWrap w:val="0"/>
              <w:overflowPunct/>
              <w:topLinePunct/>
              <w:autoSpaceDE/>
              <w:autoSpaceDN/>
              <w:bidi w:val="0"/>
              <w:adjustRightInd w:val="0"/>
              <w:snapToGrid w:val="0"/>
              <w:spacing w:before="88" w:line="215" w:lineRule="auto"/>
              <w:ind w:left="418"/>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500</w:t>
            </w:r>
          </w:p>
        </w:tc>
        <w:tc>
          <w:tcPr>
            <w:tcW w:w="855" w:type="dxa"/>
            <w:vMerge w:val="continue"/>
            <w:tcBorders>
              <w:tl2br w:val="nil"/>
              <w:tr2bl w:val="nil"/>
            </w:tcBorders>
            <w:vAlign w:val="center"/>
          </w:tcPr>
          <w:p w14:paraId="6CFDFFC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69CF8F51">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1DCD468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restart"/>
            <w:tcBorders>
              <w:tl2br w:val="nil"/>
              <w:tr2bl w:val="nil"/>
            </w:tcBorders>
            <w:vAlign w:val="center"/>
          </w:tcPr>
          <w:p w14:paraId="1E332001">
            <w:pPr>
              <w:keepNext w:val="0"/>
              <w:keepLines w:val="0"/>
              <w:pageBreakBefore w:val="0"/>
              <w:widowControl/>
              <w:kinsoku/>
              <w:wordWrap w:val="0"/>
              <w:overflowPunct/>
              <w:topLinePunct/>
              <w:autoSpaceDE/>
              <w:autoSpaceDN/>
              <w:bidi w:val="0"/>
              <w:adjustRightInd w:val="0"/>
              <w:snapToGrid w:val="0"/>
              <w:spacing w:before="10" w:line="236" w:lineRule="auto"/>
              <w:ind w:left="24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1828" w:type="dxa"/>
            <w:vMerge w:val="restart"/>
            <w:tcBorders>
              <w:tl2br w:val="nil"/>
              <w:tr2bl w:val="nil"/>
            </w:tcBorders>
            <w:vAlign w:val="center"/>
          </w:tcPr>
          <w:p w14:paraId="3E65CF8C">
            <w:pPr>
              <w:keepNext w:val="0"/>
              <w:keepLines w:val="0"/>
              <w:pageBreakBefore w:val="0"/>
              <w:widowControl/>
              <w:kinsoku/>
              <w:wordWrap w:val="0"/>
              <w:overflowPunct/>
              <w:topLinePunct/>
              <w:autoSpaceDE/>
              <w:autoSpaceDN/>
              <w:bidi w:val="0"/>
              <w:adjustRightInd w:val="0"/>
              <w:snapToGrid w:val="0"/>
              <w:spacing w:before="10" w:line="228"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NO</w:t>
            </w:r>
            <w:r>
              <w:rPr>
                <w:rFonts w:hint="default" w:ascii="Times New Roman" w:hAnsi="Times New Roman" w:eastAsia="Times New Roman" w:cs="Times New Roman"/>
                <w:color w:val="auto"/>
                <w:spacing w:val="9"/>
                <w:position w:val="-2"/>
                <w:sz w:val="13"/>
                <w:szCs w:val="13"/>
                <w:highlight w:val="none"/>
              </w:rPr>
              <w:t>2</w:t>
            </w:r>
          </w:p>
        </w:tc>
        <w:tc>
          <w:tcPr>
            <w:tcW w:w="2027" w:type="dxa"/>
            <w:tcBorders>
              <w:tl2br w:val="nil"/>
              <w:tr2bl w:val="nil"/>
            </w:tcBorders>
            <w:vAlign w:val="center"/>
          </w:tcPr>
          <w:p w14:paraId="4BA3FACC">
            <w:pPr>
              <w:pStyle w:val="35"/>
              <w:keepNext w:val="0"/>
              <w:keepLines w:val="0"/>
              <w:pageBreakBefore w:val="0"/>
              <w:kinsoku/>
              <w:wordWrap w:val="0"/>
              <w:overflowPunct/>
              <w:topLinePunct/>
              <w:autoSpaceDE/>
              <w:autoSpaceDN/>
              <w:bidi w:val="0"/>
              <w:adjustRightInd w:val="0"/>
              <w:snapToGrid w:val="0"/>
              <w:spacing w:before="58" w:line="218" w:lineRule="auto"/>
              <w:ind w:left="67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年平均</w:t>
            </w:r>
          </w:p>
        </w:tc>
        <w:tc>
          <w:tcPr>
            <w:tcW w:w="1138" w:type="dxa"/>
            <w:tcBorders>
              <w:tl2br w:val="nil"/>
              <w:tr2bl w:val="nil"/>
            </w:tcBorders>
            <w:vAlign w:val="center"/>
          </w:tcPr>
          <w:p w14:paraId="69F21F9E">
            <w:pPr>
              <w:keepNext w:val="0"/>
              <w:keepLines w:val="0"/>
              <w:pageBreakBefore w:val="0"/>
              <w:kinsoku/>
              <w:wordWrap w:val="0"/>
              <w:overflowPunct/>
              <w:topLinePunct/>
              <w:autoSpaceDE/>
              <w:autoSpaceDN/>
              <w:bidi w:val="0"/>
              <w:adjustRightInd w:val="0"/>
              <w:snapToGrid w:val="0"/>
              <w:spacing w:before="91" w:line="213" w:lineRule="auto"/>
              <w:ind w:left="46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40</w:t>
            </w:r>
          </w:p>
        </w:tc>
        <w:tc>
          <w:tcPr>
            <w:tcW w:w="855" w:type="dxa"/>
            <w:vMerge w:val="continue"/>
            <w:tcBorders>
              <w:tl2br w:val="nil"/>
              <w:tr2bl w:val="nil"/>
            </w:tcBorders>
            <w:vAlign w:val="center"/>
          </w:tcPr>
          <w:p w14:paraId="08AFF26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189FBD7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5FA9EA6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continue"/>
            <w:tcBorders>
              <w:tl2br w:val="nil"/>
              <w:tr2bl w:val="nil"/>
            </w:tcBorders>
            <w:vAlign w:val="center"/>
          </w:tcPr>
          <w:p w14:paraId="0DE9653E">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828" w:type="dxa"/>
            <w:vMerge w:val="continue"/>
            <w:tcBorders>
              <w:tl2br w:val="nil"/>
              <w:tr2bl w:val="nil"/>
            </w:tcBorders>
            <w:vAlign w:val="center"/>
          </w:tcPr>
          <w:p w14:paraId="5ED3AC54">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027" w:type="dxa"/>
            <w:tcBorders>
              <w:tl2br w:val="nil"/>
              <w:tr2bl w:val="nil"/>
            </w:tcBorders>
            <w:vAlign w:val="center"/>
          </w:tcPr>
          <w:p w14:paraId="794B6C62">
            <w:pPr>
              <w:pStyle w:val="35"/>
              <w:keepNext w:val="0"/>
              <w:keepLines w:val="0"/>
              <w:pageBreakBefore w:val="0"/>
              <w:kinsoku/>
              <w:wordWrap w:val="0"/>
              <w:overflowPunct/>
              <w:topLinePunct/>
              <w:autoSpaceDE/>
              <w:autoSpaceDN/>
              <w:bidi w:val="0"/>
              <w:adjustRightInd w:val="0"/>
              <w:snapToGrid w:val="0"/>
              <w:spacing w:before="59" w:line="217" w:lineRule="auto"/>
              <w:ind w:left="430"/>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3"/>
                <w:highlight w:val="none"/>
              </w:rPr>
              <w:t>24</w:t>
            </w:r>
            <w:r>
              <w:rPr>
                <w:rFonts w:hint="default" w:ascii="Times New Roman" w:hAnsi="Times New Roman" w:cs="Times New Roman"/>
                <w:color w:val="auto"/>
                <w:spacing w:val="-3"/>
                <w:highlight w:val="none"/>
              </w:rPr>
              <w:t>小时平均</w:t>
            </w:r>
          </w:p>
        </w:tc>
        <w:tc>
          <w:tcPr>
            <w:tcW w:w="1138" w:type="dxa"/>
            <w:tcBorders>
              <w:tl2br w:val="nil"/>
              <w:tr2bl w:val="nil"/>
            </w:tcBorders>
            <w:vAlign w:val="center"/>
          </w:tcPr>
          <w:p w14:paraId="70F25FA6">
            <w:pPr>
              <w:keepNext w:val="0"/>
              <w:keepLines w:val="0"/>
              <w:pageBreakBefore w:val="0"/>
              <w:kinsoku/>
              <w:wordWrap w:val="0"/>
              <w:overflowPunct/>
              <w:topLinePunct/>
              <w:autoSpaceDE/>
              <w:autoSpaceDN/>
              <w:bidi w:val="0"/>
              <w:adjustRightInd w:val="0"/>
              <w:snapToGrid w:val="0"/>
              <w:spacing w:before="91" w:line="213" w:lineRule="auto"/>
              <w:ind w:left="47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80</w:t>
            </w:r>
          </w:p>
        </w:tc>
        <w:tc>
          <w:tcPr>
            <w:tcW w:w="855" w:type="dxa"/>
            <w:vMerge w:val="continue"/>
            <w:tcBorders>
              <w:tl2br w:val="nil"/>
              <w:tr2bl w:val="nil"/>
            </w:tcBorders>
            <w:vAlign w:val="center"/>
          </w:tcPr>
          <w:p w14:paraId="0B921BEE">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56A75A7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52C040D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continue"/>
            <w:tcBorders>
              <w:tl2br w:val="nil"/>
              <w:tr2bl w:val="nil"/>
            </w:tcBorders>
            <w:vAlign w:val="center"/>
          </w:tcPr>
          <w:p w14:paraId="452D4981">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828" w:type="dxa"/>
            <w:vMerge w:val="continue"/>
            <w:tcBorders>
              <w:tl2br w:val="nil"/>
              <w:tr2bl w:val="nil"/>
            </w:tcBorders>
            <w:vAlign w:val="center"/>
          </w:tcPr>
          <w:p w14:paraId="7D15F137">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027" w:type="dxa"/>
            <w:tcBorders>
              <w:tl2br w:val="nil"/>
              <w:tr2bl w:val="nil"/>
            </w:tcBorders>
            <w:vAlign w:val="center"/>
          </w:tcPr>
          <w:p w14:paraId="75C339AF">
            <w:pPr>
              <w:pStyle w:val="35"/>
              <w:keepNext w:val="0"/>
              <w:keepLines w:val="0"/>
              <w:pageBreakBefore w:val="0"/>
              <w:kinsoku/>
              <w:wordWrap w:val="0"/>
              <w:overflowPunct/>
              <w:topLinePunct/>
              <w:autoSpaceDE/>
              <w:autoSpaceDN/>
              <w:bidi w:val="0"/>
              <w:adjustRightInd w:val="0"/>
              <w:snapToGrid w:val="0"/>
              <w:spacing w:before="59" w:line="216" w:lineRule="auto"/>
              <w:ind w:left="503"/>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8"/>
                <w:highlight w:val="none"/>
              </w:rPr>
              <w:t>1</w:t>
            </w:r>
            <w:r>
              <w:rPr>
                <w:rFonts w:hint="default" w:ascii="Times New Roman" w:hAnsi="Times New Roman" w:cs="Times New Roman"/>
                <w:color w:val="auto"/>
                <w:spacing w:val="-8"/>
                <w:highlight w:val="none"/>
              </w:rPr>
              <w:t>小时平均</w:t>
            </w:r>
          </w:p>
        </w:tc>
        <w:tc>
          <w:tcPr>
            <w:tcW w:w="1138" w:type="dxa"/>
            <w:tcBorders>
              <w:tl2br w:val="nil"/>
              <w:tr2bl w:val="nil"/>
            </w:tcBorders>
            <w:vAlign w:val="center"/>
          </w:tcPr>
          <w:p w14:paraId="5F5420D1">
            <w:pPr>
              <w:keepNext w:val="0"/>
              <w:keepLines w:val="0"/>
              <w:pageBreakBefore w:val="0"/>
              <w:kinsoku/>
              <w:wordWrap w:val="0"/>
              <w:overflowPunct/>
              <w:topLinePunct/>
              <w:autoSpaceDE/>
              <w:autoSpaceDN/>
              <w:bidi w:val="0"/>
              <w:adjustRightInd w:val="0"/>
              <w:snapToGrid w:val="0"/>
              <w:spacing w:before="92" w:line="211" w:lineRule="auto"/>
              <w:ind w:left="413"/>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200</w:t>
            </w:r>
          </w:p>
        </w:tc>
        <w:tc>
          <w:tcPr>
            <w:tcW w:w="855" w:type="dxa"/>
            <w:vMerge w:val="continue"/>
            <w:tcBorders>
              <w:tl2br w:val="nil"/>
              <w:tr2bl w:val="nil"/>
            </w:tcBorders>
            <w:vAlign w:val="center"/>
          </w:tcPr>
          <w:p w14:paraId="49B8E25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6FDB6B76">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1F0981C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restart"/>
            <w:tcBorders>
              <w:tl2br w:val="nil"/>
              <w:tr2bl w:val="nil"/>
            </w:tcBorders>
            <w:vAlign w:val="center"/>
          </w:tcPr>
          <w:p w14:paraId="05B5E3DE">
            <w:pPr>
              <w:keepNext w:val="0"/>
              <w:keepLines w:val="0"/>
              <w:pageBreakBefore w:val="0"/>
              <w:kinsoku/>
              <w:wordWrap w:val="0"/>
              <w:overflowPunct/>
              <w:topLinePunct/>
              <w:autoSpaceDE/>
              <w:autoSpaceDN/>
              <w:bidi w:val="0"/>
              <w:adjustRightInd w:val="0"/>
              <w:snapToGrid w:val="0"/>
              <w:spacing w:before="256" w:line="234" w:lineRule="auto"/>
              <w:ind w:left="248"/>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1828" w:type="dxa"/>
            <w:vMerge w:val="restart"/>
            <w:tcBorders>
              <w:tl2br w:val="nil"/>
              <w:tr2bl w:val="nil"/>
            </w:tcBorders>
            <w:vAlign w:val="center"/>
          </w:tcPr>
          <w:p w14:paraId="0B32AB74">
            <w:pPr>
              <w:pStyle w:val="35"/>
              <w:keepNext w:val="0"/>
              <w:keepLines w:val="0"/>
              <w:pageBreakBefore w:val="0"/>
              <w:kinsoku/>
              <w:wordWrap w:val="0"/>
              <w:overflowPunct/>
              <w:topLinePunct/>
              <w:autoSpaceDE/>
              <w:autoSpaceDN/>
              <w:bidi w:val="0"/>
              <w:adjustRightInd w:val="0"/>
              <w:snapToGrid w:val="0"/>
              <w:spacing w:before="68" w:line="221" w:lineRule="auto"/>
              <w:ind w:left="11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1"/>
                <w:highlight w:val="none"/>
              </w:rPr>
              <w:t>颗粒物（粒径小于等</w:t>
            </w:r>
            <w:r>
              <w:rPr>
                <w:rFonts w:hint="default" w:ascii="Times New Roman" w:hAnsi="Times New Roman" w:cs="Times New Roman"/>
                <w:color w:val="auto"/>
                <w:spacing w:val="-6"/>
                <w:highlight w:val="none"/>
              </w:rPr>
              <w:t>于</w:t>
            </w:r>
            <w:r>
              <w:rPr>
                <w:rFonts w:hint="default" w:ascii="Times New Roman" w:hAnsi="Times New Roman" w:eastAsia="Times New Roman" w:cs="Times New Roman"/>
                <w:color w:val="auto"/>
                <w:spacing w:val="-6"/>
                <w:highlight w:val="none"/>
              </w:rPr>
              <w:t>10μm</w:t>
            </w:r>
            <w:r>
              <w:rPr>
                <w:rFonts w:hint="default" w:ascii="Times New Roman" w:hAnsi="Times New Roman" w:cs="Times New Roman"/>
                <w:color w:val="auto"/>
                <w:spacing w:val="-6"/>
                <w:highlight w:val="none"/>
              </w:rPr>
              <w:t>）</w:t>
            </w:r>
          </w:p>
        </w:tc>
        <w:tc>
          <w:tcPr>
            <w:tcW w:w="2027" w:type="dxa"/>
            <w:tcBorders>
              <w:tl2br w:val="nil"/>
              <w:tr2bl w:val="nil"/>
            </w:tcBorders>
            <w:vAlign w:val="center"/>
          </w:tcPr>
          <w:p w14:paraId="0AC513A4">
            <w:pPr>
              <w:pStyle w:val="35"/>
              <w:keepNext w:val="0"/>
              <w:keepLines w:val="0"/>
              <w:pageBreakBefore w:val="0"/>
              <w:kinsoku/>
              <w:wordWrap w:val="0"/>
              <w:overflowPunct/>
              <w:topLinePunct/>
              <w:autoSpaceDE/>
              <w:autoSpaceDN/>
              <w:bidi w:val="0"/>
              <w:adjustRightInd w:val="0"/>
              <w:snapToGrid w:val="0"/>
              <w:spacing w:before="61" w:line="215" w:lineRule="auto"/>
              <w:ind w:left="67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年平均</w:t>
            </w:r>
          </w:p>
        </w:tc>
        <w:tc>
          <w:tcPr>
            <w:tcW w:w="1138" w:type="dxa"/>
            <w:tcBorders>
              <w:tl2br w:val="nil"/>
              <w:tr2bl w:val="nil"/>
            </w:tcBorders>
            <w:vAlign w:val="center"/>
          </w:tcPr>
          <w:p w14:paraId="4F708765">
            <w:pPr>
              <w:keepNext w:val="0"/>
              <w:keepLines w:val="0"/>
              <w:pageBreakBefore w:val="0"/>
              <w:kinsoku/>
              <w:wordWrap w:val="0"/>
              <w:overflowPunct/>
              <w:topLinePunct/>
              <w:autoSpaceDE/>
              <w:autoSpaceDN/>
              <w:bidi w:val="0"/>
              <w:adjustRightInd w:val="0"/>
              <w:snapToGrid w:val="0"/>
              <w:spacing w:before="93" w:line="211" w:lineRule="auto"/>
              <w:ind w:left="46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70</w:t>
            </w:r>
          </w:p>
        </w:tc>
        <w:tc>
          <w:tcPr>
            <w:tcW w:w="855" w:type="dxa"/>
            <w:vMerge w:val="restart"/>
            <w:tcBorders>
              <w:tl2br w:val="nil"/>
              <w:tr2bl w:val="nil"/>
            </w:tcBorders>
            <w:vAlign w:val="center"/>
          </w:tcPr>
          <w:p w14:paraId="3CAF7262">
            <w:pPr>
              <w:keepNext w:val="0"/>
              <w:keepLines w:val="0"/>
              <w:pageBreakBefore w:val="0"/>
              <w:kinsoku/>
              <w:wordWrap w:val="0"/>
              <w:overflowPunct/>
              <w:topLinePunct/>
              <w:autoSpaceDE/>
              <w:autoSpaceDN/>
              <w:bidi w:val="0"/>
              <w:adjustRightInd w:val="0"/>
              <w:snapToGrid w:val="0"/>
              <w:spacing w:before="61" w:line="226" w:lineRule="auto"/>
              <w:ind w:left="180"/>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pacing w:val="-2"/>
                <w:sz w:val="21"/>
                <w:szCs w:val="21"/>
                <w:highlight w:val="none"/>
              </w:rPr>
              <w:t>μg/m</w:t>
            </w:r>
            <w:r>
              <w:rPr>
                <w:rFonts w:hint="default" w:ascii="Times New Roman" w:hAnsi="Times New Roman" w:eastAsia="Times New Roman" w:cs="Times New Roman"/>
                <w:color w:val="auto"/>
                <w:spacing w:val="-2"/>
                <w:position w:val="9"/>
                <w:sz w:val="13"/>
                <w:szCs w:val="13"/>
                <w:highlight w:val="none"/>
              </w:rPr>
              <w:t>3</w:t>
            </w:r>
          </w:p>
        </w:tc>
        <w:tc>
          <w:tcPr>
            <w:tcW w:w="2261" w:type="dxa"/>
            <w:vMerge w:val="continue"/>
            <w:tcBorders>
              <w:tl2br w:val="nil"/>
              <w:tr2bl w:val="nil"/>
            </w:tcBorders>
            <w:vAlign w:val="center"/>
          </w:tcPr>
          <w:p w14:paraId="22CFB472">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51600C4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continue"/>
            <w:tcBorders>
              <w:tl2br w:val="nil"/>
              <w:tr2bl w:val="nil"/>
            </w:tcBorders>
            <w:vAlign w:val="center"/>
          </w:tcPr>
          <w:p w14:paraId="73186485">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828" w:type="dxa"/>
            <w:vMerge w:val="continue"/>
            <w:tcBorders>
              <w:tl2br w:val="nil"/>
              <w:tr2bl w:val="nil"/>
            </w:tcBorders>
            <w:vAlign w:val="center"/>
          </w:tcPr>
          <w:p w14:paraId="4DD57B78">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027" w:type="dxa"/>
            <w:tcBorders>
              <w:tl2br w:val="nil"/>
              <w:tr2bl w:val="nil"/>
            </w:tcBorders>
            <w:vAlign w:val="center"/>
          </w:tcPr>
          <w:p w14:paraId="7EE560B5">
            <w:pPr>
              <w:pStyle w:val="35"/>
              <w:keepNext w:val="0"/>
              <w:keepLines w:val="0"/>
              <w:pageBreakBefore w:val="0"/>
              <w:kinsoku/>
              <w:wordWrap w:val="0"/>
              <w:overflowPunct/>
              <w:topLinePunct/>
              <w:autoSpaceDE/>
              <w:autoSpaceDN/>
              <w:bidi w:val="0"/>
              <w:adjustRightInd w:val="0"/>
              <w:snapToGrid w:val="0"/>
              <w:spacing w:before="64" w:line="214" w:lineRule="auto"/>
              <w:ind w:left="430"/>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3"/>
                <w:highlight w:val="none"/>
              </w:rPr>
              <w:t>24</w:t>
            </w:r>
            <w:r>
              <w:rPr>
                <w:rFonts w:hint="default" w:ascii="Times New Roman" w:hAnsi="Times New Roman" w:cs="Times New Roman"/>
                <w:color w:val="auto"/>
                <w:spacing w:val="-3"/>
                <w:highlight w:val="none"/>
              </w:rPr>
              <w:t>小时平均</w:t>
            </w:r>
          </w:p>
        </w:tc>
        <w:tc>
          <w:tcPr>
            <w:tcW w:w="1138" w:type="dxa"/>
            <w:tcBorders>
              <w:tl2br w:val="nil"/>
              <w:tr2bl w:val="nil"/>
            </w:tcBorders>
            <w:vAlign w:val="center"/>
          </w:tcPr>
          <w:p w14:paraId="09ACED43">
            <w:pPr>
              <w:keepNext w:val="0"/>
              <w:keepLines w:val="0"/>
              <w:pageBreakBefore w:val="0"/>
              <w:kinsoku/>
              <w:wordWrap w:val="0"/>
              <w:overflowPunct/>
              <w:topLinePunct/>
              <w:autoSpaceDE/>
              <w:autoSpaceDN/>
              <w:bidi w:val="0"/>
              <w:adjustRightInd w:val="0"/>
              <w:snapToGrid w:val="0"/>
              <w:spacing w:before="96" w:line="210" w:lineRule="auto"/>
              <w:ind w:left="433"/>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150</w:t>
            </w:r>
          </w:p>
        </w:tc>
        <w:tc>
          <w:tcPr>
            <w:tcW w:w="855" w:type="dxa"/>
            <w:vMerge w:val="continue"/>
            <w:tcBorders>
              <w:tl2br w:val="nil"/>
              <w:tr2bl w:val="nil"/>
            </w:tcBorders>
            <w:vAlign w:val="center"/>
          </w:tcPr>
          <w:p w14:paraId="657A127A">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7EFD7CE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2465182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restart"/>
            <w:tcBorders>
              <w:tl2br w:val="nil"/>
              <w:tr2bl w:val="nil"/>
            </w:tcBorders>
            <w:vAlign w:val="center"/>
          </w:tcPr>
          <w:p w14:paraId="650A9E80">
            <w:pPr>
              <w:keepNext w:val="0"/>
              <w:keepLines w:val="0"/>
              <w:pageBreakBefore w:val="0"/>
              <w:kinsoku/>
              <w:wordWrap w:val="0"/>
              <w:overflowPunct/>
              <w:topLinePunct/>
              <w:autoSpaceDE/>
              <w:autoSpaceDN/>
              <w:bidi w:val="0"/>
              <w:adjustRightInd w:val="0"/>
              <w:snapToGrid w:val="0"/>
              <w:spacing w:before="256" w:line="236" w:lineRule="auto"/>
              <w:ind w:left="243"/>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1828" w:type="dxa"/>
            <w:vMerge w:val="restart"/>
            <w:tcBorders>
              <w:tl2br w:val="nil"/>
              <w:tr2bl w:val="nil"/>
            </w:tcBorders>
            <w:vAlign w:val="center"/>
          </w:tcPr>
          <w:p w14:paraId="59E8EF7C">
            <w:pPr>
              <w:pStyle w:val="35"/>
              <w:keepNext w:val="0"/>
              <w:keepLines w:val="0"/>
              <w:pageBreakBefore w:val="0"/>
              <w:kinsoku/>
              <w:wordWrap w:val="0"/>
              <w:overflowPunct/>
              <w:topLinePunct/>
              <w:autoSpaceDE/>
              <w:autoSpaceDN/>
              <w:bidi w:val="0"/>
              <w:adjustRightInd w:val="0"/>
              <w:snapToGrid w:val="0"/>
              <w:spacing w:before="67" w:line="221" w:lineRule="auto"/>
              <w:ind w:left="11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1"/>
                <w:highlight w:val="none"/>
              </w:rPr>
              <w:t>颗粒物（粒径小于等</w:t>
            </w:r>
            <w:r>
              <w:rPr>
                <w:rFonts w:hint="default" w:ascii="Times New Roman" w:hAnsi="Times New Roman" w:cs="Times New Roman"/>
                <w:color w:val="auto"/>
                <w:spacing w:val="-2"/>
                <w:highlight w:val="none"/>
              </w:rPr>
              <w:t>于</w:t>
            </w:r>
            <w:r>
              <w:rPr>
                <w:rFonts w:hint="default" w:ascii="Times New Roman" w:hAnsi="Times New Roman" w:eastAsia="Times New Roman" w:cs="Times New Roman"/>
                <w:color w:val="auto"/>
                <w:spacing w:val="-2"/>
                <w:highlight w:val="none"/>
              </w:rPr>
              <w:t>2.5μm</w:t>
            </w:r>
            <w:r>
              <w:rPr>
                <w:rFonts w:hint="default" w:ascii="Times New Roman" w:hAnsi="Times New Roman" w:cs="Times New Roman"/>
                <w:color w:val="auto"/>
                <w:spacing w:val="-2"/>
                <w:highlight w:val="none"/>
              </w:rPr>
              <w:t>）</w:t>
            </w:r>
          </w:p>
        </w:tc>
        <w:tc>
          <w:tcPr>
            <w:tcW w:w="2027" w:type="dxa"/>
            <w:tcBorders>
              <w:tl2br w:val="nil"/>
              <w:tr2bl w:val="nil"/>
            </w:tcBorders>
            <w:vAlign w:val="center"/>
          </w:tcPr>
          <w:p w14:paraId="37B36D28">
            <w:pPr>
              <w:pStyle w:val="35"/>
              <w:keepNext w:val="0"/>
              <w:keepLines w:val="0"/>
              <w:pageBreakBefore w:val="0"/>
              <w:kinsoku/>
              <w:wordWrap w:val="0"/>
              <w:overflowPunct/>
              <w:topLinePunct/>
              <w:autoSpaceDE/>
              <w:autoSpaceDN/>
              <w:bidi w:val="0"/>
              <w:adjustRightInd w:val="0"/>
              <w:snapToGrid w:val="0"/>
              <w:spacing w:before="62" w:line="213" w:lineRule="auto"/>
              <w:ind w:left="67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年平均</w:t>
            </w:r>
          </w:p>
        </w:tc>
        <w:tc>
          <w:tcPr>
            <w:tcW w:w="1138" w:type="dxa"/>
            <w:tcBorders>
              <w:tl2br w:val="nil"/>
              <w:tr2bl w:val="nil"/>
            </w:tcBorders>
            <w:vAlign w:val="center"/>
          </w:tcPr>
          <w:p w14:paraId="0853DC2E">
            <w:pPr>
              <w:keepNext w:val="0"/>
              <w:keepLines w:val="0"/>
              <w:pageBreakBefore w:val="0"/>
              <w:kinsoku/>
              <w:wordWrap w:val="0"/>
              <w:overflowPunct/>
              <w:topLinePunct/>
              <w:autoSpaceDE/>
              <w:autoSpaceDN/>
              <w:bidi w:val="0"/>
              <w:adjustRightInd w:val="0"/>
              <w:snapToGrid w:val="0"/>
              <w:spacing w:before="95" w:line="208" w:lineRule="auto"/>
              <w:ind w:left="47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35</w:t>
            </w:r>
          </w:p>
        </w:tc>
        <w:tc>
          <w:tcPr>
            <w:tcW w:w="855" w:type="dxa"/>
            <w:vMerge w:val="continue"/>
            <w:tcBorders>
              <w:tl2br w:val="nil"/>
              <w:tr2bl w:val="nil"/>
            </w:tcBorders>
            <w:vAlign w:val="center"/>
          </w:tcPr>
          <w:p w14:paraId="2B74631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59CE7E37">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2809F26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continue"/>
            <w:tcBorders>
              <w:tl2br w:val="nil"/>
              <w:tr2bl w:val="nil"/>
            </w:tcBorders>
            <w:vAlign w:val="center"/>
          </w:tcPr>
          <w:p w14:paraId="7F2CDF71">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828" w:type="dxa"/>
            <w:vMerge w:val="continue"/>
            <w:tcBorders>
              <w:tl2br w:val="nil"/>
              <w:tr2bl w:val="nil"/>
            </w:tcBorders>
            <w:vAlign w:val="center"/>
          </w:tcPr>
          <w:p w14:paraId="6CE7A4F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027" w:type="dxa"/>
            <w:tcBorders>
              <w:tl2br w:val="nil"/>
              <w:tr2bl w:val="nil"/>
            </w:tcBorders>
            <w:vAlign w:val="center"/>
          </w:tcPr>
          <w:p w14:paraId="745350B1">
            <w:pPr>
              <w:pStyle w:val="35"/>
              <w:keepNext w:val="0"/>
              <w:keepLines w:val="0"/>
              <w:pageBreakBefore w:val="0"/>
              <w:kinsoku/>
              <w:wordWrap w:val="0"/>
              <w:overflowPunct/>
              <w:topLinePunct/>
              <w:autoSpaceDE/>
              <w:autoSpaceDN/>
              <w:bidi w:val="0"/>
              <w:adjustRightInd w:val="0"/>
              <w:snapToGrid w:val="0"/>
              <w:spacing w:before="64" w:line="212" w:lineRule="auto"/>
              <w:ind w:left="430"/>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3"/>
                <w:highlight w:val="none"/>
              </w:rPr>
              <w:t>24</w:t>
            </w:r>
            <w:r>
              <w:rPr>
                <w:rFonts w:hint="default" w:ascii="Times New Roman" w:hAnsi="Times New Roman" w:cs="Times New Roman"/>
                <w:color w:val="auto"/>
                <w:spacing w:val="-3"/>
                <w:highlight w:val="none"/>
              </w:rPr>
              <w:t>小时平均</w:t>
            </w:r>
          </w:p>
        </w:tc>
        <w:tc>
          <w:tcPr>
            <w:tcW w:w="1138" w:type="dxa"/>
            <w:tcBorders>
              <w:tl2br w:val="nil"/>
              <w:tr2bl w:val="nil"/>
            </w:tcBorders>
            <w:vAlign w:val="center"/>
          </w:tcPr>
          <w:p w14:paraId="47EECA7A">
            <w:pPr>
              <w:keepNext w:val="0"/>
              <w:keepLines w:val="0"/>
              <w:pageBreakBefore w:val="0"/>
              <w:kinsoku/>
              <w:wordWrap w:val="0"/>
              <w:overflowPunct/>
              <w:topLinePunct/>
              <w:autoSpaceDE/>
              <w:autoSpaceDN/>
              <w:bidi w:val="0"/>
              <w:adjustRightInd w:val="0"/>
              <w:snapToGrid w:val="0"/>
              <w:spacing w:before="97" w:line="207" w:lineRule="auto"/>
              <w:ind w:left="46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75</w:t>
            </w:r>
          </w:p>
        </w:tc>
        <w:tc>
          <w:tcPr>
            <w:tcW w:w="855" w:type="dxa"/>
            <w:vMerge w:val="continue"/>
            <w:tcBorders>
              <w:tl2br w:val="nil"/>
              <w:tr2bl w:val="nil"/>
            </w:tcBorders>
            <w:vAlign w:val="center"/>
          </w:tcPr>
          <w:p w14:paraId="1D5B1FEE">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503AF9C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3AB15F5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restart"/>
            <w:tcBorders>
              <w:tl2br w:val="nil"/>
              <w:tr2bl w:val="nil"/>
            </w:tcBorders>
            <w:vAlign w:val="center"/>
          </w:tcPr>
          <w:p w14:paraId="01FF5981">
            <w:pPr>
              <w:keepNext w:val="0"/>
              <w:keepLines w:val="0"/>
              <w:pageBreakBefore w:val="0"/>
              <w:widowControl/>
              <w:kinsoku/>
              <w:wordWrap w:val="0"/>
              <w:overflowPunct/>
              <w:topLinePunct/>
              <w:autoSpaceDE/>
              <w:autoSpaceDN/>
              <w:bidi w:val="0"/>
              <w:adjustRightInd w:val="0"/>
              <w:snapToGrid w:val="0"/>
              <w:spacing w:before="10" w:line="234" w:lineRule="auto"/>
              <w:ind w:left="25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c>
          <w:tcPr>
            <w:tcW w:w="1828" w:type="dxa"/>
            <w:vMerge w:val="restart"/>
            <w:tcBorders>
              <w:tl2br w:val="nil"/>
              <w:tr2bl w:val="nil"/>
            </w:tcBorders>
            <w:vAlign w:val="center"/>
          </w:tcPr>
          <w:p w14:paraId="7AC460FC">
            <w:pPr>
              <w:keepNext w:val="0"/>
              <w:keepLines w:val="0"/>
              <w:pageBreakBefore w:val="0"/>
              <w:widowControl/>
              <w:kinsoku/>
              <w:wordWrap w:val="0"/>
              <w:overflowPunct/>
              <w:topLinePunct/>
              <w:autoSpaceDE/>
              <w:autoSpaceDN/>
              <w:bidi w:val="0"/>
              <w:adjustRightInd w:val="0"/>
              <w:snapToGrid w:val="0"/>
              <w:spacing w:before="10" w:line="188"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CO</w:t>
            </w:r>
          </w:p>
        </w:tc>
        <w:tc>
          <w:tcPr>
            <w:tcW w:w="2027" w:type="dxa"/>
            <w:tcBorders>
              <w:tl2br w:val="nil"/>
              <w:tr2bl w:val="nil"/>
            </w:tcBorders>
            <w:vAlign w:val="center"/>
          </w:tcPr>
          <w:p w14:paraId="5F21B80F">
            <w:pPr>
              <w:pStyle w:val="35"/>
              <w:keepNext w:val="0"/>
              <w:keepLines w:val="0"/>
              <w:pageBreakBefore w:val="0"/>
              <w:kinsoku/>
              <w:wordWrap w:val="0"/>
              <w:overflowPunct/>
              <w:topLinePunct/>
              <w:autoSpaceDE/>
              <w:autoSpaceDN/>
              <w:bidi w:val="0"/>
              <w:adjustRightInd w:val="0"/>
              <w:snapToGrid w:val="0"/>
              <w:spacing w:before="64" w:line="212" w:lineRule="auto"/>
              <w:ind w:left="430"/>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3"/>
                <w:highlight w:val="none"/>
              </w:rPr>
              <w:t>24</w:t>
            </w:r>
            <w:r>
              <w:rPr>
                <w:rFonts w:hint="default" w:ascii="Times New Roman" w:hAnsi="Times New Roman" w:cs="Times New Roman"/>
                <w:color w:val="auto"/>
                <w:spacing w:val="-3"/>
                <w:highlight w:val="none"/>
              </w:rPr>
              <w:t>小时平均</w:t>
            </w:r>
          </w:p>
        </w:tc>
        <w:tc>
          <w:tcPr>
            <w:tcW w:w="1138" w:type="dxa"/>
            <w:tcBorders>
              <w:tl2br w:val="nil"/>
              <w:tr2bl w:val="nil"/>
            </w:tcBorders>
            <w:vAlign w:val="center"/>
          </w:tcPr>
          <w:p w14:paraId="6A558280">
            <w:pPr>
              <w:keepNext w:val="0"/>
              <w:keepLines w:val="0"/>
              <w:pageBreakBefore w:val="0"/>
              <w:kinsoku/>
              <w:wordWrap w:val="0"/>
              <w:overflowPunct/>
              <w:topLinePunct/>
              <w:autoSpaceDE/>
              <w:autoSpaceDN/>
              <w:bidi w:val="0"/>
              <w:adjustRightInd w:val="0"/>
              <w:snapToGrid w:val="0"/>
              <w:spacing w:before="97" w:line="207" w:lineRule="auto"/>
              <w:ind w:left="51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855" w:type="dxa"/>
            <w:vMerge w:val="restart"/>
            <w:tcBorders>
              <w:tl2br w:val="nil"/>
              <w:tr2bl w:val="nil"/>
            </w:tcBorders>
            <w:vAlign w:val="center"/>
          </w:tcPr>
          <w:p w14:paraId="6CBBD10F">
            <w:pPr>
              <w:keepNext w:val="0"/>
              <w:keepLines w:val="0"/>
              <w:pageBreakBefore w:val="0"/>
              <w:kinsoku/>
              <w:wordWrap w:val="0"/>
              <w:overflowPunct/>
              <w:topLinePunct/>
              <w:autoSpaceDE/>
              <w:autoSpaceDN/>
              <w:bidi w:val="0"/>
              <w:adjustRightInd w:val="0"/>
              <w:snapToGrid w:val="0"/>
              <w:spacing w:before="208" w:line="226" w:lineRule="auto"/>
              <w:ind w:left="145"/>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mg/m</w:t>
            </w:r>
            <w:r>
              <w:rPr>
                <w:rFonts w:hint="default" w:ascii="Times New Roman" w:hAnsi="Times New Roman" w:eastAsia="Times New Roman" w:cs="Times New Roman"/>
                <w:color w:val="auto"/>
                <w:position w:val="9"/>
                <w:sz w:val="13"/>
                <w:szCs w:val="13"/>
                <w:highlight w:val="none"/>
              </w:rPr>
              <w:t>3</w:t>
            </w:r>
          </w:p>
        </w:tc>
        <w:tc>
          <w:tcPr>
            <w:tcW w:w="2261" w:type="dxa"/>
            <w:vMerge w:val="continue"/>
            <w:tcBorders>
              <w:tl2br w:val="nil"/>
              <w:tr2bl w:val="nil"/>
            </w:tcBorders>
            <w:vAlign w:val="center"/>
          </w:tcPr>
          <w:p w14:paraId="715BAE7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745C431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continue"/>
            <w:tcBorders>
              <w:tl2br w:val="nil"/>
              <w:tr2bl w:val="nil"/>
            </w:tcBorders>
            <w:vAlign w:val="center"/>
          </w:tcPr>
          <w:p w14:paraId="4663E5AE">
            <w:pPr>
              <w:keepNext w:val="0"/>
              <w:keepLines w:val="0"/>
              <w:pageBreakBefore w:val="0"/>
              <w:widowControl/>
              <w:kinsoku/>
              <w:wordWrap w:val="0"/>
              <w:overflowPunct/>
              <w:topLinePunct/>
              <w:autoSpaceDE/>
              <w:autoSpaceDN/>
              <w:bidi w:val="0"/>
              <w:adjustRightInd w:val="0"/>
              <w:snapToGrid w:val="0"/>
              <w:spacing w:before="10"/>
              <w:textAlignment w:val="baseline"/>
              <w:rPr>
                <w:rFonts w:hint="default" w:ascii="Times New Roman" w:hAnsi="Times New Roman" w:cs="Times New Roman"/>
                <w:color w:val="auto"/>
                <w:sz w:val="21"/>
                <w:highlight w:val="none"/>
              </w:rPr>
            </w:pPr>
          </w:p>
        </w:tc>
        <w:tc>
          <w:tcPr>
            <w:tcW w:w="1828" w:type="dxa"/>
            <w:vMerge w:val="continue"/>
            <w:tcBorders>
              <w:tl2br w:val="nil"/>
              <w:tr2bl w:val="nil"/>
            </w:tcBorders>
            <w:vAlign w:val="center"/>
          </w:tcPr>
          <w:p w14:paraId="1767134C">
            <w:pPr>
              <w:keepNext w:val="0"/>
              <w:keepLines w:val="0"/>
              <w:pageBreakBefore w:val="0"/>
              <w:widowControl/>
              <w:kinsoku/>
              <w:wordWrap w:val="0"/>
              <w:overflowPunct/>
              <w:topLinePunct/>
              <w:autoSpaceDE/>
              <w:autoSpaceDN/>
              <w:bidi w:val="0"/>
              <w:adjustRightInd w:val="0"/>
              <w:snapToGrid w:val="0"/>
              <w:spacing w:before="10"/>
              <w:textAlignment w:val="baseline"/>
              <w:rPr>
                <w:rFonts w:hint="default" w:ascii="Times New Roman" w:hAnsi="Times New Roman" w:cs="Times New Roman"/>
                <w:color w:val="auto"/>
                <w:sz w:val="21"/>
                <w:highlight w:val="none"/>
              </w:rPr>
            </w:pPr>
          </w:p>
        </w:tc>
        <w:tc>
          <w:tcPr>
            <w:tcW w:w="2027" w:type="dxa"/>
            <w:tcBorders>
              <w:tl2br w:val="nil"/>
              <w:tr2bl w:val="nil"/>
            </w:tcBorders>
            <w:vAlign w:val="center"/>
          </w:tcPr>
          <w:p w14:paraId="232909FF">
            <w:pPr>
              <w:pStyle w:val="35"/>
              <w:keepNext w:val="0"/>
              <w:keepLines w:val="0"/>
              <w:pageBreakBefore w:val="0"/>
              <w:kinsoku/>
              <w:wordWrap w:val="0"/>
              <w:overflowPunct/>
              <w:topLinePunct/>
              <w:autoSpaceDE/>
              <w:autoSpaceDN/>
              <w:bidi w:val="0"/>
              <w:adjustRightInd w:val="0"/>
              <w:snapToGrid w:val="0"/>
              <w:spacing w:before="65" w:line="211" w:lineRule="auto"/>
              <w:ind w:left="503"/>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8"/>
                <w:highlight w:val="none"/>
              </w:rPr>
              <w:t>1</w:t>
            </w:r>
            <w:r>
              <w:rPr>
                <w:rFonts w:hint="default" w:ascii="Times New Roman" w:hAnsi="Times New Roman" w:cs="Times New Roman"/>
                <w:color w:val="auto"/>
                <w:spacing w:val="-8"/>
                <w:highlight w:val="none"/>
              </w:rPr>
              <w:t>小时平均</w:t>
            </w:r>
          </w:p>
        </w:tc>
        <w:tc>
          <w:tcPr>
            <w:tcW w:w="1138" w:type="dxa"/>
            <w:tcBorders>
              <w:tl2br w:val="nil"/>
              <w:tr2bl w:val="nil"/>
            </w:tcBorders>
            <w:vAlign w:val="center"/>
          </w:tcPr>
          <w:p w14:paraId="475BD96B">
            <w:pPr>
              <w:keepNext w:val="0"/>
              <w:keepLines w:val="0"/>
              <w:pageBreakBefore w:val="0"/>
              <w:kinsoku/>
              <w:wordWrap w:val="0"/>
              <w:overflowPunct/>
              <w:topLinePunct/>
              <w:autoSpaceDE/>
              <w:autoSpaceDN/>
              <w:bidi w:val="0"/>
              <w:adjustRightInd w:val="0"/>
              <w:snapToGrid w:val="0"/>
              <w:spacing w:before="98" w:line="206" w:lineRule="auto"/>
              <w:ind w:left="486"/>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10</w:t>
            </w:r>
          </w:p>
        </w:tc>
        <w:tc>
          <w:tcPr>
            <w:tcW w:w="855" w:type="dxa"/>
            <w:vMerge w:val="continue"/>
            <w:tcBorders>
              <w:tl2br w:val="nil"/>
              <w:tr2bl w:val="nil"/>
            </w:tcBorders>
            <w:vAlign w:val="center"/>
          </w:tcPr>
          <w:p w14:paraId="6050DB0E">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58317093">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7A61695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restart"/>
            <w:tcBorders>
              <w:tl2br w:val="nil"/>
              <w:tr2bl w:val="nil"/>
            </w:tcBorders>
            <w:vAlign w:val="center"/>
          </w:tcPr>
          <w:p w14:paraId="5F05B4C3">
            <w:pPr>
              <w:keepNext w:val="0"/>
              <w:keepLines w:val="0"/>
              <w:pageBreakBefore w:val="0"/>
              <w:widowControl/>
              <w:kinsoku/>
              <w:wordWrap w:val="0"/>
              <w:overflowPunct/>
              <w:topLinePunct/>
              <w:autoSpaceDE/>
              <w:autoSpaceDN/>
              <w:bidi w:val="0"/>
              <w:adjustRightInd w:val="0"/>
              <w:snapToGrid w:val="0"/>
              <w:spacing w:before="10" w:line="234" w:lineRule="auto"/>
              <w:ind w:left="24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6</w:t>
            </w:r>
          </w:p>
        </w:tc>
        <w:tc>
          <w:tcPr>
            <w:tcW w:w="1828" w:type="dxa"/>
            <w:vMerge w:val="restart"/>
            <w:tcBorders>
              <w:tl2br w:val="nil"/>
              <w:tr2bl w:val="nil"/>
            </w:tcBorders>
            <w:vAlign w:val="center"/>
          </w:tcPr>
          <w:p w14:paraId="4170EEC4">
            <w:pPr>
              <w:keepNext w:val="0"/>
              <w:keepLines w:val="0"/>
              <w:pageBreakBefore w:val="0"/>
              <w:widowControl/>
              <w:kinsoku/>
              <w:wordWrap w:val="0"/>
              <w:overflowPunct/>
              <w:topLinePunct/>
              <w:autoSpaceDE/>
              <w:autoSpaceDN/>
              <w:bidi w:val="0"/>
              <w:adjustRightInd w:val="0"/>
              <w:snapToGrid w:val="0"/>
              <w:spacing w:before="10" w:line="228"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pacing w:val="-1"/>
                <w:position w:val="1"/>
                <w:sz w:val="21"/>
                <w:szCs w:val="21"/>
                <w:highlight w:val="none"/>
              </w:rPr>
              <w:t>O</w:t>
            </w:r>
            <w:r>
              <w:rPr>
                <w:rFonts w:hint="default" w:ascii="Times New Roman" w:hAnsi="Times New Roman" w:eastAsia="Times New Roman" w:cs="Times New Roman"/>
                <w:color w:val="auto"/>
                <w:spacing w:val="-1"/>
                <w:position w:val="-1"/>
                <w:sz w:val="13"/>
                <w:szCs w:val="13"/>
                <w:highlight w:val="none"/>
              </w:rPr>
              <w:t>3</w:t>
            </w:r>
          </w:p>
        </w:tc>
        <w:tc>
          <w:tcPr>
            <w:tcW w:w="2027" w:type="dxa"/>
            <w:tcBorders>
              <w:tl2br w:val="nil"/>
              <w:tr2bl w:val="nil"/>
            </w:tcBorders>
            <w:vAlign w:val="center"/>
          </w:tcPr>
          <w:p w14:paraId="5F593A04">
            <w:pPr>
              <w:pStyle w:val="35"/>
              <w:keepNext w:val="0"/>
              <w:keepLines w:val="0"/>
              <w:pageBreakBefore w:val="0"/>
              <w:kinsoku/>
              <w:wordWrap w:val="0"/>
              <w:overflowPunct/>
              <w:topLinePunct/>
              <w:autoSpaceDE/>
              <w:autoSpaceDN/>
              <w:bidi w:val="0"/>
              <w:adjustRightInd w:val="0"/>
              <w:snapToGrid w:val="0"/>
              <w:spacing w:before="65" w:line="211" w:lineRule="auto"/>
              <w:ind w:left="18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9"/>
                <w:highlight w:val="none"/>
              </w:rPr>
              <w:t>日最大</w:t>
            </w:r>
            <w:r>
              <w:rPr>
                <w:rFonts w:hint="default" w:ascii="Times New Roman" w:hAnsi="Times New Roman" w:eastAsia="Times New Roman" w:cs="Times New Roman"/>
                <w:color w:val="auto"/>
                <w:spacing w:val="-9"/>
                <w:highlight w:val="none"/>
              </w:rPr>
              <w:t>8</w:t>
            </w:r>
            <w:r>
              <w:rPr>
                <w:rFonts w:hint="default" w:ascii="Times New Roman" w:hAnsi="Times New Roman" w:cs="Times New Roman"/>
                <w:color w:val="auto"/>
                <w:spacing w:val="-9"/>
                <w:highlight w:val="none"/>
              </w:rPr>
              <w:t>小时平均</w:t>
            </w:r>
          </w:p>
        </w:tc>
        <w:tc>
          <w:tcPr>
            <w:tcW w:w="1138" w:type="dxa"/>
            <w:tcBorders>
              <w:tl2br w:val="nil"/>
              <w:tr2bl w:val="nil"/>
            </w:tcBorders>
            <w:vAlign w:val="center"/>
          </w:tcPr>
          <w:p w14:paraId="40D6798C">
            <w:pPr>
              <w:keepNext w:val="0"/>
              <w:keepLines w:val="0"/>
              <w:pageBreakBefore w:val="0"/>
              <w:kinsoku/>
              <w:wordWrap w:val="0"/>
              <w:overflowPunct/>
              <w:topLinePunct/>
              <w:autoSpaceDE/>
              <w:autoSpaceDN/>
              <w:bidi w:val="0"/>
              <w:adjustRightInd w:val="0"/>
              <w:snapToGrid w:val="0"/>
              <w:spacing w:before="98" w:line="206" w:lineRule="auto"/>
              <w:ind w:left="433"/>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160</w:t>
            </w:r>
          </w:p>
        </w:tc>
        <w:tc>
          <w:tcPr>
            <w:tcW w:w="855" w:type="dxa"/>
            <w:vMerge w:val="restart"/>
            <w:tcBorders>
              <w:tl2br w:val="nil"/>
              <w:tr2bl w:val="nil"/>
            </w:tcBorders>
            <w:vAlign w:val="center"/>
          </w:tcPr>
          <w:p w14:paraId="7CDEEFE2">
            <w:pPr>
              <w:keepNext w:val="0"/>
              <w:keepLines w:val="0"/>
              <w:pageBreakBefore w:val="0"/>
              <w:kinsoku/>
              <w:wordWrap w:val="0"/>
              <w:overflowPunct/>
              <w:topLinePunct/>
              <w:autoSpaceDE/>
              <w:autoSpaceDN/>
              <w:bidi w:val="0"/>
              <w:adjustRightInd w:val="0"/>
              <w:snapToGrid w:val="0"/>
              <w:spacing w:before="211" w:line="226" w:lineRule="auto"/>
              <w:ind w:left="180"/>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pacing w:val="-2"/>
                <w:sz w:val="21"/>
                <w:szCs w:val="21"/>
                <w:highlight w:val="none"/>
              </w:rPr>
              <w:t>μg/m</w:t>
            </w:r>
            <w:r>
              <w:rPr>
                <w:rFonts w:hint="default" w:ascii="Times New Roman" w:hAnsi="Times New Roman" w:eastAsia="Times New Roman" w:cs="Times New Roman"/>
                <w:color w:val="auto"/>
                <w:spacing w:val="-2"/>
                <w:position w:val="9"/>
                <w:sz w:val="13"/>
                <w:szCs w:val="13"/>
                <w:highlight w:val="none"/>
              </w:rPr>
              <w:t>3</w:t>
            </w:r>
          </w:p>
        </w:tc>
        <w:tc>
          <w:tcPr>
            <w:tcW w:w="2261" w:type="dxa"/>
            <w:vMerge w:val="continue"/>
            <w:tcBorders>
              <w:tl2br w:val="nil"/>
              <w:tr2bl w:val="nil"/>
            </w:tcBorders>
            <w:vAlign w:val="center"/>
          </w:tcPr>
          <w:p w14:paraId="59478F7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5B3E436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vMerge w:val="continue"/>
            <w:tcBorders>
              <w:tl2br w:val="nil"/>
              <w:tr2bl w:val="nil"/>
            </w:tcBorders>
            <w:vAlign w:val="center"/>
          </w:tcPr>
          <w:p w14:paraId="6898153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828" w:type="dxa"/>
            <w:vMerge w:val="continue"/>
            <w:tcBorders>
              <w:tl2br w:val="nil"/>
              <w:tr2bl w:val="nil"/>
            </w:tcBorders>
            <w:vAlign w:val="center"/>
          </w:tcPr>
          <w:p w14:paraId="6AA40354">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027" w:type="dxa"/>
            <w:tcBorders>
              <w:tl2br w:val="nil"/>
              <w:tr2bl w:val="nil"/>
            </w:tcBorders>
            <w:vAlign w:val="center"/>
          </w:tcPr>
          <w:p w14:paraId="3709AF49">
            <w:pPr>
              <w:pStyle w:val="35"/>
              <w:keepNext w:val="0"/>
              <w:keepLines w:val="0"/>
              <w:pageBreakBefore w:val="0"/>
              <w:kinsoku/>
              <w:wordWrap w:val="0"/>
              <w:overflowPunct/>
              <w:topLinePunct/>
              <w:autoSpaceDE/>
              <w:autoSpaceDN/>
              <w:bidi w:val="0"/>
              <w:adjustRightInd w:val="0"/>
              <w:snapToGrid w:val="0"/>
              <w:spacing w:before="69" w:line="210" w:lineRule="auto"/>
              <w:ind w:left="503"/>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8"/>
                <w:highlight w:val="none"/>
              </w:rPr>
              <w:t>1</w:t>
            </w:r>
            <w:r>
              <w:rPr>
                <w:rFonts w:hint="default" w:ascii="Times New Roman" w:hAnsi="Times New Roman" w:cs="Times New Roman"/>
                <w:color w:val="auto"/>
                <w:spacing w:val="-8"/>
                <w:highlight w:val="none"/>
              </w:rPr>
              <w:t>小时平均</w:t>
            </w:r>
          </w:p>
        </w:tc>
        <w:tc>
          <w:tcPr>
            <w:tcW w:w="1138" w:type="dxa"/>
            <w:tcBorders>
              <w:tl2br w:val="nil"/>
              <w:tr2bl w:val="nil"/>
            </w:tcBorders>
            <w:vAlign w:val="center"/>
          </w:tcPr>
          <w:p w14:paraId="41910A5B">
            <w:pPr>
              <w:keepNext w:val="0"/>
              <w:keepLines w:val="0"/>
              <w:pageBreakBefore w:val="0"/>
              <w:kinsoku/>
              <w:wordWrap w:val="0"/>
              <w:overflowPunct/>
              <w:topLinePunct/>
              <w:autoSpaceDE/>
              <w:autoSpaceDN/>
              <w:bidi w:val="0"/>
              <w:adjustRightInd w:val="0"/>
              <w:snapToGrid w:val="0"/>
              <w:spacing w:before="101" w:line="205" w:lineRule="auto"/>
              <w:ind w:left="413"/>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200</w:t>
            </w:r>
          </w:p>
        </w:tc>
        <w:tc>
          <w:tcPr>
            <w:tcW w:w="855" w:type="dxa"/>
            <w:vMerge w:val="continue"/>
            <w:tcBorders>
              <w:tl2br w:val="nil"/>
              <w:tr2bl w:val="nil"/>
            </w:tcBorders>
            <w:vAlign w:val="center"/>
          </w:tcPr>
          <w:p w14:paraId="0607B2F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261" w:type="dxa"/>
            <w:vMerge w:val="continue"/>
            <w:tcBorders>
              <w:tl2br w:val="nil"/>
              <w:tr2bl w:val="nil"/>
            </w:tcBorders>
            <w:vAlign w:val="center"/>
          </w:tcPr>
          <w:p w14:paraId="5F0F8F0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0AA94DD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tcBorders>
              <w:tl2br w:val="nil"/>
              <w:tr2bl w:val="nil"/>
            </w:tcBorders>
            <w:vAlign w:val="center"/>
          </w:tcPr>
          <w:p w14:paraId="7C97A602">
            <w:pPr>
              <w:keepNext w:val="0"/>
              <w:keepLines w:val="0"/>
              <w:pageBreakBefore w:val="0"/>
              <w:kinsoku/>
              <w:wordWrap w:val="0"/>
              <w:overflowPunct/>
              <w:topLinePunct/>
              <w:autoSpaceDE/>
              <w:autoSpaceDN/>
              <w:bidi w:val="0"/>
              <w:adjustRightInd w:val="0"/>
              <w:snapToGrid w:val="0"/>
              <w:spacing w:before="100" w:line="204" w:lineRule="auto"/>
              <w:ind w:left="24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7</w:t>
            </w:r>
          </w:p>
        </w:tc>
        <w:tc>
          <w:tcPr>
            <w:tcW w:w="1828" w:type="dxa"/>
            <w:tcBorders>
              <w:tl2br w:val="nil"/>
              <w:tr2bl w:val="nil"/>
            </w:tcBorders>
            <w:vAlign w:val="center"/>
          </w:tcPr>
          <w:p w14:paraId="067267C1">
            <w:pPr>
              <w:keepNext w:val="0"/>
              <w:keepLines w:val="0"/>
              <w:pageBreakBefore w:val="0"/>
              <w:kinsoku/>
              <w:wordWrap w:val="0"/>
              <w:overflowPunct/>
              <w:topLinePunct/>
              <w:autoSpaceDE/>
              <w:autoSpaceDN/>
              <w:bidi w:val="0"/>
              <w:adjustRightInd w:val="0"/>
              <w:snapToGrid w:val="0"/>
              <w:spacing w:before="107" w:line="195"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NH</w:t>
            </w:r>
            <w:r>
              <w:rPr>
                <w:rFonts w:hint="default" w:ascii="Times New Roman" w:hAnsi="Times New Roman" w:eastAsia="Times New Roman" w:cs="Times New Roman"/>
                <w:color w:val="auto"/>
                <w:spacing w:val="9"/>
                <w:position w:val="-2"/>
                <w:sz w:val="13"/>
                <w:szCs w:val="13"/>
                <w:highlight w:val="none"/>
              </w:rPr>
              <w:t>3</w:t>
            </w:r>
          </w:p>
        </w:tc>
        <w:tc>
          <w:tcPr>
            <w:tcW w:w="2027" w:type="dxa"/>
            <w:tcBorders>
              <w:tl2br w:val="nil"/>
              <w:tr2bl w:val="nil"/>
            </w:tcBorders>
            <w:vAlign w:val="center"/>
          </w:tcPr>
          <w:p w14:paraId="0450F94A">
            <w:pPr>
              <w:pStyle w:val="35"/>
              <w:keepNext w:val="0"/>
              <w:keepLines w:val="0"/>
              <w:pageBreakBefore w:val="0"/>
              <w:kinsoku/>
              <w:wordWrap w:val="0"/>
              <w:overflowPunct/>
              <w:topLinePunct/>
              <w:autoSpaceDE/>
              <w:autoSpaceDN/>
              <w:bidi w:val="0"/>
              <w:adjustRightInd w:val="0"/>
              <w:snapToGrid w:val="0"/>
              <w:spacing w:before="68" w:line="209" w:lineRule="auto"/>
              <w:ind w:left="503"/>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8"/>
                <w:highlight w:val="none"/>
              </w:rPr>
              <w:t>1</w:t>
            </w:r>
            <w:r>
              <w:rPr>
                <w:rFonts w:hint="default" w:ascii="Times New Roman" w:hAnsi="Times New Roman" w:cs="Times New Roman"/>
                <w:color w:val="auto"/>
                <w:spacing w:val="-8"/>
                <w:highlight w:val="none"/>
              </w:rPr>
              <w:t>小时平均</w:t>
            </w:r>
          </w:p>
        </w:tc>
        <w:tc>
          <w:tcPr>
            <w:tcW w:w="1138" w:type="dxa"/>
            <w:tcBorders>
              <w:tl2br w:val="nil"/>
              <w:tr2bl w:val="nil"/>
            </w:tcBorders>
            <w:vAlign w:val="center"/>
          </w:tcPr>
          <w:p w14:paraId="5AB0F300">
            <w:pPr>
              <w:keepNext w:val="0"/>
              <w:keepLines w:val="0"/>
              <w:pageBreakBefore w:val="0"/>
              <w:kinsoku/>
              <w:wordWrap w:val="0"/>
              <w:overflowPunct/>
              <w:topLinePunct/>
              <w:autoSpaceDE/>
              <w:autoSpaceDN/>
              <w:bidi w:val="0"/>
              <w:adjustRightInd w:val="0"/>
              <w:snapToGrid w:val="0"/>
              <w:spacing w:before="100" w:line="204" w:lineRule="auto"/>
              <w:ind w:left="44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0.2</w:t>
            </w:r>
          </w:p>
        </w:tc>
        <w:tc>
          <w:tcPr>
            <w:tcW w:w="855" w:type="dxa"/>
            <w:tcBorders>
              <w:tl2br w:val="nil"/>
              <w:tr2bl w:val="nil"/>
            </w:tcBorders>
            <w:vAlign w:val="center"/>
          </w:tcPr>
          <w:p w14:paraId="6E49B0BC">
            <w:pPr>
              <w:keepNext w:val="0"/>
              <w:keepLines w:val="0"/>
              <w:pageBreakBefore w:val="0"/>
              <w:kinsoku/>
              <w:wordWrap w:val="0"/>
              <w:overflowPunct/>
              <w:topLinePunct/>
              <w:autoSpaceDE/>
              <w:autoSpaceDN/>
              <w:bidi w:val="0"/>
              <w:adjustRightInd w:val="0"/>
              <w:snapToGrid w:val="0"/>
              <w:spacing w:before="50" w:line="226" w:lineRule="auto"/>
              <w:ind w:left="145"/>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mg/m</w:t>
            </w:r>
            <w:r>
              <w:rPr>
                <w:rFonts w:hint="default" w:ascii="Times New Roman" w:hAnsi="Times New Roman" w:eastAsia="Times New Roman" w:cs="Times New Roman"/>
                <w:color w:val="auto"/>
                <w:position w:val="9"/>
                <w:sz w:val="13"/>
                <w:szCs w:val="13"/>
                <w:highlight w:val="none"/>
              </w:rPr>
              <w:t>3</w:t>
            </w:r>
          </w:p>
        </w:tc>
        <w:tc>
          <w:tcPr>
            <w:tcW w:w="2261" w:type="dxa"/>
            <w:vMerge w:val="restart"/>
            <w:tcBorders>
              <w:tl2br w:val="nil"/>
              <w:tr2bl w:val="nil"/>
            </w:tcBorders>
            <w:vAlign w:val="center"/>
          </w:tcPr>
          <w:p w14:paraId="5916DBE1">
            <w:pPr>
              <w:pStyle w:val="35"/>
              <w:keepNext w:val="0"/>
              <w:keepLines w:val="0"/>
              <w:pageBreakBefore w:val="0"/>
              <w:kinsoku/>
              <w:wordWrap w:val="0"/>
              <w:overflowPunct/>
              <w:topLinePunct/>
              <w:autoSpaceDE/>
              <w:autoSpaceDN/>
              <w:bidi w:val="0"/>
              <w:adjustRightInd w:val="0"/>
              <w:snapToGrid w:val="0"/>
              <w:spacing w:before="68" w:line="219"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《环境影响评价技术导则大气环境》</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HJ2.2-2018</w:t>
            </w:r>
            <w:r>
              <w:rPr>
                <w:rFonts w:hint="default" w:ascii="Times New Roman" w:hAnsi="Times New Roman" w:cs="Times New Roman"/>
                <w:color w:val="auto"/>
                <w:spacing w:val="-1"/>
                <w:highlight w:val="none"/>
              </w:rPr>
              <w:t>）附录</w:t>
            </w:r>
            <w:r>
              <w:rPr>
                <w:rFonts w:hint="default" w:ascii="Times New Roman" w:hAnsi="Times New Roman" w:eastAsia="Times New Roman" w:cs="Times New Roman"/>
                <w:color w:val="auto"/>
                <w:spacing w:val="-1"/>
                <w:highlight w:val="none"/>
              </w:rPr>
              <w:t>D</w:t>
            </w:r>
            <w:r>
              <w:rPr>
                <w:rFonts w:hint="default" w:ascii="Times New Roman" w:hAnsi="Times New Roman" w:cs="Times New Roman"/>
                <w:color w:val="auto"/>
                <w:spacing w:val="-5"/>
                <w:highlight w:val="none"/>
              </w:rPr>
              <w:t>中的浓度限值</w:t>
            </w:r>
          </w:p>
        </w:tc>
      </w:tr>
      <w:tr w14:paraId="6A532A3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tcBorders>
              <w:tl2br w:val="nil"/>
              <w:tr2bl w:val="nil"/>
            </w:tcBorders>
            <w:vAlign w:val="center"/>
          </w:tcPr>
          <w:p w14:paraId="0E9F701E">
            <w:pPr>
              <w:keepNext w:val="0"/>
              <w:keepLines w:val="0"/>
              <w:pageBreakBefore w:val="0"/>
              <w:kinsoku/>
              <w:wordWrap w:val="0"/>
              <w:overflowPunct/>
              <w:topLinePunct/>
              <w:autoSpaceDE/>
              <w:autoSpaceDN/>
              <w:bidi w:val="0"/>
              <w:adjustRightInd w:val="0"/>
              <w:snapToGrid w:val="0"/>
              <w:spacing w:before="61" w:line="234" w:lineRule="auto"/>
              <w:ind w:left="25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8</w:t>
            </w:r>
          </w:p>
        </w:tc>
        <w:tc>
          <w:tcPr>
            <w:tcW w:w="1828" w:type="dxa"/>
            <w:tcBorders>
              <w:tl2br w:val="nil"/>
              <w:tr2bl w:val="nil"/>
            </w:tcBorders>
            <w:vAlign w:val="center"/>
          </w:tcPr>
          <w:p w14:paraId="6D00C0B6">
            <w:pPr>
              <w:keepNext w:val="0"/>
              <w:keepLines w:val="0"/>
              <w:pageBreakBefore w:val="0"/>
              <w:kinsoku/>
              <w:wordWrap w:val="0"/>
              <w:overflowPunct/>
              <w:topLinePunct/>
              <w:autoSpaceDE/>
              <w:autoSpaceDN/>
              <w:bidi w:val="0"/>
              <w:adjustRightInd w:val="0"/>
              <w:snapToGrid w:val="0"/>
              <w:spacing w:before="61" w:line="228"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H</w:t>
            </w:r>
            <w:r>
              <w:rPr>
                <w:rFonts w:hint="default" w:ascii="Times New Roman" w:hAnsi="Times New Roman" w:eastAsia="Times New Roman" w:cs="Times New Roman"/>
                <w:color w:val="auto"/>
                <w:spacing w:val="1"/>
                <w:position w:val="-2"/>
                <w:sz w:val="13"/>
                <w:szCs w:val="13"/>
                <w:highlight w:val="none"/>
              </w:rPr>
              <w:t>2</w:t>
            </w:r>
            <w:r>
              <w:rPr>
                <w:rFonts w:hint="default" w:ascii="Times New Roman" w:hAnsi="Times New Roman" w:eastAsia="Times New Roman" w:cs="Times New Roman"/>
                <w:color w:val="auto"/>
                <w:spacing w:val="1"/>
                <w:sz w:val="21"/>
                <w:szCs w:val="21"/>
                <w:highlight w:val="none"/>
              </w:rPr>
              <w:t>S</w:t>
            </w:r>
          </w:p>
        </w:tc>
        <w:tc>
          <w:tcPr>
            <w:tcW w:w="2027" w:type="dxa"/>
            <w:tcBorders>
              <w:tl2br w:val="nil"/>
              <w:tr2bl w:val="nil"/>
            </w:tcBorders>
            <w:vAlign w:val="center"/>
          </w:tcPr>
          <w:p w14:paraId="3ACCF257">
            <w:pPr>
              <w:pStyle w:val="35"/>
              <w:keepNext w:val="0"/>
              <w:keepLines w:val="0"/>
              <w:pageBreakBefore w:val="0"/>
              <w:kinsoku/>
              <w:wordWrap w:val="0"/>
              <w:overflowPunct/>
              <w:topLinePunct/>
              <w:autoSpaceDE/>
              <w:autoSpaceDN/>
              <w:bidi w:val="0"/>
              <w:adjustRightInd w:val="0"/>
              <w:snapToGrid w:val="0"/>
              <w:spacing w:before="68" w:line="235" w:lineRule="auto"/>
              <w:ind w:left="503"/>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8"/>
                <w:highlight w:val="none"/>
              </w:rPr>
              <w:t>1</w:t>
            </w:r>
            <w:r>
              <w:rPr>
                <w:rFonts w:hint="default" w:ascii="Times New Roman" w:hAnsi="Times New Roman" w:cs="Times New Roman"/>
                <w:color w:val="auto"/>
                <w:spacing w:val="-8"/>
                <w:highlight w:val="none"/>
              </w:rPr>
              <w:t>小时平均</w:t>
            </w:r>
          </w:p>
        </w:tc>
        <w:tc>
          <w:tcPr>
            <w:tcW w:w="1138" w:type="dxa"/>
            <w:tcBorders>
              <w:tl2br w:val="nil"/>
              <w:tr2bl w:val="nil"/>
            </w:tcBorders>
            <w:vAlign w:val="center"/>
          </w:tcPr>
          <w:p w14:paraId="6B44546A">
            <w:pPr>
              <w:keepNext w:val="0"/>
              <w:keepLines w:val="0"/>
              <w:pageBreakBefore w:val="0"/>
              <w:kinsoku/>
              <w:wordWrap w:val="0"/>
              <w:overflowPunct/>
              <w:topLinePunct/>
              <w:autoSpaceDE/>
              <w:autoSpaceDN/>
              <w:bidi w:val="0"/>
              <w:adjustRightInd w:val="0"/>
              <w:snapToGrid w:val="0"/>
              <w:spacing w:before="60" w:line="233" w:lineRule="auto"/>
              <w:ind w:left="38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0.01</w:t>
            </w:r>
          </w:p>
        </w:tc>
        <w:tc>
          <w:tcPr>
            <w:tcW w:w="855" w:type="dxa"/>
            <w:tcBorders>
              <w:tl2br w:val="nil"/>
              <w:tr2bl w:val="nil"/>
            </w:tcBorders>
            <w:vAlign w:val="center"/>
          </w:tcPr>
          <w:p w14:paraId="3C8CEAB5">
            <w:pPr>
              <w:keepNext w:val="0"/>
              <w:keepLines w:val="0"/>
              <w:pageBreakBefore w:val="0"/>
              <w:kinsoku/>
              <w:wordWrap w:val="0"/>
              <w:overflowPunct/>
              <w:topLinePunct/>
              <w:autoSpaceDE/>
              <w:autoSpaceDN/>
              <w:bidi w:val="0"/>
              <w:adjustRightInd w:val="0"/>
              <w:snapToGrid w:val="0"/>
              <w:spacing w:before="60" w:line="226" w:lineRule="auto"/>
              <w:ind w:left="145"/>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mg/m</w:t>
            </w:r>
            <w:r>
              <w:rPr>
                <w:rFonts w:hint="default" w:ascii="Times New Roman" w:hAnsi="Times New Roman" w:eastAsia="Times New Roman" w:cs="Times New Roman"/>
                <w:color w:val="auto"/>
                <w:position w:val="9"/>
                <w:sz w:val="13"/>
                <w:szCs w:val="13"/>
                <w:highlight w:val="none"/>
              </w:rPr>
              <w:t>3</w:t>
            </w:r>
          </w:p>
        </w:tc>
        <w:tc>
          <w:tcPr>
            <w:tcW w:w="2261" w:type="dxa"/>
            <w:vMerge w:val="continue"/>
            <w:tcBorders>
              <w:tl2br w:val="nil"/>
              <w:tr2bl w:val="nil"/>
            </w:tcBorders>
            <w:vAlign w:val="center"/>
          </w:tcPr>
          <w:p w14:paraId="68BE5E36">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00461CF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tcBorders>
              <w:tl2br w:val="nil"/>
              <w:tr2bl w:val="nil"/>
            </w:tcBorders>
            <w:vAlign w:val="center"/>
          </w:tcPr>
          <w:p w14:paraId="0465CBDD">
            <w:pPr>
              <w:keepNext w:val="0"/>
              <w:keepLines w:val="0"/>
              <w:pageBreakBefore w:val="0"/>
              <w:kinsoku/>
              <w:wordWrap w:val="0"/>
              <w:overflowPunct/>
              <w:topLinePunct/>
              <w:autoSpaceDE/>
              <w:autoSpaceDN/>
              <w:bidi w:val="0"/>
              <w:adjustRightInd w:val="0"/>
              <w:snapToGrid w:val="0"/>
              <w:spacing w:before="60" w:line="233" w:lineRule="auto"/>
              <w:ind w:left="248"/>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9</w:t>
            </w:r>
          </w:p>
        </w:tc>
        <w:tc>
          <w:tcPr>
            <w:tcW w:w="1828" w:type="dxa"/>
            <w:tcBorders>
              <w:tl2br w:val="nil"/>
              <w:tr2bl w:val="nil"/>
            </w:tcBorders>
            <w:vAlign w:val="center"/>
          </w:tcPr>
          <w:p w14:paraId="6408DB18">
            <w:pPr>
              <w:pStyle w:val="35"/>
              <w:keepNext w:val="0"/>
              <w:keepLines w:val="0"/>
              <w:pageBreakBefore w:val="0"/>
              <w:kinsoku/>
              <w:wordWrap w:val="0"/>
              <w:overflowPunct/>
              <w:topLinePunct/>
              <w:autoSpaceDE/>
              <w:autoSpaceDN/>
              <w:bidi w:val="0"/>
              <w:adjustRightInd w:val="0"/>
              <w:snapToGrid w:val="0"/>
              <w:spacing w:before="68"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臭气浓度</w:t>
            </w:r>
          </w:p>
        </w:tc>
        <w:tc>
          <w:tcPr>
            <w:tcW w:w="2027" w:type="dxa"/>
            <w:tcBorders>
              <w:tl2br w:val="nil"/>
              <w:tr2bl w:val="nil"/>
            </w:tcBorders>
            <w:vAlign w:val="center"/>
          </w:tcPr>
          <w:p w14:paraId="4AAF0004">
            <w:pPr>
              <w:pStyle w:val="35"/>
              <w:keepNext w:val="0"/>
              <w:keepLines w:val="0"/>
              <w:pageBreakBefore w:val="0"/>
              <w:kinsoku/>
              <w:wordWrap w:val="0"/>
              <w:overflowPunct/>
              <w:topLinePunct/>
              <w:autoSpaceDE/>
              <w:autoSpaceDN/>
              <w:bidi w:val="0"/>
              <w:adjustRightInd w:val="0"/>
              <w:snapToGrid w:val="0"/>
              <w:spacing w:before="68" w:line="237" w:lineRule="auto"/>
              <w:ind w:left="700"/>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7"/>
                <w:highlight w:val="none"/>
              </w:rPr>
              <w:t>8</w:t>
            </w:r>
            <w:r>
              <w:rPr>
                <w:rFonts w:hint="default" w:ascii="Times New Roman" w:hAnsi="Times New Roman" w:cs="Times New Roman"/>
                <w:color w:val="auto"/>
                <w:spacing w:val="-7"/>
                <w:highlight w:val="none"/>
              </w:rPr>
              <w:t>小时</w:t>
            </w:r>
          </w:p>
        </w:tc>
        <w:tc>
          <w:tcPr>
            <w:tcW w:w="1138" w:type="dxa"/>
            <w:tcBorders>
              <w:tl2br w:val="nil"/>
              <w:tr2bl w:val="nil"/>
            </w:tcBorders>
            <w:vAlign w:val="center"/>
          </w:tcPr>
          <w:p w14:paraId="33FFDC59">
            <w:pPr>
              <w:keepNext w:val="0"/>
              <w:keepLines w:val="0"/>
              <w:pageBreakBefore w:val="0"/>
              <w:kinsoku/>
              <w:wordWrap w:val="0"/>
              <w:overflowPunct/>
              <w:topLinePunct/>
              <w:autoSpaceDE/>
              <w:autoSpaceDN/>
              <w:bidi w:val="0"/>
              <w:adjustRightInd w:val="0"/>
              <w:snapToGrid w:val="0"/>
              <w:spacing w:before="61" w:line="234" w:lineRule="auto"/>
              <w:ind w:left="46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20</w:t>
            </w:r>
          </w:p>
        </w:tc>
        <w:tc>
          <w:tcPr>
            <w:tcW w:w="855" w:type="dxa"/>
            <w:tcBorders>
              <w:tl2br w:val="nil"/>
              <w:tr2bl w:val="nil"/>
            </w:tcBorders>
            <w:vAlign w:val="center"/>
          </w:tcPr>
          <w:p w14:paraId="01B81238">
            <w:pPr>
              <w:pStyle w:val="35"/>
              <w:keepNext w:val="0"/>
              <w:keepLines w:val="0"/>
              <w:pageBreakBefore w:val="0"/>
              <w:kinsoku/>
              <w:wordWrap w:val="0"/>
              <w:overflowPunct/>
              <w:topLinePunct/>
              <w:autoSpaceDE/>
              <w:autoSpaceDN/>
              <w:bidi w:val="0"/>
              <w:adjustRightInd w:val="0"/>
              <w:snapToGrid w:val="0"/>
              <w:spacing w:before="68" w:line="221" w:lineRule="auto"/>
              <w:ind w:left="11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无量纲</w:t>
            </w:r>
          </w:p>
        </w:tc>
        <w:tc>
          <w:tcPr>
            <w:tcW w:w="2261" w:type="dxa"/>
            <w:tcBorders>
              <w:tl2br w:val="nil"/>
              <w:tr2bl w:val="nil"/>
            </w:tcBorders>
            <w:vAlign w:val="center"/>
          </w:tcPr>
          <w:p w14:paraId="759FFB01">
            <w:pPr>
              <w:pStyle w:val="35"/>
              <w:keepNext w:val="0"/>
              <w:keepLines w:val="0"/>
              <w:pageBreakBefore w:val="0"/>
              <w:kinsoku/>
              <w:wordWrap w:val="0"/>
              <w:overflowPunct/>
              <w:topLinePunct/>
              <w:autoSpaceDE/>
              <w:autoSpaceDN/>
              <w:bidi w:val="0"/>
              <w:adjustRightInd w:val="0"/>
              <w:snapToGrid w:val="0"/>
              <w:spacing w:before="63" w:line="221" w:lineRule="auto"/>
              <w:jc w:val="center"/>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pacing w:val="-2"/>
                <w:highlight w:val="green"/>
                <w:lang w:val="en-US" w:eastAsia="zh-CN"/>
              </w:rPr>
              <w:t>臭气浓度参照执行《恶臭污染物排放标准》(GB14554-93）表 1 中二级新改扩建标准</w:t>
            </w:r>
          </w:p>
        </w:tc>
      </w:tr>
      <w:tr w14:paraId="77FC3FF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98" w:type="dxa"/>
            <w:tcBorders>
              <w:tl2br w:val="nil"/>
              <w:tr2bl w:val="nil"/>
            </w:tcBorders>
            <w:vAlign w:val="center"/>
          </w:tcPr>
          <w:p w14:paraId="06E36DE6">
            <w:pPr>
              <w:keepNext w:val="0"/>
              <w:keepLines w:val="0"/>
              <w:pageBreakBefore w:val="0"/>
              <w:kinsoku/>
              <w:wordWrap w:val="0"/>
              <w:overflowPunct/>
              <w:topLinePunct/>
              <w:autoSpaceDE/>
              <w:autoSpaceDN/>
              <w:bidi w:val="0"/>
              <w:adjustRightInd w:val="0"/>
              <w:snapToGrid w:val="0"/>
              <w:spacing w:before="60" w:line="233" w:lineRule="auto"/>
              <w:ind w:left="248"/>
              <w:textAlignment w:val="baseline"/>
              <w:rPr>
                <w:rFonts w:hint="default" w:ascii="Times New Roman" w:hAnsi="Times New Roman" w:eastAsia="宋体" w:cs="Times New Roman"/>
                <w:color w:val="auto"/>
                <w:sz w:val="21"/>
                <w:szCs w:val="21"/>
                <w:highlight w:val="yellow"/>
                <w:lang w:val="en-US" w:eastAsia="zh-CN"/>
              </w:rPr>
            </w:pPr>
            <w:r>
              <w:rPr>
                <w:rFonts w:hint="eastAsia" w:ascii="Times New Roman" w:hAnsi="Times New Roman" w:eastAsia="宋体" w:cs="Times New Roman"/>
                <w:color w:val="auto"/>
                <w:sz w:val="21"/>
                <w:szCs w:val="21"/>
                <w:highlight w:val="yellow"/>
                <w:lang w:val="en-US" w:eastAsia="zh-CN"/>
              </w:rPr>
              <w:t>10</w:t>
            </w:r>
          </w:p>
        </w:tc>
        <w:tc>
          <w:tcPr>
            <w:tcW w:w="1828" w:type="dxa"/>
            <w:tcBorders>
              <w:tl2br w:val="nil"/>
              <w:tr2bl w:val="nil"/>
            </w:tcBorders>
            <w:vAlign w:val="center"/>
          </w:tcPr>
          <w:p w14:paraId="01B6BA6E">
            <w:pPr>
              <w:pStyle w:val="35"/>
              <w:keepNext w:val="0"/>
              <w:keepLines w:val="0"/>
              <w:pageBreakBefore w:val="0"/>
              <w:kinsoku/>
              <w:wordWrap w:val="0"/>
              <w:overflowPunct/>
              <w:topLinePunct/>
              <w:autoSpaceDE/>
              <w:autoSpaceDN/>
              <w:bidi w:val="0"/>
              <w:adjustRightInd w:val="0"/>
              <w:snapToGrid w:val="0"/>
              <w:spacing w:before="68" w:line="221" w:lineRule="auto"/>
              <w:jc w:val="center"/>
              <w:textAlignment w:val="baseline"/>
              <w:rPr>
                <w:rFonts w:hint="default" w:ascii="Times New Roman" w:hAnsi="Times New Roman" w:eastAsia="宋体" w:cs="Times New Roman"/>
                <w:color w:val="auto"/>
                <w:spacing w:val="-2"/>
                <w:highlight w:val="yellow"/>
                <w:lang w:val="en-US" w:eastAsia="zh-CN"/>
              </w:rPr>
            </w:pPr>
            <w:r>
              <w:rPr>
                <w:rFonts w:hint="eastAsia" w:ascii="Times New Roman" w:hAnsi="Times New Roman" w:cs="Times New Roman"/>
                <w:color w:val="auto"/>
                <w:spacing w:val="-2"/>
                <w:highlight w:val="yellow"/>
                <w:lang w:val="en-US" w:eastAsia="zh-CN"/>
              </w:rPr>
              <w:t>TSP</w:t>
            </w:r>
          </w:p>
        </w:tc>
        <w:tc>
          <w:tcPr>
            <w:tcW w:w="2027" w:type="dxa"/>
            <w:tcBorders>
              <w:tl2br w:val="nil"/>
              <w:tr2bl w:val="nil"/>
            </w:tcBorders>
            <w:vAlign w:val="center"/>
          </w:tcPr>
          <w:p w14:paraId="005CB108">
            <w:pPr>
              <w:pStyle w:val="35"/>
              <w:keepNext w:val="0"/>
              <w:keepLines w:val="0"/>
              <w:pageBreakBefore w:val="0"/>
              <w:kinsoku/>
              <w:wordWrap w:val="0"/>
              <w:overflowPunct/>
              <w:topLinePunct/>
              <w:autoSpaceDE/>
              <w:autoSpaceDN/>
              <w:bidi w:val="0"/>
              <w:adjustRightInd w:val="0"/>
              <w:snapToGrid w:val="0"/>
              <w:spacing w:before="68" w:line="237" w:lineRule="auto"/>
              <w:jc w:val="center"/>
              <w:textAlignment w:val="baseline"/>
              <w:rPr>
                <w:rFonts w:hint="eastAsia" w:ascii="Times New Roman" w:hAnsi="Times New Roman" w:eastAsia="宋体" w:cs="Times New Roman"/>
                <w:color w:val="auto"/>
                <w:spacing w:val="-7"/>
                <w:highlight w:val="yellow"/>
                <w:lang w:val="en-US" w:eastAsia="zh-CN"/>
              </w:rPr>
            </w:pPr>
            <w:r>
              <w:rPr>
                <w:rFonts w:hint="eastAsia" w:ascii="Times New Roman" w:hAnsi="Times New Roman" w:eastAsia="宋体" w:cs="Times New Roman"/>
                <w:color w:val="auto"/>
                <w:spacing w:val="-7"/>
                <w:highlight w:val="yellow"/>
                <w:lang w:val="en-US" w:eastAsia="zh-CN"/>
              </w:rPr>
              <w:t>日均浓度</w:t>
            </w:r>
          </w:p>
        </w:tc>
        <w:tc>
          <w:tcPr>
            <w:tcW w:w="1138" w:type="dxa"/>
            <w:tcBorders>
              <w:tl2br w:val="nil"/>
              <w:tr2bl w:val="nil"/>
            </w:tcBorders>
            <w:vAlign w:val="center"/>
          </w:tcPr>
          <w:p w14:paraId="7EDDF022">
            <w:pPr>
              <w:keepNext w:val="0"/>
              <w:keepLines w:val="0"/>
              <w:pageBreakBefore w:val="0"/>
              <w:kinsoku/>
              <w:wordWrap w:val="0"/>
              <w:overflowPunct/>
              <w:topLinePunct/>
              <w:autoSpaceDE/>
              <w:autoSpaceDN/>
              <w:bidi w:val="0"/>
              <w:adjustRightInd w:val="0"/>
              <w:snapToGrid w:val="0"/>
              <w:spacing w:before="61" w:line="234" w:lineRule="auto"/>
              <w:ind w:left="465"/>
              <w:textAlignment w:val="baseline"/>
              <w:rPr>
                <w:rFonts w:hint="default" w:ascii="Times New Roman" w:hAnsi="Times New Roman" w:eastAsia="宋体" w:cs="Times New Roman"/>
                <w:color w:val="auto"/>
                <w:spacing w:val="-1"/>
                <w:sz w:val="21"/>
                <w:szCs w:val="21"/>
                <w:highlight w:val="yellow"/>
                <w:lang w:val="en-US" w:eastAsia="zh-CN"/>
              </w:rPr>
            </w:pPr>
            <w:r>
              <w:rPr>
                <w:rFonts w:hint="eastAsia" w:ascii="Times New Roman" w:hAnsi="Times New Roman" w:eastAsia="宋体" w:cs="Times New Roman"/>
                <w:color w:val="auto"/>
                <w:spacing w:val="-1"/>
                <w:sz w:val="21"/>
                <w:szCs w:val="21"/>
                <w:highlight w:val="yellow"/>
                <w:lang w:val="en-US" w:eastAsia="zh-CN"/>
              </w:rPr>
              <w:t>300</w:t>
            </w:r>
          </w:p>
        </w:tc>
        <w:tc>
          <w:tcPr>
            <w:tcW w:w="855" w:type="dxa"/>
            <w:tcBorders>
              <w:tl2br w:val="nil"/>
              <w:tr2bl w:val="nil"/>
            </w:tcBorders>
            <w:vAlign w:val="center"/>
          </w:tcPr>
          <w:p w14:paraId="50D4381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pacing w:val="-2"/>
                <w:highlight w:val="yellow"/>
              </w:rPr>
            </w:pPr>
            <w:r>
              <w:rPr>
                <w:rFonts w:hint="default" w:ascii="Times New Roman" w:hAnsi="Times New Roman" w:eastAsia="Times New Roman" w:cs="Times New Roman"/>
                <w:color w:val="auto"/>
                <w:spacing w:val="-2"/>
                <w:sz w:val="21"/>
                <w:szCs w:val="21"/>
                <w:highlight w:val="yellow"/>
              </w:rPr>
              <w:t>μg/m</w:t>
            </w:r>
            <w:r>
              <w:rPr>
                <w:rFonts w:hint="default" w:ascii="Times New Roman" w:hAnsi="Times New Roman" w:eastAsia="Times New Roman" w:cs="Times New Roman"/>
                <w:color w:val="auto"/>
                <w:spacing w:val="-2"/>
                <w:position w:val="9"/>
                <w:sz w:val="13"/>
                <w:szCs w:val="13"/>
                <w:highlight w:val="yellow"/>
              </w:rPr>
              <w:t>3</w:t>
            </w:r>
          </w:p>
        </w:tc>
        <w:tc>
          <w:tcPr>
            <w:tcW w:w="2261" w:type="dxa"/>
            <w:tcBorders>
              <w:tl2br w:val="nil"/>
              <w:tr2bl w:val="nil"/>
            </w:tcBorders>
            <w:vAlign w:val="center"/>
          </w:tcPr>
          <w:p w14:paraId="394FE18A">
            <w:pPr>
              <w:keepNext w:val="0"/>
              <w:keepLines w:val="0"/>
              <w:widowControl/>
              <w:suppressLineNumbers w:val="0"/>
              <w:jc w:val="left"/>
              <w:rPr>
                <w:rFonts w:hint="default" w:ascii="Times New Roman" w:hAnsi="Times New Roman" w:cs="Times New Roman"/>
                <w:color w:val="auto"/>
                <w:spacing w:val="-2"/>
                <w:highlight w:val="yellow"/>
              </w:rPr>
            </w:pPr>
            <w:r>
              <w:rPr>
                <w:rFonts w:hint="eastAsia" w:ascii="宋体" w:hAnsi="宋体" w:eastAsia="宋体" w:cs="宋体"/>
                <w:snapToGrid w:val="0"/>
                <w:color w:val="000000"/>
                <w:kern w:val="0"/>
                <w:sz w:val="20"/>
                <w:szCs w:val="20"/>
                <w:highlight w:val="yellow"/>
                <w:lang w:val="en-US" w:eastAsia="zh-CN" w:bidi="ar"/>
              </w:rPr>
              <w:t>《环境空气质量标准》（</w:t>
            </w:r>
            <w:r>
              <w:rPr>
                <w:rFonts w:hint="default" w:ascii="Times New Roman" w:hAnsi="Times New Roman" w:eastAsia="宋体" w:cs="Times New Roman"/>
                <w:snapToGrid w:val="0"/>
                <w:color w:val="000000"/>
                <w:kern w:val="0"/>
                <w:sz w:val="20"/>
                <w:szCs w:val="20"/>
                <w:highlight w:val="yellow"/>
                <w:lang w:val="en-US" w:eastAsia="zh-CN" w:bidi="ar"/>
              </w:rPr>
              <w:t>GB3095-2012</w:t>
            </w:r>
            <w:r>
              <w:rPr>
                <w:rFonts w:hint="eastAsia" w:ascii="宋体" w:hAnsi="宋体" w:eastAsia="宋体" w:cs="宋体"/>
                <w:snapToGrid w:val="0"/>
                <w:color w:val="000000"/>
                <w:kern w:val="0"/>
                <w:sz w:val="20"/>
                <w:szCs w:val="20"/>
                <w:highlight w:val="yellow"/>
                <w:lang w:val="en-US" w:eastAsia="zh-CN" w:bidi="ar"/>
              </w:rPr>
              <w:t>）（修改单）二级标准</w:t>
            </w:r>
          </w:p>
        </w:tc>
      </w:tr>
    </w:tbl>
    <w:p w14:paraId="5823DAA1">
      <w:pPr>
        <w:keepNext w:val="0"/>
        <w:keepLines w:val="0"/>
        <w:pageBreakBefore w:val="0"/>
        <w:kinsoku/>
        <w:wordWrap w:val="0"/>
        <w:overflowPunct/>
        <w:topLinePunct/>
        <w:autoSpaceDE/>
        <w:autoSpaceDN/>
        <w:bidi w:val="0"/>
        <w:adjustRightInd w:val="0"/>
        <w:snapToGrid w:val="0"/>
        <w:spacing w:before="113" w:line="233" w:lineRule="auto"/>
        <w:ind w:left="603"/>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2</w:t>
      </w:r>
      <w:r>
        <w:rPr>
          <w:rFonts w:hint="default" w:ascii="Times New Roman" w:hAnsi="Times New Roman" w:eastAsia="宋体" w:cs="Times New Roman"/>
          <w:color w:val="auto"/>
          <w:spacing w:val="-5"/>
          <w:sz w:val="24"/>
          <w:szCs w:val="24"/>
          <w:highlight w:val="none"/>
        </w:rPr>
        <w:t>）地表水</w:t>
      </w:r>
    </w:p>
    <w:p w14:paraId="5597A1BE">
      <w:pPr>
        <w:keepNext w:val="0"/>
        <w:keepLines w:val="0"/>
        <w:pageBreakBefore w:val="0"/>
        <w:kinsoku/>
        <w:wordWrap w:val="0"/>
        <w:overflowPunct/>
        <w:topLinePunct/>
        <w:autoSpaceDE/>
        <w:autoSpaceDN/>
        <w:bidi w:val="0"/>
        <w:adjustRightInd w:val="0"/>
        <w:snapToGrid w:val="0"/>
        <w:spacing w:before="164" w:line="345" w:lineRule="auto"/>
        <w:ind w:left="119" w:firstLine="47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本项目所在区域地表水体主要为安邦河，安邦河属双鸭山市和集贤县的生活污水</w:t>
      </w:r>
      <w:r>
        <w:rPr>
          <w:rFonts w:hint="default" w:ascii="Times New Roman" w:hAnsi="Times New Roman" w:eastAsia="宋体" w:cs="Times New Roman"/>
          <w:color w:val="auto"/>
          <w:spacing w:val="-12"/>
          <w:sz w:val="24"/>
          <w:szCs w:val="24"/>
          <w:highlight w:val="none"/>
        </w:rPr>
        <w:t>纳污水体，属松花江右岸一级支流，根据《全国</w:t>
      </w:r>
      <w:r>
        <w:rPr>
          <w:rFonts w:hint="default" w:ascii="Times New Roman" w:hAnsi="Times New Roman" w:eastAsia="宋体" w:cs="Times New Roman"/>
          <w:color w:val="auto"/>
          <w:spacing w:val="-13"/>
          <w:sz w:val="24"/>
          <w:szCs w:val="24"/>
          <w:highlight w:val="none"/>
        </w:rPr>
        <w:t>重要江河湖泊水功能区划（</w:t>
      </w:r>
      <w:r>
        <w:rPr>
          <w:rFonts w:hint="default" w:ascii="Times New Roman" w:hAnsi="Times New Roman" w:eastAsia="Times New Roman" w:cs="Times New Roman"/>
          <w:color w:val="auto"/>
          <w:spacing w:val="-13"/>
          <w:sz w:val="24"/>
          <w:szCs w:val="24"/>
          <w:highlight w:val="none"/>
        </w:rPr>
        <w:t>2011-2030</w:t>
      </w:r>
      <w:r>
        <w:rPr>
          <w:rFonts w:hint="default" w:ascii="Times New Roman" w:hAnsi="Times New Roman" w:eastAsia="宋体" w:cs="Times New Roman"/>
          <w:color w:val="auto"/>
          <w:spacing w:val="-13"/>
          <w:sz w:val="24"/>
          <w:szCs w:val="24"/>
          <w:highlight w:val="none"/>
        </w:rPr>
        <w:t>）》</w:t>
      </w:r>
      <w:r>
        <w:rPr>
          <w:rFonts w:hint="default" w:ascii="Times New Roman" w:hAnsi="Times New Roman" w:eastAsia="宋体" w:cs="Times New Roman"/>
          <w:color w:val="auto"/>
          <w:spacing w:val="21"/>
          <w:sz w:val="24"/>
          <w:szCs w:val="24"/>
          <w:highlight w:val="none"/>
        </w:rPr>
        <w:t>（黑龙江省）可知，长富村至入松花江河口段执行《地表水环境质量标准》</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GB3838-2002</w:t>
      </w:r>
      <w:r>
        <w:rPr>
          <w:rFonts w:hint="default" w:ascii="Times New Roman" w:hAnsi="Times New Roman" w:eastAsia="宋体" w:cs="Times New Roman"/>
          <w:color w:val="auto"/>
          <w:spacing w:val="-2"/>
          <w:sz w:val="24"/>
          <w:szCs w:val="24"/>
          <w:highlight w:val="none"/>
        </w:rPr>
        <w:t>）中的Ⅳ类水体标准。</w:t>
      </w:r>
    </w:p>
    <w:p w14:paraId="0E877105">
      <w:pPr>
        <w:keepNext w:val="0"/>
        <w:keepLines w:val="0"/>
        <w:pageBreakBefore w:val="0"/>
        <w:kinsoku/>
        <w:wordWrap w:val="0"/>
        <w:overflowPunct/>
        <w:topLinePunct/>
        <w:autoSpaceDE/>
        <w:autoSpaceDN/>
        <w:bidi w:val="0"/>
        <w:adjustRightInd w:val="0"/>
        <w:snapToGrid w:val="0"/>
        <w:spacing w:line="212" w:lineRule="auto"/>
        <w:ind w:left="1601"/>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2.4-6</w:t>
      </w:r>
      <w:r>
        <w:rPr>
          <w:rFonts w:hint="default" w:ascii="Times New Roman" w:hAnsi="Times New Roman" w:eastAsia="宋体" w:cs="Times New Roman"/>
          <w:b/>
          <w:bCs/>
          <w:color w:val="auto"/>
          <w:spacing w:val="-1"/>
          <w:sz w:val="24"/>
          <w:szCs w:val="24"/>
          <w:highlight w:val="none"/>
        </w:rPr>
        <w:t>地表水环境质量标准（单位：</w:t>
      </w:r>
      <w:r>
        <w:rPr>
          <w:rFonts w:hint="default" w:ascii="Times New Roman" w:hAnsi="Times New Roman" w:eastAsia="Times New Roman" w:cs="Times New Roman"/>
          <w:b/>
          <w:bCs/>
          <w:color w:val="auto"/>
          <w:spacing w:val="-1"/>
          <w:sz w:val="24"/>
          <w:szCs w:val="24"/>
          <w:highlight w:val="none"/>
        </w:rPr>
        <w:t>mg/L</w:t>
      </w:r>
      <w:r>
        <w:rPr>
          <w:rFonts w:hint="default" w:ascii="Times New Roman" w:hAnsi="Times New Roman" w:eastAsia="Times New Roman" w:cs="Times New Roman"/>
          <w:b/>
          <w:bCs/>
          <w:color w:val="auto"/>
          <w:spacing w:val="-2"/>
          <w:sz w:val="24"/>
          <w:szCs w:val="24"/>
          <w:highlight w:val="none"/>
        </w:rPr>
        <w:t>pH</w:t>
      </w:r>
      <w:r>
        <w:rPr>
          <w:rFonts w:hint="default" w:ascii="Times New Roman" w:hAnsi="Times New Roman" w:eastAsia="宋体" w:cs="Times New Roman"/>
          <w:b/>
          <w:bCs/>
          <w:color w:val="auto"/>
          <w:spacing w:val="-2"/>
          <w:sz w:val="24"/>
          <w:szCs w:val="24"/>
          <w:highlight w:val="none"/>
        </w:rPr>
        <w:t>除外）</w:t>
      </w:r>
    </w:p>
    <w:p w14:paraId="0A1E0604">
      <w:pPr>
        <w:keepNext w:val="0"/>
        <w:keepLines w:val="0"/>
        <w:pageBreakBefore w:val="0"/>
        <w:kinsoku/>
        <w:wordWrap w:val="0"/>
        <w:overflowPunct/>
        <w:topLinePunct/>
        <w:autoSpaceDE/>
        <w:autoSpaceDN/>
        <w:bidi w:val="0"/>
        <w:adjustRightInd w:val="0"/>
        <w:snapToGrid w:val="0"/>
        <w:spacing w:line="23" w:lineRule="auto"/>
        <w:textAlignment w:val="baseline"/>
        <w:rPr>
          <w:rFonts w:hint="default" w:ascii="Times New Roman" w:hAnsi="Times New Roman" w:cs="Times New Roman"/>
          <w:color w:val="auto"/>
          <w:sz w:val="2"/>
          <w:highlight w:val="none"/>
        </w:rPr>
      </w:pPr>
    </w:p>
    <w:tbl>
      <w:tblPr>
        <w:tblStyle w:val="34"/>
        <w:tblW w:w="836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
        <w:gridCol w:w="1506"/>
        <w:gridCol w:w="3543"/>
        <w:gridCol w:w="1495"/>
        <w:gridCol w:w="1803"/>
      </w:tblGrid>
      <w:tr w14:paraId="482AED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520" w:type="dxa"/>
            <w:gridSpan w:val="2"/>
            <w:tcBorders>
              <w:top w:val="single" w:color="000000" w:sz="10" w:space="0"/>
              <w:left w:val="nil"/>
            </w:tcBorders>
            <w:vAlign w:val="top"/>
          </w:tcPr>
          <w:p w14:paraId="4FF52DC5">
            <w:pPr>
              <w:pStyle w:val="35"/>
              <w:keepNext w:val="0"/>
              <w:keepLines w:val="0"/>
              <w:pageBreakBefore w:val="0"/>
              <w:kinsoku/>
              <w:wordWrap w:val="0"/>
              <w:overflowPunct/>
              <w:topLinePunct/>
              <w:autoSpaceDE/>
              <w:autoSpaceDN/>
              <w:bidi w:val="0"/>
              <w:adjustRightInd w:val="0"/>
              <w:snapToGrid w:val="0"/>
              <w:spacing w:before="58" w:line="218" w:lineRule="auto"/>
              <w:ind w:left="56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序号</w:t>
            </w:r>
          </w:p>
        </w:tc>
        <w:tc>
          <w:tcPr>
            <w:tcW w:w="3543" w:type="dxa"/>
            <w:tcBorders>
              <w:top w:val="single" w:color="000000" w:sz="10" w:space="0"/>
            </w:tcBorders>
            <w:vAlign w:val="top"/>
          </w:tcPr>
          <w:p w14:paraId="1E01C678">
            <w:pPr>
              <w:pStyle w:val="35"/>
              <w:keepNext w:val="0"/>
              <w:keepLines w:val="0"/>
              <w:pageBreakBefore w:val="0"/>
              <w:kinsoku/>
              <w:wordWrap w:val="0"/>
              <w:overflowPunct/>
              <w:topLinePunct/>
              <w:autoSpaceDE/>
              <w:autoSpaceDN/>
              <w:bidi w:val="0"/>
              <w:adjustRightInd w:val="0"/>
              <w:snapToGrid w:val="0"/>
              <w:spacing w:before="58" w:line="218" w:lineRule="auto"/>
              <w:ind w:left="156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项目</w:t>
            </w:r>
          </w:p>
        </w:tc>
        <w:tc>
          <w:tcPr>
            <w:tcW w:w="1495" w:type="dxa"/>
            <w:tcBorders>
              <w:top w:val="single" w:color="000000" w:sz="10" w:space="0"/>
            </w:tcBorders>
            <w:vAlign w:val="top"/>
          </w:tcPr>
          <w:p w14:paraId="506B08E8">
            <w:pPr>
              <w:pStyle w:val="35"/>
              <w:keepNext w:val="0"/>
              <w:keepLines w:val="0"/>
              <w:pageBreakBefore w:val="0"/>
              <w:kinsoku/>
              <w:wordWrap w:val="0"/>
              <w:overflowPunct/>
              <w:topLinePunct/>
              <w:autoSpaceDE/>
              <w:autoSpaceDN/>
              <w:bidi w:val="0"/>
              <w:adjustRightInd w:val="0"/>
              <w:snapToGrid w:val="0"/>
              <w:spacing w:before="58" w:line="218" w:lineRule="auto"/>
              <w:ind w:left="530"/>
              <w:jc w:val="both"/>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单位</w:t>
            </w:r>
          </w:p>
        </w:tc>
        <w:tc>
          <w:tcPr>
            <w:tcW w:w="1803" w:type="dxa"/>
            <w:tcBorders>
              <w:top w:val="single" w:color="000000" w:sz="10" w:space="0"/>
              <w:right w:val="nil"/>
            </w:tcBorders>
            <w:vAlign w:val="top"/>
          </w:tcPr>
          <w:p w14:paraId="138E8024">
            <w:pPr>
              <w:pStyle w:val="35"/>
              <w:keepNext w:val="0"/>
              <w:keepLines w:val="0"/>
              <w:pageBreakBefore w:val="0"/>
              <w:kinsoku/>
              <w:wordWrap w:val="0"/>
              <w:overflowPunct/>
              <w:topLinePunct/>
              <w:autoSpaceDE/>
              <w:autoSpaceDN/>
              <w:bidi w:val="0"/>
              <w:adjustRightInd w:val="0"/>
              <w:snapToGrid w:val="0"/>
              <w:spacing w:before="58" w:line="218"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标准值</w:t>
            </w:r>
          </w:p>
        </w:tc>
      </w:tr>
      <w:tr w14:paraId="53624A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520" w:type="dxa"/>
            <w:gridSpan w:val="2"/>
            <w:tcBorders>
              <w:left w:val="nil"/>
            </w:tcBorders>
            <w:vAlign w:val="top"/>
          </w:tcPr>
          <w:p w14:paraId="4385F349">
            <w:pPr>
              <w:keepNext w:val="0"/>
              <w:keepLines w:val="0"/>
              <w:pageBreakBefore w:val="0"/>
              <w:kinsoku/>
              <w:wordWrap w:val="0"/>
              <w:overflowPunct/>
              <w:topLinePunct/>
              <w:autoSpaceDE/>
              <w:autoSpaceDN/>
              <w:bidi w:val="0"/>
              <w:adjustRightInd w:val="0"/>
              <w:snapToGrid w:val="0"/>
              <w:spacing w:before="90" w:line="209" w:lineRule="auto"/>
              <w:ind w:left="73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3543" w:type="dxa"/>
            <w:vAlign w:val="top"/>
          </w:tcPr>
          <w:p w14:paraId="2D1187B6">
            <w:pPr>
              <w:keepNext w:val="0"/>
              <w:keepLines w:val="0"/>
              <w:pageBreakBefore w:val="0"/>
              <w:kinsoku/>
              <w:wordWrap w:val="0"/>
              <w:overflowPunct/>
              <w:topLinePunct/>
              <w:autoSpaceDE/>
              <w:autoSpaceDN/>
              <w:bidi w:val="0"/>
              <w:adjustRightInd w:val="0"/>
              <w:snapToGrid w:val="0"/>
              <w:spacing w:before="91" w:line="191"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pH</w:t>
            </w:r>
          </w:p>
        </w:tc>
        <w:tc>
          <w:tcPr>
            <w:tcW w:w="1495" w:type="dxa"/>
            <w:vAlign w:val="top"/>
          </w:tcPr>
          <w:p w14:paraId="16CCFED6">
            <w:pPr>
              <w:pStyle w:val="35"/>
              <w:keepNext w:val="0"/>
              <w:keepLines w:val="0"/>
              <w:pageBreakBefore w:val="0"/>
              <w:kinsoku/>
              <w:wordWrap w:val="0"/>
              <w:overflowPunct/>
              <w:topLinePunct/>
              <w:autoSpaceDE/>
              <w:autoSpaceDN/>
              <w:bidi w:val="0"/>
              <w:adjustRightInd w:val="0"/>
              <w:snapToGrid w:val="0"/>
              <w:spacing w:before="58" w:line="213" w:lineRule="auto"/>
              <w:ind w:left="424"/>
              <w:jc w:val="both"/>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无量纲</w:t>
            </w:r>
          </w:p>
        </w:tc>
        <w:tc>
          <w:tcPr>
            <w:tcW w:w="1803" w:type="dxa"/>
            <w:tcBorders>
              <w:right w:val="nil"/>
            </w:tcBorders>
            <w:vAlign w:val="top"/>
          </w:tcPr>
          <w:p w14:paraId="25C47461">
            <w:pPr>
              <w:pStyle w:val="35"/>
              <w:keepNext w:val="0"/>
              <w:keepLines w:val="0"/>
              <w:pageBreakBefore w:val="0"/>
              <w:kinsoku/>
              <w:wordWrap w:val="0"/>
              <w:overflowPunct/>
              <w:topLinePunct/>
              <w:autoSpaceDE/>
              <w:autoSpaceDN/>
              <w:bidi w:val="0"/>
              <w:adjustRightInd w:val="0"/>
              <w:snapToGrid w:val="0"/>
              <w:spacing w:before="58" w:line="213"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spacing w:val="-3"/>
                <w:highlight w:val="none"/>
              </w:rPr>
              <w:t>6</w:t>
            </w:r>
            <w:r>
              <w:rPr>
                <w:rFonts w:hint="default" w:ascii="Times New Roman" w:hAnsi="Times New Roman" w:cs="Times New Roman"/>
                <w:color w:val="auto"/>
                <w:spacing w:val="-3"/>
                <w:highlight w:val="none"/>
              </w:rPr>
              <w:t>～</w:t>
            </w:r>
            <w:r>
              <w:rPr>
                <w:rFonts w:hint="default" w:ascii="Times New Roman" w:hAnsi="Times New Roman" w:eastAsia="Times New Roman" w:cs="Times New Roman"/>
                <w:color w:val="auto"/>
                <w:spacing w:val="-3"/>
                <w:highlight w:val="none"/>
              </w:rPr>
              <w:t>9</w:t>
            </w:r>
          </w:p>
        </w:tc>
      </w:tr>
      <w:tr w14:paraId="682706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520" w:type="dxa"/>
            <w:gridSpan w:val="2"/>
            <w:tcBorders>
              <w:left w:val="nil"/>
            </w:tcBorders>
            <w:vAlign w:val="top"/>
          </w:tcPr>
          <w:p w14:paraId="087E92FE">
            <w:pPr>
              <w:keepNext w:val="0"/>
              <w:keepLines w:val="0"/>
              <w:pageBreakBefore w:val="0"/>
              <w:kinsoku/>
              <w:wordWrap w:val="0"/>
              <w:overflowPunct/>
              <w:topLinePunct/>
              <w:autoSpaceDE/>
              <w:autoSpaceDN/>
              <w:bidi w:val="0"/>
              <w:adjustRightInd w:val="0"/>
              <w:snapToGrid w:val="0"/>
              <w:spacing w:before="96" w:line="203" w:lineRule="auto"/>
              <w:ind w:left="71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3543" w:type="dxa"/>
            <w:vAlign w:val="top"/>
          </w:tcPr>
          <w:p w14:paraId="75A303FE">
            <w:pPr>
              <w:keepNext w:val="0"/>
              <w:keepLines w:val="0"/>
              <w:pageBreakBefore w:val="0"/>
              <w:kinsoku/>
              <w:wordWrap w:val="0"/>
              <w:overflowPunct/>
              <w:topLinePunct/>
              <w:autoSpaceDE/>
              <w:autoSpaceDN/>
              <w:bidi w:val="0"/>
              <w:adjustRightInd w:val="0"/>
              <w:snapToGrid w:val="0"/>
              <w:spacing w:before="99" w:line="187"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FF0000"/>
                <w:spacing w:val="-1"/>
                <w:sz w:val="21"/>
                <w:szCs w:val="21"/>
                <w:highlight w:val="none"/>
              </w:rPr>
              <w:t>COD</w:t>
            </w:r>
            <w:r>
              <w:rPr>
                <w:rFonts w:hint="default" w:ascii="Times New Roman" w:hAnsi="Times New Roman" w:eastAsia="Times New Roman" w:cs="Times New Roman"/>
                <w:color w:val="FF0000"/>
                <w:spacing w:val="-1"/>
                <w:sz w:val="21"/>
                <w:szCs w:val="21"/>
                <w:highlight w:val="none"/>
                <w:vertAlign w:val="subscript"/>
              </w:rPr>
              <w:t>cr</w:t>
            </w:r>
          </w:p>
        </w:tc>
        <w:tc>
          <w:tcPr>
            <w:tcW w:w="1495" w:type="dxa"/>
            <w:vMerge w:val="restart"/>
            <w:vAlign w:val="top"/>
          </w:tcPr>
          <w:p w14:paraId="6DFFDB97">
            <w:pPr>
              <w:keepNext w:val="0"/>
              <w:keepLines w:val="0"/>
              <w:pageBreakBefore w:val="0"/>
              <w:kinsoku/>
              <w:wordWrap w:val="0"/>
              <w:overflowPunct/>
              <w:topLinePunct/>
              <w:autoSpaceDE/>
              <w:autoSpaceDN/>
              <w:bidi w:val="0"/>
              <w:adjustRightInd w:val="0"/>
              <w:snapToGrid w:val="0"/>
              <w:spacing w:before="257" w:line="191" w:lineRule="auto"/>
              <w:ind w:left="503"/>
              <w:jc w:val="center"/>
              <w:textAlignment w:val="baseline"/>
              <w:rPr>
                <w:rFonts w:hint="default" w:ascii="Times New Roman" w:hAnsi="Times New Roman" w:eastAsia="Times New Roman" w:cs="Times New Roman"/>
                <w:color w:val="auto"/>
                <w:spacing w:val="-1"/>
                <w:sz w:val="21"/>
                <w:szCs w:val="21"/>
                <w:highlight w:val="none"/>
              </w:rPr>
            </w:pPr>
          </w:p>
          <w:p w14:paraId="1E4EB9FD">
            <w:pPr>
              <w:keepNext w:val="0"/>
              <w:keepLines w:val="0"/>
              <w:pageBreakBefore w:val="0"/>
              <w:kinsoku/>
              <w:wordWrap w:val="0"/>
              <w:overflowPunct/>
              <w:topLinePunct/>
              <w:autoSpaceDE/>
              <w:autoSpaceDN/>
              <w:bidi w:val="0"/>
              <w:adjustRightInd w:val="0"/>
              <w:snapToGrid w:val="0"/>
              <w:spacing w:before="257" w:line="191" w:lineRule="auto"/>
              <w:ind w:left="503"/>
              <w:jc w:val="both"/>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803" w:type="dxa"/>
            <w:tcBorders>
              <w:right w:val="nil"/>
            </w:tcBorders>
            <w:vAlign w:val="top"/>
          </w:tcPr>
          <w:p w14:paraId="57E8398A">
            <w:pPr>
              <w:pStyle w:val="35"/>
              <w:keepNext w:val="0"/>
              <w:keepLines w:val="0"/>
              <w:pageBreakBefore w:val="0"/>
              <w:kinsoku/>
              <w:wordWrap w:val="0"/>
              <w:overflowPunct/>
              <w:topLinePunct/>
              <w:autoSpaceDE/>
              <w:autoSpaceDN/>
              <w:bidi w:val="0"/>
              <w:adjustRightInd w:val="0"/>
              <w:snapToGrid w:val="0"/>
              <w:spacing w:before="63" w:line="209"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2"/>
                <w:highlight w:val="none"/>
              </w:rPr>
              <w:t>≦</w:t>
            </w:r>
            <w:r>
              <w:rPr>
                <w:rFonts w:hint="default" w:ascii="Times New Roman" w:hAnsi="Times New Roman" w:eastAsia="Times New Roman" w:cs="Times New Roman"/>
                <w:color w:val="auto"/>
                <w:spacing w:val="-12"/>
                <w:highlight w:val="none"/>
              </w:rPr>
              <w:t>30</w:t>
            </w:r>
          </w:p>
        </w:tc>
      </w:tr>
      <w:tr w14:paraId="2A8843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6" w:hRule="atLeast"/>
        </w:trPr>
        <w:tc>
          <w:tcPr>
            <w:tcW w:w="1520" w:type="dxa"/>
            <w:gridSpan w:val="2"/>
            <w:tcBorders>
              <w:left w:val="nil"/>
              <w:bottom w:val="single" w:color="auto" w:sz="4" w:space="0"/>
            </w:tcBorders>
            <w:vAlign w:val="top"/>
          </w:tcPr>
          <w:p w14:paraId="35E5967F">
            <w:pPr>
              <w:keepNext w:val="0"/>
              <w:keepLines w:val="0"/>
              <w:pageBreakBefore w:val="0"/>
              <w:kinsoku/>
              <w:wordWrap w:val="0"/>
              <w:overflowPunct/>
              <w:topLinePunct/>
              <w:autoSpaceDE/>
              <w:autoSpaceDN/>
              <w:bidi w:val="0"/>
              <w:adjustRightInd w:val="0"/>
              <w:snapToGrid w:val="0"/>
              <w:spacing w:before="101" w:line="223" w:lineRule="auto"/>
              <w:ind w:left="721"/>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3543" w:type="dxa"/>
            <w:tcBorders>
              <w:bottom w:val="single" w:color="auto" w:sz="4" w:space="0"/>
            </w:tcBorders>
            <w:vAlign w:val="top"/>
          </w:tcPr>
          <w:p w14:paraId="644B9541">
            <w:pPr>
              <w:keepNext w:val="0"/>
              <w:keepLines w:val="0"/>
              <w:pageBreakBefore w:val="0"/>
              <w:kinsoku/>
              <w:wordWrap w:val="0"/>
              <w:overflowPunct/>
              <w:topLinePunct/>
              <w:autoSpaceDE/>
              <w:autoSpaceDN/>
              <w:bidi w:val="0"/>
              <w:adjustRightInd w:val="0"/>
              <w:snapToGrid w:val="0"/>
              <w:spacing w:before="105" w:line="187" w:lineRule="auto"/>
              <w:ind w:left="1496"/>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BOD</w:t>
            </w:r>
            <w:r>
              <w:rPr>
                <w:rFonts w:hint="default" w:ascii="Times New Roman" w:hAnsi="Times New Roman" w:eastAsia="Times New Roman" w:cs="Times New Roman"/>
                <w:color w:val="auto"/>
                <w:spacing w:val="-1"/>
                <w:sz w:val="21"/>
                <w:szCs w:val="21"/>
                <w:highlight w:val="none"/>
                <w:vertAlign w:val="subscript"/>
              </w:rPr>
              <w:t>5</w:t>
            </w:r>
          </w:p>
        </w:tc>
        <w:tc>
          <w:tcPr>
            <w:tcW w:w="1495" w:type="dxa"/>
            <w:vMerge w:val="continue"/>
            <w:vAlign w:val="top"/>
          </w:tcPr>
          <w:p w14:paraId="59335D9D">
            <w:pPr>
              <w:keepNext w:val="0"/>
              <w:keepLines w:val="0"/>
              <w:pageBreakBefore w:val="0"/>
              <w:kinsoku/>
              <w:wordWrap w:val="0"/>
              <w:overflowPunct/>
              <w:topLinePunct/>
              <w:autoSpaceDE/>
              <w:autoSpaceDN/>
              <w:bidi w:val="0"/>
              <w:adjustRightInd w:val="0"/>
              <w:snapToGrid w:val="0"/>
              <w:jc w:val="center"/>
              <w:textAlignment w:val="baseline"/>
              <w:rPr>
                <w:rFonts w:hint="default" w:ascii="Times New Roman" w:hAnsi="Times New Roman" w:cs="Times New Roman"/>
                <w:color w:val="auto"/>
                <w:sz w:val="21"/>
                <w:highlight w:val="none"/>
              </w:rPr>
            </w:pPr>
          </w:p>
        </w:tc>
        <w:tc>
          <w:tcPr>
            <w:tcW w:w="1803" w:type="dxa"/>
            <w:tcBorders>
              <w:bottom w:val="single" w:color="auto" w:sz="4" w:space="0"/>
              <w:right w:val="nil"/>
            </w:tcBorders>
            <w:vAlign w:val="top"/>
          </w:tcPr>
          <w:p w14:paraId="14BDC867">
            <w:pPr>
              <w:pStyle w:val="35"/>
              <w:keepNext w:val="0"/>
              <w:keepLines w:val="0"/>
              <w:pageBreakBefore w:val="0"/>
              <w:kinsoku/>
              <w:wordWrap w:val="0"/>
              <w:overflowPunct/>
              <w:topLinePunct/>
              <w:autoSpaceDE/>
              <w:autoSpaceDN/>
              <w:bidi w:val="0"/>
              <w:adjustRightInd w:val="0"/>
              <w:snapToGrid w:val="0"/>
              <w:spacing w:before="68" w:line="226"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9"/>
                <w:highlight w:val="none"/>
              </w:rPr>
              <w:t>≦</w:t>
            </w:r>
            <w:r>
              <w:rPr>
                <w:rFonts w:hint="default" w:ascii="Times New Roman" w:hAnsi="Times New Roman" w:eastAsia="Times New Roman" w:cs="Times New Roman"/>
                <w:color w:val="auto"/>
                <w:spacing w:val="-19"/>
                <w:highlight w:val="none"/>
              </w:rPr>
              <w:t>6</w:t>
            </w:r>
          </w:p>
        </w:tc>
      </w:tr>
      <w:tr w14:paraId="2DBDBA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373" w:hRule="atLeast"/>
        </w:trPr>
        <w:tc>
          <w:tcPr>
            <w:tcW w:w="1506" w:type="dxa"/>
            <w:tcBorders>
              <w:top w:val="nil"/>
              <w:left w:val="nil"/>
              <w:bottom w:val="single" w:color="auto" w:sz="4" w:space="0"/>
            </w:tcBorders>
            <w:vAlign w:val="top"/>
          </w:tcPr>
          <w:p w14:paraId="0D153CED">
            <w:pPr>
              <w:keepNext w:val="0"/>
              <w:keepLines w:val="0"/>
              <w:pageBreakBefore w:val="0"/>
              <w:kinsoku/>
              <w:wordWrap w:val="0"/>
              <w:overflowPunct/>
              <w:topLinePunct/>
              <w:autoSpaceDE/>
              <w:autoSpaceDN/>
              <w:bidi w:val="0"/>
              <w:adjustRightInd w:val="0"/>
              <w:snapToGrid w:val="0"/>
              <w:spacing w:before="87" w:line="213" w:lineRule="auto"/>
              <w:ind w:left="716"/>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3543" w:type="dxa"/>
            <w:tcBorders>
              <w:bottom w:val="single" w:color="auto" w:sz="4" w:space="0"/>
            </w:tcBorders>
            <w:vAlign w:val="top"/>
          </w:tcPr>
          <w:p w14:paraId="41116BA4">
            <w:pPr>
              <w:pStyle w:val="35"/>
              <w:keepNext w:val="0"/>
              <w:keepLines w:val="0"/>
              <w:pageBreakBefore w:val="0"/>
              <w:kinsoku/>
              <w:wordWrap w:val="0"/>
              <w:overflowPunct/>
              <w:topLinePunct/>
              <w:autoSpaceDE/>
              <w:autoSpaceDN/>
              <w:bidi w:val="0"/>
              <w:adjustRightInd w:val="0"/>
              <w:snapToGrid w:val="0"/>
              <w:spacing w:before="55" w:line="217" w:lineRule="auto"/>
              <w:ind w:left="1565"/>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氨氮</w:t>
            </w:r>
          </w:p>
        </w:tc>
        <w:tc>
          <w:tcPr>
            <w:tcW w:w="1495" w:type="dxa"/>
            <w:vMerge w:val="continue"/>
            <w:tcBorders>
              <w:bottom w:val="nil"/>
            </w:tcBorders>
            <w:vAlign w:val="top"/>
          </w:tcPr>
          <w:p w14:paraId="51C8FED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803" w:type="dxa"/>
            <w:tcBorders>
              <w:top w:val="nil"/>
              <w:bottom w:val="single" w:color="auto" w:sz="4" w:space="0"/>
              <w:right w:val="nil"/>
            </w:tcBorders>
            <w:vAlign w:val="top"/>
          </w:tcPr>
          <w:p w14:paraId="781F72A6">
            <w:pPr>
              <w:pStyle w:val="35"/>
              <w:keepNext w:val="0"/>
              <w:keepLines w:val="0"/>
              <w:pageBreakBefore w:val="0"/>
              <w:kinsoku/>
              <w:wordWrap w:val="0"/>
              <w:overflowPunct/>
              <w:topLinePunct/>
              <w:autoSpaceDE/>
              <w:autoSpaceDN/>
              <w:bidi w:val="0"/>
              <w:adjustRightInd w:val="0"/>
              <w:snapToGrid w:val="0"/>
              <w:spacing w:before="55" w:line="217"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3"/>
                <w:highlight w:val="none"/>
              </w:rPr>
              <w:t>≦</w:t>
            </w:r>
            <w:r>
              <w:rPr>
                <w:rFonts w:hint="default" w:ascii="Times New Roman" w:hAnsi="Times New Roman" w:eastAsia="Times New Roman" w:cs="Times New Roman"/>
                <w:color w:val="auto"/>
                <w:spacing w:val="-13"/>
                <w:highlight w:val="none"/>
              </w:rPr>
              <w:t>1.5</w:t>
            </w:r>
          </w:p>
        </w:tc>
      </w:tr>
      <w:tr w14:paraId="5321AE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281" w:hRule="atLeast"/>
        </w:trPr>
        <w:tc>
          <w:tcPr>
            <w:tcW w:w="1506" w:type="dxa"/>
            <w:tcBorders>
              <w:top w:val="single" w:color="auto" w:sz="4" w:space="0"/>
              <w:left w:val="nil"/>
            </w:tcBorders>
            <w:vAlign w:val="top"/>
          </w:tcPr>
          <w:p w14:paraId="5AFC76D3">
            <w:pPr>
              <w:keepNext w:val="0"/>
              <w:keepLines w:val="0"/>
              <w:pageBreakBefore w:val="0"/>
              <w:kinsoku/>
              <w:wordWrap w:val="0"/>
              <w:overflowPunct/>
              <w:topLinePunct/>
              <w:autoSpaceDE/>
              <w:autoSpaceDN/>
              <w:bidi w:val="0"/>
              <w:adjustRightInd w:val="0"/>
              <w:snapToGrid w:val="0"/>
              <w:spacing w:before="87" w:line="213" w:lineRule="auto"/>
              <w:ind w:left="716"/>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w:t>
            </w:r>
          </w:p>
        </w:tc>
        <w:tc>
          <w:tcPr>
            <w:tcW w:w="3543" w:type="dxa"/>
            <w:tcBorders>
              <w:top w:val="single" w:color="auto" w:sz="4" w:space="0"/>
              <w:bottom w:val="single" w:color="auto" w:sz="4" w:space="0"/>
            </w:tcBorders>
            <w:vAlign w:val="top"/>
          </w:tcPr>
          <w:p w14:paraId="75FA97EB">
            <w:pPr>
              <w:pStyle w:val="35"/>
              <w:keepNext w:val="0"/>
              <w:keepLines w:val="0"/>
              <w:pageBreakBefore w:val="0"/>
              <w:kinsoku/>
              <w:wordWrap w:val="0"/>
              <w:overflowPunct/>
              <w:topLinePunct/>
              <w:autoSpaceDE/>
              <w:autoSpaceDN/>
              <w:bidi w:val="0"/>
              <w:adjustRightInd w:val="0"/>
              <w:snapToGrid w:val="0"/>
              <w:spacing w:before="55" w:line="217" w:lineRule="auto"/>
              <w:ind w:left="1565"/>
              <w:textAlignment w:val="baseline"/>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总磷</w:t>
            </w:r>
          </w:p>
        </w:tc>
        <w:tc>
          <w:tcPr>
            <w:tcW w:w="1495" w:type="dxa"/>
            <w:vMerge w:val="restart"/>
            <w:tcBorders>
              <w:top w:val="nil"/>
            </w:tcBorders>
            <w:vAlign w:val="top"/>
          </w:tcPr>
          <w:p w14:paraId="20E801D8">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803" w:type="dxa"/>
            <w:tcBorders>
              <w:top w:val="single" w:color="auto" w:sz="4" w:space="0"/>
              <w:bottom w:val="single" w:color="auto" w:sz="4" w:space="0"/>
              <w:right w:val="nil"/>
            </w:tcBorders>
            <w:vAlign w:val="top"/>
          </w:tcPr>
          <w:p w14:paraId="42352F10">
            <w:pPr>
              <w:pStyle w:val="35"/>
              <w:keepNext w:val="0"/>
              <w:keepLines w:val="0"/>
              <w:pageBreakBefore w:val="0"/>
              <w:kinsoku/>
              <w:wordWrap w:val="0"/>
              <w:overflowPunct/>
              <w:topLinePunct/>
              <w:autoSpaceDE/>
              <w:autoSpaceDN/>
              <w:bidi w:val="0"/>
              <w:adjustRightInd w:val="0"/>
              <w:snapToGrid w:val="0"/>
              <w:spacing w:before="60" w:line="210" w:lineRule="auto"/>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spacing w:val="-13"/>
                <w:highlight w:val="none"/>
              </w:rPr>
              <w:t>≦</w:t>
            </w:r>
            <w:r>
              <w:rPr>
                <w:rFonts w:hint="default" w:ascii="Times New Roman" w:hAnsi="Times New Roman" w:cs="Times New Roman"/>
                <w:color w:val="auto"/>
                <w:spacing w:val="-13"/>
                <w:highlight w:val="none"/>
                <w:lang w:val="en-US" w:eastAsia="zh-CN"/>
              </w:rPr>
              <w:t>0.3</w:t>
            </w:r>
          </w:p>
        </w:tc>
      </w:tr>
      <w:tr w14:paraId="4E32E7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334" w:hRule="atLeast"/>
        </w:trPr>
        <w:tc>
          <w:tcPr>
            <w:tcW w:w="1506" w:type="dxa"/>
            <w:tcBorders>
              <w:left w:val="nil"/>
              <w:bottom w:val="single" w:color="000000" w:sz="10" w:space="0"/>
            </w:tcBorders>
            <w:vAlign w:val="top"/>
          </w:tcPr>
          <w:p w14:paraId="6D662C6D">
            <w:pPr>
              <w:keepNext w:val="0"/>
              <w:keepLines w:val="0"/>
              <w:pageBreakBefore w:val="0"/>
              <w:kinsoku/>
              <w:wordWrap w:val="0"/>
              <w:overflowPunct/>
              <w:topLinePunct/>
              <w:autoSpaceDE/>
              <w:autoSpaceDN/>
              <w:bidi w:val="0"/>
              <w:adjustRightInd w:val="0"/>
              <w:snapToGrid w:val="0"/>
              <w:spacing w:before="102" w:line="220" w:lineRule="auto"/>
              <w:ind w:left="721"/>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6</w:t>
            </w:r>
          </w:p>
        </w:tc>
        <w:tc>
          <w:tcPr>
            <w:tcW w:w="3543" w:type="dxa"/>
            <w:tcBorders>
              <w:bottom w:val="single" w:color="000000" w:sz="10" w:space="0"/>
            </w:tcBorders>
            <w:vAlign w:val="top"/>
          </w:tcPr>
          <w:p w14:paraId="37B3A999">
            <w:pPr>
              <w:pStyle w:val="35"/>
              <w:keepNext w:val="0"/>
              <w:keepLines w:val="0"/>
              <w:pageBreakBefore w:val="0"/>
              <w:kinsoku/>
              <w:wordWrap w:val="0"/>
              <w:overflowPunct/>
              <w:topLinePunct/>
              <w:autoSpaceDE/>
              <w:autoSpaceDN/>
              <w:bidi w:val="0"/>
              <w:adjustRightInd w:val="0"/>
              <w:snapToGrid w:val="0"/>
              <w:spacing w:before="69" w:line="221" w:lineRule="auto"/>
              <w:ind w:left="146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石油类</w:t>
            </w:r>
          </w:p>
        </w:tc>
        <w:tc>
          <w:tcPr>
            <w:tcW w:w="1495" w:type="dxa"/>
            <w:vMerge w:val="continue"/>
            <w:tcBorders>
              <w:bottom w:val="single" w:color="000000" w:sz="10" w:space="0"/>
            </w:tcBorders>
            <w:vAlign w:val="top"/>
          </w:tcPr>
          <w:p w14:paraId="0067CB90">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803" w:type="dxa"/>
            <w:tcBorders>
              <w:bottom w:val="single" w:color="000000" w:sz="10" w:space="0"/>
              <w:right w:val="nil"/>
            </w:tcBorders>
            <w:vAlign w:val="top"/>
          </w:tcPr>
          <w:p w14:paraId="6B6453E7">
            <w:pPr>
              <w:pStyle w:val="35"/>
              <w:keepNext w:val="0"/>
              <w:keepLines w:val="0"/>
              <w:pageBreakBefore w:val="0"/>
              <w:kinsoku/>
              <w:wordWrap w:val="0"/>
              <w:overflowPunct/>
              <w:topLinePunct/>
              <w:autoSpaceDE/>
              <w:autoSpaceDN/>
              <w:bidi w:val="0"/>
              <w:adjustRightInd w:val="0"/>
              <w:snapToGrid w:val="0"/>
              <w:spacing w:before="70" w:line="223"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9"/>
                <w:highlight w:val="none"/>
              </w:rPr>
              <w:t>≦</w:t>
            </w:r>
            <w:r>
              <w:rPr>
                <w:rFonts w:hint="default" w:ascii="Times New Roman" w:hAnsi="Times New Roman" w:eastAsia="Times New Roman" w:cs="Times New Roman"/>
                <w:color w:val="auto"/>
                <w:spacing w:val="-9"/>
                <w:highlight w:val="none"/>
              </w:rPr>
              <w:t>0.5</w:t>
            </w:r>
          </w:p>
        </w:tc>
      </w:tr>
    </w:tbl>
    <w:p w14:paraId="5D28E5CA">
      <w:pPr>
        <w:keepNext w:val="0"/>
        <w:keepLines w:val="0"/>
        <w:pageBreakBefore w:val="0"/>
        <w:kinsoku/>
        <w:wordWrap w:val="0"/>
        <w:overflowPunct/>
        <w:topLinePunct/>
        <w:autoSpaceDE/>
        <w:autoSpaceDN/>
        <w:bidi w:val="0"/>
        <w:adjustRightInd w:val="0"/>
        <w:snapToGrid w:val="0"/>
        <w:spacing w:before="113" w:line="234" w:lineRule="auto"/>
        <w:ind w:left="61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3</w:t>
      </w:r>
      <w:r>
        <w:rPr>
          <w:rFonts w:hint="default" w:ascii="Times New Roman" w:hAnsi="Times New Roman" w:eastAsia="宋体" w:cs="Times New Roman"/>
          <w:color w:val="auto"/>
          <w:spacing w:val="-4"/>
          <w:sz w:val="24"/>
          <w:szCs w:val="24"/>
          <w:highlight w:val="none"/>
        </w:rPr>
        <w:t>）声环境</w:t>
      </w:r>
    </w:p>
    <w:p w14:paraId="29ECC6E8">
      <w:pPr>
        <w:keepNext w:val="0"/>
        <w:keepLines w:val="0"/>
        <w:pageBreakBefore w:val="0"/>
        <w:kinsoku/>
        <w:wordWrap w:val="0"/>
        <w:overflowPunct/>
        <w:topLinePunct/>
        <w:autoSpaceDE/>
        <w:autoSpaceDN/>
        <w:bidi w:val="0"/>
        <w:adjustRightInd w:val="0"/>
        <w:snapToGrid w:val="0"/>
        <w:spacing w:before="162" w:line="330" w:lineRule="auto"/>
        <w:ind w:left="134" w:right="160" w:firstLine="47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8"/>
          <w:sz w:val="24"/>
          <w:szCs w:val="24"/>
          <w:highlight w:val="none"/>
        </w:rPr>
        <w:t>本项目所在区域声环境执行《声环境质量标准》（</w:t>
      </w:r>
      <w:r>
        <w:rPr>
          <w:rFonts w:hint="default" w:ascii="Times New Roman" w:hAnsi="Times New Roman" w:eastAsia="Times New Roman" w:cs="Times New Roman"/>
          <w:color w:val="auto"/>
          <w:spacing w:val="-8"/>
          <w:sz w:val="24"/>
          <w:szCs w:val="24"/>
          <w:highlight w:val="none"/>
        </w:rPr>
        <w:t>GB3096-2008</w:t>
      </w:r>
      <w:r>
        <w:rPr>
          <w:rFonts w:hint="default" w:ascii="Times New Roman" w:hAnsi="Times New Roman" w:eastAsia="宋体" w:cs="Times New Roman"/>
          <w:color w:val="auto"/>
          <w:spacing w:val="-8"/>
          <w:sz w:val="24"/>
          <w:szCs w:val="24"/>
          <w:highlight w:val="none"/>
        </w:rPr>
        <w:t>）中</w:t>
      </w:r>
      <w:r>
        <w:rPr>
          <w:rFonts w:hint="default" w:ascii="Times New Roman" w:hAnsi="Times New Roman" w:eastAsia="宋体" w:cs="Times New Roman"/>
          <w:color w:val="auto"/>
          <w:spacing w:val="-8"/>
          <w:sz w:val="24"/>
          <w:szCs w:val="24"/>
          <w:highlight w:val="none"/>
          <w:lang w:val="en-US" w:eastAsia="zh-CN"/>
        </w:rPr>
        <w:t>1</w:t>
      </w:r>
      <w:r>
        <w:rPr>
          <w:rFonts w:hint="default" w:ascii="Times New Roman" w:hAnsi="Times New Roman" w:eastAsia="宋体" w:cs="Times New Roman"/>
          <w:color w:val="auto"/>
          <w:spacing w:val="-8"/>
          <w:sz w:val="24"/>
          <w:szCs w:val="24"/>
          <w:highlight w:val="none"/>
        </w:rPr>
        <w:t>类区标准，</w:t>
      </w:r>
      <w:r>
        <w:rPr>
          <w:rFonts w:hint="default" w:ascii="Times New Roman" w:hAnsi="Times New Roman" w:eastAsia="宋体" w:cs="Times New Roman"/>
          <w:color w:val="auto"/>
          <w:spacing w:val="-3"/>
          <w:sz w:val="24"/>
          <w:szCs w:val="24"/>
          <w:highlight w:val="none"/>
        </w:rPr>
        <w:t>详见表</w:t>
      </w:r>
      <w:r>
        <w:rPr>
          <w:rFonts w:hint="default" w:ascii="Times New Roman" w:hAnsi="Times New Roman" w:eastAsia="Times New Roman" w:cs="Times New Roman"/>
          <w:color w:val="auto"/>
          <w:spacing w:val="-3"/>
          <w:sz w:val="24"/>
          <w:szCs w:val="24"/>
          <w:highlight w:val="none"/>
        </w:rPr>
        <w:t>2.4-7</w:t>
      </w:r>
      <w:r>
        <w:rPr>
          <w:rFonts w:hint="default" w:ascii="Times New Roman" w:hAnsi="Times New Roman" w:eastAsia="宋体" w:cs="Times New Roman"/>
          <w:color w:val="auto"/>
          <w:spacing w:val="-3"/>
          <w:sz w:val="24"/>
          <w:szCs w:val="24"/>
          <w:highlight w:val="none"/>
        </w:rPr>
        <w:t>。</w:t>
      </w:r>
    </w:p>
    <w:p w14:paraId="126DC538">
      <w:pPr>
        <w:keepNext w:val="0"/>
        <w:keepLines w:val="0"/>
        <w:pageBreakBefore w:val="0"/>
        <w:kinsoku/>
        <w:wordWrap w:val="0"/>
        <w:overflowPunct/>
        <w:topLinePunct/>
        <w:autoSpaceDE/>
        <w:autoSpaceDN/>
        <w:bidi w:val="0"/>
        <w:adjustRightInd w:val="0"/>
        <w:snapToGrid w:val="0"/>
        <w:spacing w:before="1" w:line="213" w:lineRule="auto"/>
        <w:ind w:left="325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2.4-7</w:t>
      </w:r>
      <w:r>
        <w:rPr>
          <w:rFonts w:hint="default" w:ascii="Times New Roman" w:hAnsi="Times New Roman" w:eastAsia="宋体" w:cs="Times New Roman"/>
          <w:b/>
          <w:bCs/>
          <w:color w:val="auto"/>
          <w:spacing w:val="-1"/>
          <w:sz w:val="24"/>
          <w:szCs w:val="24"/>
          <w:highlight w:val="none"/>
        </w:rPr>
        <w:t>声环境质量标准</w:t>
      </w:r>
    </w:p>
    <w:tbl>
      <w:tblPr>
        <w:tblStyle w:val="34"/>
        <w:tblW w:w="834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34"/>
        <w:gridCol w:w="924"/>
        <w:gridCol w:w="922"/>
        <w:gridCol w:w="4066"/>
      </w:tblGrid>
      <w:tr w14:paraId="1ADB42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2434" w:type="dxa"/>
            <w:vMerge w:val="restart"/>
            <w:tcBorders>
              <w:top w:val="single" w:color="000000" w:sz="10" w:space="0"/>
              <w:left w:val="nil"/>
              <w:bottom w:val="nil"/>
            </w:tcBorders>
            <w:vAlign w:val="top"/>
          </w:tcPr>
          <w:p w14:paraId="63804E5F">
            <w:pPr>
              <w:pStyle w:val="35"/>
              <w:keepNext w:val="0"/>
              <w:keepLines w:val="0"/>
              <w:pageBreakBefore w:val="0"/>
              <w:kinsoku/>
              <w:wordWrap w:val="0"/>
              <w:overflowPunct/>
              <w:topLinePunct/>
              <w:autoSpaceDE/>
              <w:autoSpaceDN/>
              <w:bidi w:val="0"/>
              <w:adjustRightInd w:val="0"/>
              <w:snapToGrid w:val="0"/>
              <w:spacing w:before="217" w:line="221" w:lineRule="auto"/>
              <w:ind w:left="391"/>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声环境功能区类别</w:t>
            </w:r>
          </w:p>
        </w:tc>
        <w:tc>
          <w:tcPr>
            <w:tcW w:w="1846" w:type="dxa"/>
            <w:gridSpan w:val="2"/>
            <w:tcBorders>
              <w:top w:val="single" w:color="000000" w:sz="10" w:space="0"/>
            </w:tcBorders>
            <w:vAlign w:val="top"/>
          </w:tcPr>
          <w:p w14:paraId="44A487E1">
            <w:pPr>
              <w:pStyle w:val="35"/>
              <w:keepNext w:val="0"/>
              <w:keepLines w:val="0"/>
              <w:pageBreakBefore w:val="0"/>
              <w:kinsoku/>
              <w:wordWrap w:val="0"/>
              <w:overflowPunct/>
              <w:topLinePunct/>
              <w:autoSpaceDE/>
              <w:autoSpaceDN/>
              <w:bidi w:val="0"/>
              <w:adjustRightInd w:val="0"/>
              <w:snapToGrid w:val="0"/>
              <w:spacing w:before="57" w:line="216" w:lineRule="auto"/>
              <w:ind w:left="311"/>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b/>
                <w:bCs/>
                <w:color w:val="auto"/>
                <w:spacing w:val="-3"/>
                <w:highlight w:val="none"/>
              </w:rPr>
              <w:t>标准值</w:t>
            </w:r>
            <w:r>
              <w:rPr>
                <w:rFonts w:hint="default" w:ascii="Times New Roman" w:hAnsi="Times New Roman" w:eastAsia="Times New Roman" w:cs="Times New Roman"/>
                <w:b/>
                <w:bCs/>
                <w:color w:val="auto"/>
                <w:spacing w:val="-3"/>
                <w:highlight w:val="none"/>
              </w:rPr>
              <w:t>dB(A)</w:t>
            </w:r>
          </w:p>
        </w:tc>
        <w:tc>
          <w:tcPr>
            <w:tcW w:w="4066" w:type="dxa"/>
            <w:vMerge w:val="restart"/>
            <w:tcBorders>
              <w:top w:val="single" w:color="000000" w:sz="10" w:space="0"/>
              <w:bottom w:val="nil"/>
              <w:right w:val="nil"/>
            </w:tcBorders>
            <w:vAlign w:val="top"/>
          </w:tcPr>
          <w:p w14:paraId="4A5142C3">
            <w:pPr>
              <w:pStyle w:val="35"/>
              <w:keepNext w:val="0"/>
              <w:keepLines w:val="0"/>
              <w:pageBreakBefore w:val="0"/>
              <w:kinsoku/>
              <w:wordWrap w:val="0"/>
              <w:overflowPunct/>
              <w:topLinePunct/>
              <w:autoSpaceDE/>
              <w:autoSpaceDN/>
              <w:bidi w:val="0"/>
              <w:adjustRightInd w:val="0"/>
              <w:snapToGrid w:val="0"/>
              <w:spacing w:before="217" w:line="221" w:lineRule="auto"/>
              <w:ind w:left="1953"/>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标准来源</w:t>
            </w:r>
          </w:p>
        </w:tc>
      </w:tr>
      <w:tr w14:paraId="0F8F21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2434" w:type="dxa"/>
            <w:vMerge w:val="continue"/>
            <w:tcBorders>
              <w:top w:val="nil"/>
              <w:left w:val="nil"/>
            </w:tcBorders>
            <w:vAlign w:val="top"/>
          </w:tcPr>
          <w:p w14:paraId="12F5DD2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924" w:type="dxa"/>
            <w:vAlign w:val="top"/>
          </w:tcPr>
          <w:p w14:paraId="4278924E">
            <w:pPr>
              <w:pStyle w:val="35"/>
              <w:keepNext w:val="0"/>
              <w:keepLines w:val="0"/>
              <w:pageBreakBefore w:val="0"/>
              <w:kinsoku/>
              <w:wordWrap w:val="0"/>
              <w:overflowPunct/>
              <w:topLinePunct/>
              <w:autoSpaceDE/>
              <w:autoSpaceDN/>
              <w:bidi w:val="0"/>
              <w:adjustRightInd w:val="0"/>
              <w:snapToGrid w:val="0"/>
              <w:spacing w:before="60" w:line="210" w:lineRule="auto"/>
              <w:ind w:left="254"/>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昼间</w:t>
            </w:r>
          </w:p>
        </w:tc>
        <w:tc>
          <w:tcPr>
            <w:tcW w:w="922" w:type="dxa"/>
            <w:vAlign w:val="top"/>
          </w:tcPr>
          <w:p w14:paraId="6D5533D7">
            <w:pPr>
              <w:pStyle w:val="35"/>
              <w:keepNext w:val="0"/>
              <w:keepLines w:val="0"/>
              <w:pageBreakBefore w:val="0"/>
              <w:kinsoku/>
              <w:wordWrap w:val="0"/>
              <w:overflowPunct/>
              <w:topLinePunct/>
              <w:autoSpaceDE/>
              <w:autoSpaceDN/>
              <w:bidi w:val="0"/>
              <w:adjustRightInd w:val="0"/>
              <w:snapToGrid w:val="0"/>
              <w:spacing w:before="60" w:line="210" w:lineRule="auto"/>
              <w:ind w:left="256"/>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夜间</w:t>
            </w:r>
          </w:p>
        </w:tc>
        <w:tc>
          <w:tcPr>
            <w:tcW w:w="4066" w:type="dxa"/>
            <w:vMerge w:val="continue"/>
            <w:tcBorders>
              <w:top w:val="nil"/>
              <w:right w:val="nil"/>
            </w:tcBorders>
            <w:vAlign w:val="top"/>
          </w:tcPr>
          <w:p w14:paraId="00AA8D8A">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1CA930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2434" w:type="dxa"/>
            <w:tcBorders>
              <w:left w:val="nil"/>
              <w:bottom w:val="single" w:color="000000" w:sz="10" w:space="0"/>
            </w:tcBorders>
            <w:vAlign w:val="top"/>
          </w:tcPr>
          <w:p w14:paraId="79C49249">
            <w:pPr>
              <w:pStyle w:val="35"/>
              <w:keepNext w:val="0"/>
              <w:keepLines w:val="0"/>
              <w:pageBreakBefore w:val="0"/>
              <w:kinsoku/>
              <w:wordWrap w:val="0"/>
              <w:overflowPunct/>
              <w:topLinePunct/>
              <w:autoSpaceDE/>
              <w:autoSpaceDN/>
              <w:bidi w:val="0"/>
              <w:adjustRightInd w:val="0"/>
              <w:snapToGrid w:val="0"/>
              <w:spacing w:before="68" w:line="223" w:lineRule="auto"/>
              <w:ind w:left="1043"/>
              <w:textAlignment w:val="baseline"/>
              <w:rPr>
                <w:rFonts w:hint="default" w:ascii="Times New Roman" w:hAnsi="Times New Roman" w:cs="Times New Roman"/>
                <w:color w:val="FF0000"/>
                <w:highlight w:val="none"/>
              </w:rPr>
            </w:pPr>
            <w:r>
              <w:rPr>
                <w:rFonts w:hint="default" w:ascii="Times New Roman" w:hAnsi="Times New Roman" w:eastAsia="宋体" w:cs="Times New Roman"/>
                <w:color w:val="FF0000"/>
                <w:spacing w:val="-2"/>
                <w:highlight w:val="none"/>
                <w:lang w:val="en-US" w:eastAsia="zh-CN"/>
              </w:rPr>
              <w:t>1</w:t>
            </w:r>
            <w:r>
              <w:rPr>
                <w:rFonts w:hint="default" w:ascii="Times New Roman" w:hAnsi="Times New Roman" w:cs="Times New Roman"/>
                <w:color w:val="FF0000"/>
                <w:spacing w:val="-2"/>
                <w:highlight w:val="none"/>
              </w:rPr>
              <w:t>类</w:t>
            </w:r>
          </w:p>
        </w:tc>
        <w:tc>
          <w:tcPr>
            <w:tcW w:w="924" w:type="dxa"/>
            <w:tcBorders>
              <w:bottom w:val="single" w:color="000000" w:sz="10" w:space="0"/>
            </w:tcBorders>
            <w:vAlign w:val="top"/>
          </w:tcPr>
          <w:p w14:paraId="5BB23D95">
            <w:pPr>
              <w:keepNext w:val="0"/>
              <w:keepLines w:val="0"/>
              <w:pageBreakBefore w:val="0"/>
              <w:kinsoku/>
              <w:wordWrap w:val="0"/>
              <w:overflowPunct/>
              <w:topLinePunct/>
              <w:autoSpaceDE/>
              <w:autoSpaceDN/>
              <w:bidi w:val="0"/>
              <w:adjustRightInd w:val="0"/>
              <w:snapToGrid w:val="0"/>
              <w:spacing w:before="100" w:line="220" w:lineRule="auto"/>
              <w:ind w:left="361"/>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2"/>
                <w:sz w:val="21"/>
                <w:szCs w:val="21"/>
                <w:highlight w:val="none"/>
                <w:lang w:val="en-US" w:eastAsia="zh-CN"/>
              </w:rPr>
              <w:t>55</w:t>
            </w:r>
          </w:p>
        </w:tc>
        <w:tc>
          <w:tcPr>
            <w:tcW w:w="922" w:type="dxa"/>
            <w:tcBorders>
              <w:bottom w:val="single" w:color="000000" w:sz="10" w:space="0"/>
            </w:tcBorders>
            <w:vAlign w:val="top"/>
          </w:tcPr>
          <w:p w14:paraId="0AA66240">
            <w:pPr>
              <w:keepNext w:val="0"/>
              <w:keepLines w:val="0"/>
              <w:pageBreakBefore w:val="0"/>
              <w:kinsoku/>
              <w:wordWrap w:val="0"/>
              <w:overflowPunct/>
              <w:topLinePunct/>
              <w:autoSpaceDE/>
              <w:autoSpaceDN/>
              <w:bidi w:val="0"/>
              <w:adjustRightInd w:val="0"/>
              <w:snapToGrid w:val="0"/>
              <w:spacing w:before="100" w:line="220" w:lineRule="auto"/>
              <w:ind w:left="360"/>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3"/>
                <w:sz w:val="21"/>
                <w:szCs w:val="21"/>
                <w:highlight w:val="none"/>
                <w:lang w:val="en-US" w:eastAsia="zh-CN"/>
              </w:rPr>
              <w:t>45</w:t>
            </w:r>
          </w:p>
        </w:tc>
        <w:tc>
          <w:tcPr>
            <w:tcW w:w="4066" w:type="dxa"/>
            <w:tcBorders>
              <w:bottom w:val="single" w:color="000000" w:sz="10" w:space="0"/>
              <w:right w:val="nil"/>
            </w:tcBorders>
            <w:vAlign w:val="top"/>
          </w:tcPr>
          <w:p w14:paraId="29D31922">
            <w:pPr>
              <w:pStyle w:val="35"/>
              <w:keepNext w:val="0"/>
              <w:keepLines w:val="0"/>
              <w:pageBreakBefore w:val="0"/>
              <w:kinsoku/>
              <w:wordWrap w:val="0"/>
              <w:overflowPunct/>
              <w:topLinePunct/>
              <w:autoSpaceDE/>
              <w:autoSpaceDN/>
              <w:bidi w:val="0"/>
              <w:adjustRightInd w:val="0"/>
              <w:snapToGrid w:val="0"/>
              <w:spacing w:before="68" w:line="223"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《声环境质量标准》（</w:t>
            </w:r>
            <w:r>
              <w:rPr>
                <w:rFonts w:hint="default" w:ascii="Times New Roman" w:hAnsi="Times New Roman" w:eastAsia="Times New Roman" w:cs="Times New Roman"/>
                <w:color w:val="auto"/>
                <w:spacing w:val="-1"/>
                <w:highlight w:val="none"/>
              </w:rPr>
              <w:t>GB3096-2008</w:t>
            </w:r>
            <w:r>
              <w:rPr>
                <w:rFonts w:hint="default" w:ascii="Times New Roman" w:hAnsi="Times New Roman" w:cs="Times New Roman"/>
                <w:color w:val="auto"/>
                <w:spacing w:val="-1"/>
                <w:highlight w:val="none"/>
              </w:rPr>
              <w:t>）</w:t>
            </w:r>
          </w:p>
        </w:tc>
      </w:tr>
    </w:tbl>
    <w:p w14:paraId="21EFABFE">
      <w:pPr>
        <w:keepNext w:val="0"/>
        <w:keepLines w:val="0"/>
        <w:pageBreakBefore w:val="0"/>
        <w:kinsoku/>
        <w:wordWrap w:val="0"/>
        <w:overflowPunct/>
        <w:topLinePunct/>
        <w:autoSpaceDE/>
        <w:autoSpaceDN/>
        <w:bidi w:val="0"/>
        <w:adjustRightInd w:val="0"/>
        <w:snapToGrid w:val="0"/>
        <w:spacing w:before="114" w:line="233" w:lineRule="auto"/>
        <w:ind w:left="61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4</w:t>
      </w:r>
      <w:r>
        <w:rPr>
          <w:rFonts w:hint="default" w:ascii="Times New Roman" w:hAnsi="Times New Roman" w:eastAsia="宋体" w:cs="Times New Roman"/>
          <w:color w:val="auto"/>
          <w:spacing w:val="-5"/>
          <w:sz w:val="24"/>
          <w:szCs w:val="24"/>
          <w:highlight w:val="none"/>
        </w:rPr>
        <w:t>）地下水</w:t>
      </w:r>
    </w:p>
    <w:p w14:paraId="79675498">
      <w:pPr>
        <w:keepNext w:val="0"/>
        <w:keepLines w:val="0"/>
        <w:pageBreakBefore w:val="0"/>
        <w:kinsoku/>
        <w:wordWrap w:val="0"/>
        <w:overflowPunct/>
        <w:topLinePunct/>
        <w:autoSpaceDE/>
        <w:autoSpaceDN/>
        <w:bidi w:val="0"/>
        <w:adjustRightInd w:val="0"/>
        <w:snapToGrid w:val="0"/>
        <w:spacing w:before="163" w:line="330" w:lineRule="auto"/>
        <w:ind w:left="130" w:right="131" w:firstLine="481"/>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本项目所在区域地下水环境质量执行《地下水质量标准》（</w:t>
      </w:r>
      <w:r>
        <w:rPr>
          <w:rFonts w:hint="default" w:ascii="Times New Roman" w:hAnsi="Times New Roman" w:eastAsia="Times New Roman" w:cs="Times New Roman"/>
          <w:color w:val="auto"/>
          <w:spacing w:val="-4"/>
          <w:sz w:val="24"/>
          <w:szCs w:val="24"/>
          <w:highlight w:val="none"/>
        </w:rPr>
        <w:t>GB/T14848-2017</w:t>
      </w:r>
      <w:r>
        <w:rPr>
          <w:rFonts w:hint="default" w:ascii="Times New Roman" w:hAnsi="Times New Roman" w:eastAsia="宋体" w:cs="Times New Roman"/>
          <w:color w:val="auto"/>
          <w:spacing w:val="-4"/>
          <w:sz w:val="24"/>
          <w:szCs w:val="24"/>
          <w:highlight w:val="none"/>
        </w:rPr>
        <w:t>）中</w:t>
      </w:r>
      <w:r>
        <w:rPr>
          <w:rFonts w:hint="default" w:ascii="Times New Roman" w:hAnsi="Times New Roman" w:eastAsia="宋体" w:cs="Times New Roman"/>
          <w:color w:val="auto"/>
          <w:spacing w:val="-1"/>
          <w:sz w:val="24"/>
          <w:szCs w:val="24"/>
          <w:highlight w:val="none"/>
        </w:rPr>
        <w:t>Ⅲ类标准，具体标准值见表</w:t>
      </w:r>
      <w:r>
        <w:rPr>
          <w:rFonts w:hint="default" w:ascii="Times New Roman" w:hAnsi="Times New Roman" w:eastAsia="Times New Roman" w:cs="Times New Roman"/>
          <w:color w:val="auto"/>
          <w:spacing w:val="-1"/>
          <w:sz w:val="24"/>
          <w:szCs w:val="24"/>
          <w:highlight w:val="none"/>
        </w:rPr>
        <w:t>2.4-8</w:t>
      </w:r>
      <w:r>
        <w:rPr>
          <w:rFonts w:hint="default" w:ascii="Times New Roman" w:hAnsi="Times New Roman" w:eastAsia="宋体" w:cs="Times New Roman"/>
          <w:color w:val="auto"/>
          <w:spacing w:val="-1"/>
          <w:sz w:val="24"/>
          <w:szCs w:val="24"/>
          <w:highlight w:val="none"/>
        </w:rPr>
        <w:t>。</w:t>
      </w:r>
    </w:p>
    <w:p w14:paraId="0B39D5E1">
      <w:pPr>
        <w:keepNext w:val="0"/>
        <w:keepLines w:val="0"/>
        <w:pageBreakBefore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2.4-8</w:t>
      </w:r>
      <w:r>
        <w:rPr>
          <w:rFonts w:hint="default" w:ascii="Times New Roman" w:hAnsi="Times New Roman" w:eastAsia="宋体" w:cs="Times New Roman"/>
          <w:b/>
          <w:bCs/>
          <w:color w:val="auto"/>
          <w:spacing w:val="-1"/>
          <w:sz w:val="24"/>
          <w:szCs w:val="24"/>
          <w:highlight w:val="none"/>
        </w:rPr>
        <w:t>地下水环境质量标准</w:t>
      </w:r>
    </w:p>
    <w:tbl>
      <w:tblPr>
        <w:tblStyle w:val="34"/>
        <w:tblW w:w="8219"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Layout w:type="fixed"/>
        <w:tblCellMar>
          <w:top w:w="0" w:type="dxa"/>
          <w:left w:w="0" w:type="dxa"/>
          <w:bottom w:w="0" w:type="dxa"/>
          <w:right w:w="0" w:type="dxa"/>
        </w:tblCellMar>
      </w:tblPr>
      <w:tblGrid>
        <w:gridCol w:w="1875"/>
        <w:gridCol w:w="1419"/>
        <w:gridCol w:w="2412"/>
        <w:gridCol w:w="2513"/>
      </w:tblGrid>
      <w:tr w14:paraId="36881596">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7DC2F26A">
            <w:pPr>
              <w:pStyle w:val="35"/>
              <w:keepNext w:val="0"/>
              <w:keepLines w:val="0"/>
              <w:pageBreakBefore w:val="0"/>
              <w:kinsoku/>
              <w:wordWrap w:val="0"/>
              <w:overflowPunct/>
              <w:topLinePunct/>
              <w:autoSpaceDE/>
              <w:autoSpaceDN/>
              <w:bidi w:val="0"/>
              <w:adjustRightInd w:val="0"/>
              <w:snapToGrid w:val="0"/>
              <w:spacing w:before="57"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污染物</w:t>
            </w:r>
          </w:p>
        </w:tc>
        <w:tc>
          <w:tcPr>
            <w:tcW w:w="1419" w:type="dxa"/>
            <w:tcBorders>
              <w:tl2br w:val="nil"/>
              <w:tr2bl w:val="nil"/>
            </w:tcBorders>
            <w:vAlign w:val="center"/>
          </w:tcPr>
          <w:p w14:paraId="0F351FB7">
            <w:pPr>
              <w:pStyle w:val="35"/>
              <w:keepNext w:val="0"/>
              <w:keepLines w:val="0"/>
              <w:pageBreakBefore w:val="0"/>
              <w:kinsoku/>
              <w:wordWrap w:val="0"/>
              <w:overflowPunct/>
              <w:topLinePunct/>
              <w:autoSpaceDE/>
              <w:autoSpaceDN/>
              <w:bidi w:val="0"/>
              <w:adjustRightInd w:val="0"/>
              <w:snapToGrid w:val="0"/>
              <w:spacing w:before="57"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单位</w:t>
            </w:r>
          </w:p>
        </w:tc>
        <w:tc>
          <w:tcPr>
            <w:tcW w:w="2412" w:type="dxa"/>
            <w:tcBorders>
              <w:tl2br w:val="nil"/>
              <w:tr2bl w:val="nil"/>
            </w:tcBorders>
            <w:vAlign w:val="center"/>
          </w:tcPr>
          <w:p w14:paraId="61863B46">
            <w:pPr>
              <w:pStyle w:val="35"/>
              <w:keepNext w:val="0"/>
              <w:keepLines w:val="0"/>
              <w:pageBreakBefore w:val="0"/>
              <w:kinsoku/>
              <w:wordWrap w:val="0"/>
              <w:overflowPunct/>
              <w:topLinePunct/>
              <w:autoSpaceDE/>
              <w:autoSpaceDN/>
              <w:bidi w:val="0"/>
              <w:adjustRightInd w:val="0"/>
              <w:snapToGrid w:val="0"/>
              <w:spacing w:before="57"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Ⅲ类标准值</w:t>
            </w:r>
          </w:p>
        </w:tc>
        <w:tc>
          <w:tcPr>
            <w:tcW w:w="2513" w:type="dxa"/>
            <w:tcBorders>
              <w:tl2br w:val="nil"/>
              <w:tr2bl w:val="nil"/>
            </w:tcBorders>
            <w:vAlign w:val="center"/>
          </w:tcPr>
          <w:p w14:paraId="62278260">
            <w:pPr>
              <w:pStyle w:val="35"/>
              <w:keepNext w:val="0"/>
              <w:keepLines w:val="0"/>
              <w:pageBreakBefore w:val="0"/>
              <w:kinsoku/>
              <w:wordWrap w:val="0"/>
              <w:overflowPunct/>
              <w:topLinePunct/>
              <w:autoSpaceDE/>
              <w:autoSpaceDN/>
              <w:bidi w:val="0"/>
              <w:adjustRightInd w:val="0"/>
              <w:snapToGrid w:val="0"/>
              <w:spacing w:before="57"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标准来源</w:t>
            </w:r>
          </w:p>
        </w:tc>
      </w:tr>
      <w:tr w14:paraId="5671B071">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63D31F52">
            <w:pPr>
              <w:keepNext w:val="0"/>
              <w:keepLines w:val="0"/>
              <w:pageBreakBefore w:val="0"/>
              <w:kinsoku/>
              <w:wordWrap w:val="0"/>
              <w:overflowPunct/>
              <w:topLinePunct/>
              <w:autoSpaceDE/>
              <w:autoSpaceDN/>
              <w:bidi w:val="0"/>
              <w:adjustRightInd w:val="0"/>
              <w:snapToGrid w:val="0"/>
              <w:spacing w:before="85" w:line="191"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pH</w:t>
            </w:r>
          </w:p>
        </w:tc>
        <w:tc>
          <w:tcPr>
            <w:tcW w:w="1419" w:type="dxa"/>
            <w:tcBorders>
              <w:tl2br w:val="nil"/>
              <w:tr2bl w:val="nil"/>
            </w:tcBorders>
            <w:vAlign w:val="center"/>
          </w:tcPr>
          <w:p w14:paraId="7D765C33">
            <w:pPr>
              <w:keepNext w:val="0"/>
              <w:keepLines w:val="0"/>
              <w:pageBreakBefore w:val="0"/>
              <w:kinsoku/>
              <w:wordWrap w:val="0"/>
              <w:overflowPunct/>
              <w:topLinePunct/>
              <w:autoSpaceDE/>
              <w:autoSpaceDN/>
              <w:bidi w:val="0"/>
              <w:adjustRightInd w:val="0"/>
              <w:snapToGrid w:val="0"/>
              <w:spacing w:before="84" w:line="219"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c>
          <w:tcPr>
            <w:tcW w:w="2412" w:type="dxa"/>
            <w:tcBorders>
              <w:tl2br w:val="nil"/>
              <w:tr2bl w:val="nil"/>
            </w:tcBorders>
            <w:vAlign w:val="center"/>
          </w:tcPr>
          <w:p w14:paraId="48CA507C">
            <w:pPr>
              <w:keepNext w:val="0"/>
              <w:keepLines w:val="0"/>
              <w:pageBreakBefore w:val="0"/>
              <w:kinsoku/>
              <w:wordWrap w:val="0"/>
              <w:overflowPunct/>
              <w:topLinePunct/>
              <w:autoSpaceDE/>
              <w:autoSpaceDN/>
              <w:bidi w:val="0"/>
              <w:adjustRightInd w:val="0"/>
              <w:snapToGrid w:val="0"/>
              <w:spacing w:before="84" w:line="219"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6.5~8.5</w:t>
            </w:r>
          </w:p>
        </w:tc>
        <w:tc>
          <w:tcPr>
            <w:tcW w:w="2513" w:type="dxa"/>
            <w:vMerge w:val="restart"/>
            <w:tcBorders>
              <w:tl2br w:val="nil"/>
              <w:tr2bl w:val="nil"/>
            </w:tcBorders>
            <w:vAlign w:val="center"/>
          </w:tcPr>
          <w:p w14:paraId="2B769EE9">
            <w:pPr>
              <w:pStyle w:val="35"/>
              <w:keepNext w:val="0"/>
              <w:keepLines w:val="0"/>
              <w:pageBreakBefore w:val="0"/>
              <w:kinsoku/>
              <w:wordWrap w:val="0"/>
              <w:overflowPunct/>
              <w:topLinePunct/>
              <w:autoSpaceDE/>
              <w:autoSpaceDN/>
              <w:bidi w:val="0"/>
              <w:adjustRightInd w:val="0"/>
              <w:snapToGrid w:val="0"/>
              <w:spacing w:before="69"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《地下水质量标准》</w:t>
            </w:r>
            <w:r>
              <w:rPr>
                <w:rFonts w:hint="default" w:ascii="Times New Roman" w:hAnsi="Times New Roman" w:cs="Times New Roman"/>
                <w:color w:val="auto"/>
                <w:spacing w:val="-1"/>
                <w:position w:val="1"/>
                <w:highlight w:val="none"/>
              </w:rPr>
              <w:t>（</w:t>
            </w:r>
            <w:r>
              <w:rPr>
                <w:rFonts w:hint="default" w:ascii="Times New Roman" w:hAnsi="Times New Roman" w:eastAsia="Times New Roman" w:cs="Times New Roman"/>
                <w:color w:val="auto"/>
                <w:spacing w:val="-1"/>
                <w:position w:val="1"/>
                <w:highlight w:val="none"/>
              </w:rPr>
              <w:t>GB/T14848-2017</w:t>
            </w:r>
            <w:r>
              <w:rPr>
                <w:rFonts w:hint="default" w:ascii="Times New Roman" w:hAnsi="Times New Roman" w:cs="Times New Roman"/>
                <w:color w:val="auto"/>
                <w:spacing w:val="-1"/>
                <w:position w:val="1"/>
                <w:highlight w:val="none"/>
              </w:rPr>
              <w:t>）</w:t>
            </w:r>
          </w:p>
        </w:tc>
      </w:tr>
      <w:tr w14:paraId="75500CB9">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581C64CE">
            <w:pPr>
              <w:pStyle w:val="35"/>
              <w:keepNext w:val="0"/>
              <w:keepLines w:val="0"/>
              <w:pageBreakBefore w:val="0"/>
              <w:kinsoku/>
              <w:wordWrap w:val="0"/>
              <w:overflowPunct/>
              <w:topLinePunct/>
              <w:autoSpaceDE/>
              <w:autoSpaceDN/>
              <w:bidi w:val="0"/>
              <w:adjustRightInd w:val="0"/>
              <w:snapToGrid w:val="0"/>
              <w:spacing w:before="53" w:line="22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氨氮</w:t>
            </w:r>
          </w:p>
        </w:tc>
        <w:tc>
          <w:tcPr>
            <w:tcW w:w="1419" w:type="dxa"/>
            <w:tcBorders>
              <w:tl2br w:val="nil"/>
              <w:tr2bl w:val="nil"/>
            </w:tcBorders>
            <w:vAlign w:val="center"/>
          </w:tcPr>
          <w:p w14:paraId="5DDA2A65">
            <w:pPr>
              <w:keepNext w:val="0"/>
              <w:keepLines w:val="0"/>
              <w:pageBreakBefore w:val="0"/>
              <w:kinsoku/>
              <w:wordWrap w:val="0"/>
              <w:overflowPunct/>
              <w:topLinePunct/>
              <w:autoSpaceDE/>
              <w:autoSpaceDN/>
              <w:bidi w:val="0"/>
              <w:adjustRightInd w:val="0"/>
              <w:snapToGrid w:val="0"/>
              <w:spacing w:before="86" w:line="191"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178E127E">
            <w:pPr>
              <w:keepNext w:val="0"/>
              <w:keepLines w:val="0"/>
              <w:pageBreakBefore w:val="0"/>
              <w:kinsoku/>
              <w:wordWrap w:val="0"/>
              <w:overflowPunct/>
              <w:topLinePunct/>
              <w:autoSpaceDE/>
              <w:autoSpaceDN/>
              <w:bidi w:val="0"/>
              <w:adjustRightInd w:val="0"/>
              <w:snapToGrid w:val="0"/>
              <w:spacing w:before="86" w:line="218"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≤0.5</w:t>
            </w:r>
          </w:p>
        </w:tc>
        <w:tc>
          <w:tcPr>
            <w:tcW w:w="2513" w:type="dxa"/>
            <w:vMerge w:val="continue"/>
            <w:tcBorders>
              <w:tl2br w:val="nil"/>
              <w:tr2bl w:val="nil"/>
            </w:tcBorders>
            <w:vAlign w:val="center"/>
          </w:tcPr>
          <w:p w14:paraId="5EB0BD46">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0CA2A704">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33F6495F">
            <w:pPr>
              <w:pStyle w:val="35"/>
              <w:keepNext w:val="0"/>
              <w:keepLines w:val="0"/>
              <w:pageBreakBefore w:val="0"/>
              <w:kinsoku/>
              <w:wordWrap w:val="0"/>
              <w:overflowPunct/>
              <w:topLinePunct/>
              <w:autoSpaceDE/>
              <w:autoSpaceDN/>
              <w:bidi w:val="0"/>
              <w:adjustRightInd w:val="0"/>
              <w:snapToGrid w:val="0"/>
              <w:spacing w:before="54"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硝酸盐（以</w:t>
            </w:r>
            <w:r>
              <w:rPr>
                <w:rFonts w:hint="default" w:ascii="Times New Roman" w:hAnsi="Times New Roman" w:eastAsia="Times New Roman" w:cs="Times New Roman"/>
                <w:color w:val="auto"/>
                <w:spacing w:val="-1"/>
                <w:highlight w:val="none"/>
              </w:rPr>
              <w:t>N</w:t>
            </w:r>
            <w:r>
              <w:rPr>
                <w:rFonts w:hint="default" w:ascii="Times New Roman" w:hAnsi="Times New Roman" w:cs="Times New Roman"/>
                <w:color w:val="auto"/>
                <w:spacing w:val="-1"/>
                <w:highlight w:val="none"/>
              </w:rPr>
              <w:t>计）</w:t>
            </w:r>
          </w:p>
        </w:tc>
        <w:tc>
          <w:tcPr>
            <w:tcW w:w="1419" w:type="dxa"/>
            <w:tcBorders>
              <w:tl2br w:val="nil"/>
              <w:tr2bl w:val="nil"/>
            </w:tcBorders>
            <w:vAlign w:val="center"/>
          </w:tcPr>
          <w:p w14:paraId="78E0EE58">
            <w:pPr>
              <w:keepNext w:val="0"/>
              <w:keepLines w:val="0"/>
              <w:pageBreakBefore w:val="0"/>
              <w:kinsoku/>
              <w:wordWrap w:val="0"/>
              <w:overflowPunct/>
              <w:topLinePunct/>
              <w:autoSpaceDE/>
              <w:autoSpaceDN/>
              <w:bidi w:val="0"/>
              <w:adjustRightInd w:val="0"/>
              <w:snapToGrid w:val="0"/>
              <w:spacing w:before="86" w:line="191"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2CD49833">
            <w:pPr>
              <w:keepNext w:val="0"/>
              <w:keepLines w:val="0"/>
              <w:pageBreakBefore w:val="0"/>
              <w:kinsoku/>
              <w:wordWrap w:val="0"/>
              <w:overflowPunct/>
              <w:topLinePunct/>
              <w:autoSpaceDE/>
              <w:autoSpaceDN/>
              <w:bidi w:val="0"/>
              <w:adjustRightInd w:val="0"/>
              <w:snapToGrid w:val="0"/>
              <w:spacing w:before="86" w:line="218"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≤20</w:t>
            </w:r>
          </w:p>
        </w:tc>
        <w:tc>
          <w:tcPr>
            <w:tcW w:w="2513" w:type="dxa"/>
            <w:vMerge w:val="continue"/>
            <w:tcBorders>
              <w:tl2br w:val="nil"/>
              <w:tr2bl w:val="nil"/>
            </w:tcBorders>
            <w:vAlign w:val="center"/>
          </w:tcPr>
          <w:p w14:paraId="675B3C2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35367346">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4437327B">
            <w:pPr>
              <w:pStyle w:val="35"/>
              <w:keepNext w:val="0"/>
              <w:keepLines w:val="0"/>
              <w:pageBreakBefore w:val="0"/>
              <w:kinsoku/>
              <w:wordWrap w:val="0"/>
              <w:overflowPunct/>
              <w:topLinePunct/>
              <w:autoSpaceDE/>
              <w:autoSpaceDN/>
              <w:bidi w:val="0"/>
              <w:adjustRightInd w:val="0"/>
              <w:snapToGrid w:val="0"/>
              <w:spacing w:before="57" w:line="22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亚硝酸盐（以</w:t>
            </w:r>
            <w:r>
              <w:rPr>
                <w:rFonts w:hint="default" w:ascii="Times New Roman" w:hAnsi="Times New Roman" w:eastAsia="Times New Roman" w:cs="Times New Roman"/>
                <w:color w:val="auto"/>
                <w:spacing w:val="-1"/>
                <w:highlight w:val="none"/>
              </w:rPr>
              <w:t>N</w:t>
            </w:r>
            <w:r>
              <w:rPr>
                <w:rFonts w:hint="default" w:ascii="Times New Roman" w:hAnsi="Times New Roman" w:cs="Times New Roman"/>
                <w:color w:val="auto"/>
                <w:spacing w:val="-1"/>
                <w:highlight w:val="none"/>
              </w:rPr>
              <w:t>计）</w:t>
            </w:r>
          </w:p>
        </w:tc>
        <w:tc>
          <w:tcPr>
            <w:tcW w:w="1419" w:type="dxa"/>
            <w:tcBorders>
              <w:tl2br w:val="nil"/>
              <w:tr2bl w:val="nil"/>
            </w:tcBorders>
            <w:vAlign w:val="center"/>
          </w:tcPr>
          <w:p w14:paraId="75F94B41">
            <w:pPr>
              <w:keepNext w:val="0"/>
              <w:keepLines w:val="0"/>
              <w:pageBreakBefore w:val="0"/>
              <w:kinsoku/>
              <w:wordWrap w:val="0"/>
              <w:overflowPunct/>
              <w:topLinePunct/>
              <w:autoSpaceDE/>
              <w:autoSpaceDN/>
              <w:bidi w:val="0"/>
              <w:adjustRightInd w:val="0"/>
              <w:snapToGrid w:val="0"/>
              <w:spacing w:before="89" w:line="191"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55145E89">
            <w:pPr>
              <w:keepNext w:val="0"/>
              <w:keepLines w:val="0"/>
              <w:pageBreakBefore w:val="0"/>
              <w:kinsoku/>
              <w:wordWrap w:val="0"/>
              <w:overflowPunct/>
              <w:topLinePunct/>
              <w:autoSpaceDE/>
              <w:autoSpaceDN/>
              <w:bidi w:val="0"/>
              <w:adjustRightInd w:val="0"/>
              <w:snapToGrid w:val="0"/>
              <w:spacing w:before="89" w:line="217"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≤1.0</w:t>
            </w:r>
          </w:p>
        </w:tc>
        <w:tc>
          <w:tcPr>
            <w:tcW w:w="2513" w:type="dxa"/>
            <w:vMerge w:val="continue"/>
            <w:tcBorders>
              <w:tl2br w:val="nil"/>
              <w:tr2bl w:val="nil"/>
            </w:tcBorders>
            <w:vAlign w:val="center"/>
          </w:tcPr>
          <w:p w14:paraId="62C6F89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4F66C6B7">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2BEEE482">
            <w:pPr>
              <w:pStyle w:val="35"/>
              <w:keepNext w:val="0"/>
              <w:keepLines w:val="0"/>
              <w:pageBreakBefore w:val="0"/>
              <w:kinsoku/>
              <w:wordWrap w:val="0"/>
              <w:overflowPunct/>
              <w:topLinePunct/>
              <w:autoSpaceDE/>
              <w:autoSpaceDN/>
              <w:bidi w:val="0"/>
              <w:adjustRightInd w:val="0"/>
              <w:snapToGrid w:val="0"/>
              <w:spacing w:before="56" w:line="219"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挥发性酚类</w:t>
            </w:r>
          </w:p>
        </w:tc>
        <w:tc>
          <w:tcPr>
            <w:tcW w:w="1419" w:type="dxa"/>
            <w:tcBorders>
              <w:tl2br w:val="nil"/>
              <w:tr2bl w:val="nil"/>
            </w:tcBorders>
            <w:vAlign w:val="center"/>
          </w:tcPr>
          <w:p w14:paraId="3452AB6C">
            <w:pPr>
              <w:keepNext w:val="0"/>
              <w:keepLines w:val="0"/>
              <w:pageBreakBefore w:val="0"/>
              <w:kinsoku/>
              <w:wordWrap w:val="0"/>
              <w:overflowPunct/>
              <w:topLinePunct/>
              <w:autoSpaceDE/>
              <w:autoSpaceDN/>
              <w:bidi w:val="0"/>
              <w:adjustRightInd w:val="0"/>
              <w:snapToGrid w:val="0"/>
              <w:spacing w:before="88" w:line="191"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1473E933">
            <w:pPr>
              <w:keepNext w:val="0"/>
              <w:keepLines w:val="0"/>
              <w:pageBreakBefore w:val="0"/>
              <w:kinsoku/>
              <w:wordWrap w:val="0"/>
              <w:overflowPunct/>
              <w:topLinePunct/>
              <w:autoSpaceDE/>
              <w:autoSpaceDN/>
              <w:bidi w:val="0"/>
              <w:adjustRightInd w:val="0"/>
              <w:snapToGrid w:val="0"/>
              <w:spacing w:before="88" w:line="216"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≤0.002</w:t>
            </w:r>
          </w:p>
        </w:tc>
        <w:tc>
          <w:tcPr>
            <w:tcW w:w="2513" w:type="dxa"/>
            <w:vMerge w:val="continue"/>
            <w:tcBorders>
              <w:tl2br w:val="nil"/>
              <w:tr2bl w:val="nil"/>
            </w:tcBorders>
            <w:vAlign w:val="center"/>
          </w:tcPr>
          <w:p w14:paraId="25DE151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1FF7D85E">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1B20E21E">
            <w:pPr>
              <w:pStyle w:val="35"/>
              <w:keepNext w:val="0"/>
              <w:keepLines w:val="0"/>
              <w:pageBreakBefore w:val="0"/>
              <w:kinsoku/>
              <w:wordWrap w:val="0"/>
              <w:overflowPunct/>
              <w:topLinePunct/>
              <w:autoSpaceDE/>
              <w:autoSpaceDN/>
              <w:bidi w:val="0"/>
              <w:adjustRightInd w:val="0"/>
              <w:snapToGrid w:val="0"/>
              <w:spacing w:before="56" w:line="219"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氰化物</w:t>
            </w:r>
          </w:p>
        </w:tc>
        <w:tc>
          <w:tcPr>
            <w:tcW w:w="1419" w:type="dxa"/>
            <w:tcBorders>
              <w:tl2br w:val="nil"/>
              <w:tr2bl w:val="nil"/>
            </w:tcBorders>
            <w:vAlign w:val="center"/>
          </w:tcPr>
          <w:p w14:paraId="4B6EE7AC">
            <w:pPr>
              <w:keepNext w:val="0"/>
              <w:keepLines w:val="0"/>
              <w:pageBreakBefore w:val="0"/>
              <w:kinsoku/>
              <w:wordWrap w:val="0"/>
              <w:overflowPunct/>
              <w:topLinePunct/>
              <w:autoSpaceDE/>
              <w:autoSpaceDN/>
              <w:bidi w:val="0"/>
              <w:adjustRightInd w:val="0"/>
              <w:snapToGrid w:val="0"/>
              <w:spacing w:before="89" w:line="191"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5FC3D633">
            <w:pPr>
              <w:keepNext w:val="0"/>
              <w:keepLines w:val="0"/>
              <w:pageBreakBefore w:val="0"/>
              <w:kinsoku/>
              <w:wordWrap w:val="0"/>
              <w:overflowPunct/>
              <w:topLinePunct/>
              <w:autoSpaceDE/>
              <w:autoSpaceDN/>
              <w:bidi w:val="0"/>
              <w:adjustRightInd w:val="0"/>
              <w:snapToGrid w:val="0"/>
              <w:spacing w:before="89" w:line="215"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≤0.05</w:t>
            </w:r>
          </w:p>
        </w:tc>
        <w:tc>
          <w:tcPr>
            <w:tcW w:w="2513" w:type="dxa"/>
            <w:vMerge w:val="continue"/>
            <w:tcBorders>
              <w:tl2br w:val="nil"/>
              <w:tr2bl w:val="nil"/>
            </w:tcBorders>
            <w:vAlign w:val="center"/>
          </w:tcPr>
          <w:p w14:paraId="27858E75">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6586FC44">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599AE16C">
            <w:pPr>
              <w:pStyle w:val="35"/>
              <w:keepNext w:val="0"/>
              <w:keepLines w:val="0"/>
              <w:pageBreakBefore w:val="0"/>
              <w:kinsoku/>
              <w:wordWrap w:val="0"/>
              <w:overflowPunct/>
              <w:topLinePunct/>
              <w:autoSpaceDE/>
              <w:autoSpaceDN/>
              <w:bidi w:val="0"/>
              <w:adjustRightInd w:val="0"/>
              <w:snapToGrid w:val="0"/>
              <w:spacing w:before="58" w:line="218"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砷</w:t>
            </w:r>
          </w:p>
        </w:tc>
        <w:tc>
          <w:tcPr>
            <w:tcW w:w="1419" w:type="dxa"/>
            <w:tcBorders>
              <w:tl2br w:val="nil"/>
              <w:tr2bl w:val="nil"/>
            </w:tcBorders>
            <w:vAlign w:val="center"/>
          </w:tcPr>
          <w:p w14:paraId="631782ED">
            <w:pPr>
              <w:keepNext w:val="0"/>
              <w:keepLines w:val="0"/>
              <w:pageBreakBefore w:val="0"/>
              <w:kinsoku/>
              <w:wordWrap w:val="0"/>
              <w:overflowPunct/>
              <w:topLinePunct/>
              <w:autoSpaceDE/>
              <w:autoSpaceDN/>
              <w:bidi w:val="0"/>
              <w:adjustRightInd w:val="0"/>
              <w:snapToGrid w:val="0"/>
              <w:spacing w:before="90" w:line="191"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640D4759">
            <w:pPr>
              <w:keepNext w:val="0"/>
              <w:keepLines w:val="0"/>
              <w:pageBreakBefore w:val="0"/>
              <w:kinsoku/>
              <w:wordWrap w:val="0"/>
              <w:overflowPunct/>
              <w:topLinePunct/>
              <w:autoSpaceDE/>
              <w:autoSpaceDN/>
              <w:bidi w:val="0"/>
              <w:adjustRightInd w:val="0"/>
              <w:snapToGrid w:val="0"/>
              <w:spacing w:before="90" w:line="214"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≤0.01</w:t>
            </w:r>
          </w:p>
        </w:tc>
        <w:tc>
          <w:tcPr>
            <w:tcW w:w="2513" w:type="dxa"/>
            <w:vMerge w:val="continue"/>
            <w:tcBorders>
              <w:tl2br w:val="nil"/>
              <w:tr2bl w:val="nil"/>
            </w:tcBorders>
            <w:vAlign w:val="center"/>
          </w:tcPr>
          <w:p w14:paraId="59208D50">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75A9EFEB">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519C7EEA">
            <w:pPr>
              <w:pStyle w:val="35"/>
              <w:keepNext w:val="0"/>
              <w:keepLines w:val="0"/>
              <w:pageBreakBefore w:val="0"/>
              <w:kinsoku/>
              <w:wordWrap w:val="0"/>
              <w:overflowPunct/>
              <w:topLinePunct/>
              <w:autoSpaceDE/>
              <w:autoSpaceDN/>
              <w:bidi w:val="0"/>
              <w:adjustRightInd w:val="0"/>
              <w:snapToGrid w:val="0"/>
              <w:spacing w:before="58" w:line="217"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汞</w:t>
            </w:r>
          </w:p>
        </w:tc>
        <w:tc>
          <w:tcPr>
            <w:tcW w:w="1419" w:type="dxa"/>
            <w:tcBorders>
              <w:tl2br w:val="nil"/>
              <w:tr2bl w:val="nil"/>
            </w:tcBorders>
            <w:vAlign w:val="center"/>
          </w:tcPr>
          <w:p w14:paraId="55EF232F">
            <w:pPr>
              <w:keepNext w:val="0"/>
              <w:keepLines w:val="0"/>
              <w:pageBreakBefore w:val="0"/>
              <w:kinsoku/>
              <w:wordWrap w:val="0"/>
              <w:overflowPunct/>
              <w:topLinePunct/>
              <w:autoSpaceDE/>
              <w:autoSpaceDN/>
              <w:bidi w:val="0"/>
              <w:adjustRightInd w:val="0"/>
              <w:snapToGrid w:val="0"/>
              <w:spacing w:before="90"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30A1BD20">
            <w:pPr>
              <w:keepNext w:val="0"/>
              <w:keepLines w:val="0"/>
              <w:pageBreakBefore w:val="0"/>
              <w:kinsoku/>
              <w:wordWrap w:val="0"/>
              <w:overflowPunct/>
              <w:topLinePunct/>
              <w:autoSpaceDE/>
              <w:autoSpaceDN/>
              <w:bidi w:val="0"/>
              <w:adjustRightInd w:val="0"/>
              <w:snapToGrid w:val="0"/>
              <w:spacing w:before="90" w:line="213" w:lineRule="auto"/>
              <w:ind w:left="911"/>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≤0.001</w:t>
            </w:r>
          </w:p>
        </w:tc>
        <w:tc>
          <w:tcPr>
            <w:tcW w:w="2513" w:type="dxa"/>
            <w:vMerge w:val="continue"/>
            <w:tcBorders>
              <w:tl2br w:val="nil"/>
              <w:tr2bl w:val="nil"/>
            </w:tcBorders>
            <w:vAlign w:val="center"/>
          </w:tcPr>
          <w:p w14:paraId="742CD6C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6682605D">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405D6768">
            <w:pPr>
              <w:pStyle w:val="35"/>
              <w:keepNext w:val="0"/>
              <w:keepLines w:val="0"/>
              <w:pageBreakBefore w:val="0"/>
              <w:kinsoku/>
              <w:wordWrap w:val="0"/>
              <w:overflowPunct/>
              <w:topLinePunct/>
              <w:autoSpaceDE/>
              <w:autoSpaceDN/>
              <w:bidi w:val="0"/>
              <w:adjustRightInd w:val="0"/>
              <w:snapToGrid w:val="0"/>
              <w:spacing w:before="60" w:line="216"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铬（六价）</w:t>
            </w:r>
          </w:p>
        </w:tc>
        <w:tc>
          <w:tcPr>
            <w:tcW w:w="1419" w:type="dxa"/>
            <w:tcBorders>
              <w:tl2br w:val="nil"/>
              <w:tr2bl w:val="nil"/>
            </w:tcBorders>
            <w:vAlign w:val="center"/>
          </w:tcPr>
          <w:p w14:paraId="06865BF8">
            <w:pPr>
              <w:keepNext w:val="0"/>
              <w:keepLines w:val="0"/>
              <w:pageBreakBefore w:val="0"/>
              <w:kinsoku/>
              <w:wordWrap w:val="0"/>
              <w:overflowPunct/>
              <w:topLinePunct/>
              <w:autoSpaceDE/>
              <w:autoSpaceDN/>
              <w:bidi w:val="0"/>
              <w:adjustRightInd w:val="0"/>
              <w:snapToGrid w:val="0"/>
              <w:spacing w:before="92"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6785AFBF">
            <w:pPr>
              <w:keepNext w:val="0"/>
              <w:keepLines w:val="0"/>
              <w:pageBreakBefore w:val="0"/>
              <w:kinsoku/>
              <w:wordWrap w:val="0"/>
              <w:overflowPunct/>
              <w:topLinePunct/>
              <w:autoSpaceDE/>
              <w:autoSpaceDN/>
              <w:bidi w:val="0"/>
              <w:adjustRightInd w:val="0"/>
              <w:snapToGrid w:val="0"/>
              <w:spacing w:before="92" w:line="212" w:lineRule="auto"/>
              <w:ind w:left="964"/>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≤0.05</w:t>
            </w:r>
          </w:p>
        </w:tc>
        <w:tc>
          <w:tcPr>
            <w:tcW w:w="2513" w:type="dxa"/>
            <w:vMerge w:val="continue"/>
            <w:tcBorders>
              <w:tl2br w:val="nil"/>
              <w:tr2bl w:val="nil"/>
            </w:tcBorders>
            <w:vAlign w:val="center"/>
          </w:tcPr>
          <w:p w14:paraId="0928B5D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3ADB3A3B">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59A84F5A">
            <w:pPr>
              <w:pStyle w:val="35"/>
              <w:keepNext w:val="0"/>
              <w:keepLines w:val="0"/>
              <w:pageBreakBefore w:val="0"/>
              <w:kinsoku/>
              <w:wordWrap w:val="0"/>
              <w:overflowPunct/>
              <w:topLinePunct/>
              <w:autoSpaceDE/>
              <w:autoSpaceDN/>
              <w:bidi w:val="0"/>
              <w:adjustRightInd w:val="0"/>
              <w:snapToGrid w:val="0"/>
              <w:spacing w:before="62" w:line="216"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总硬度</w:t>
            </w:r>
          </w:p>
        </w:tc>
        <w:tc>
          <w:tcPr>
            <w:tcW w:w="1419" w:type="dxa"/>
            <w:tcBorders>
              <w:tl2br w:val="nil"/>
              <w:tr2bl w:val="nil"/>
            </w:tcBorders>
            <w:vAlign w:val="center"/>
          </w:tcPr>
          <w:p w14:paraId="07D8345D">
            <w:pPr>
              <w:keepNext w:val="0"/>
              <w:keepLines w:val="0"/>
              <w:pageBreakBefore w:val="0"/>
              <w:kinsoku/>
              <w:wordWrap w:val="0"/>
              <w:overflowPunct/>
              <w:topLinePunct/>
              <w:autoSpaceDE/>
              <w:autoSpaceDN/>
              <w:bidi w:val="0"/>
              <w:adjustRightInd w:val="0"/>
              <w:snapToGrid w:val="0"/>
              <w:spacing w:before="95"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788C406E">
            <w:pPr>
              <w:keepNext w:val="0"/>
              <w:keepLines w:val="0"/>
              <w:pageBreakBefore w:val="0"/>
              <w:kinsoku/>
              <w:wordWrap w:val="0"/>
              <w:overflowPunct/>
              <w:topLinePunct/>
              <w:autoSpaceDE/>
              <w:autoSpaceDN/>
              <w:bidi w:val="0"/>
              <w:adjustRightInd w:val="0"/>
              <w:snapToGrid w:val="0"/>
              <w:spacing w:before="95" w:line="211" w:lineRule="auto"/>
              <w:ind w:left="990"/>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≤450</w:t>
            </w:r>
          </w:p>
        </w:tc>
        <w:tc>
          <w:tcPr>
            <w:tcW w:w="2513" w:type="dxa"/>
            <w:vMerge w:val="continue"/>
            <w:tcBorders>
              <w:tl2br w:val="nil"/>
              <w:tr2bl w:val="nil"/>
            </w:tcBorders>
            <w:vAlign w:val="center"/>
          </w:tcPr>
          <w:p w14:paraId="3909742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24CE851E">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4C668A65">
            <w:pPr>
              <w:pStyle w:val="35"/>
              <w:keepNext w:val="0"/>
              <w:keepLines w:val="0"/>
              <w:pageBreakBefore w:val="0"/>
              <w:kinsoku/>
              <w:wordWrap w:val="0"/>
              <w:overflowPunct/>
              <w:topLinePunct/>
              <w:autoSpaceDE/>
              <w:autoSpaceDN/>
              <w:bidi w:val="0"/>
              <w:adjustRightInd w:val="0"/>
              <w:snapToGrid w:val="0"/>
              <w:spacing w:before="61" w:line="215"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铅</w:t>
            </w:r>
          </w:p>
        </w:tc>
        <w:tc>
          <w:tcPr>
            <w:tcW w:w="1419" w:type="dxa"/>
            <w:tcBorders>
              <w:tl2br w:val="nil"/>
              <w:tr2bl w:val="nil"/>
            </w:tcBorders>
            <w:vAlign w:val="center"/>
          </w:tcPr>
          <w:p w14:paraId="18B3FBBF">
            <w:pPr>
              <w:keepNext w:val="0"/>
              <w:keepLines w:val="0"/>
              <w:pageBreakBefore w:val="0"/>
              <w:kinsoku/>
              <w:wordWrap w:val="0"/>
              <w:overflowPunct/>
              <w:topLinePunct/>
              <w:autoSpaceDE/>
              <w:autoSpaceDN/>
              <w:bidi w:val="0"/>
              <w:adjustRightInd w:val="0"/>
              <w:snapToGrid w:val="0"/>
              <w:spacing w:before="93"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2C4F92B4">
            <w:pPr>
              <w:keepNext w:val="0"/>
              <w:keepLines w:val="0"/>
              <w:pageBreakBefore w:val="0"/>
              <w:kinsoku/>
              <w:wordWrap w:val="0"/>
              <w:overflowPunct/>
              <w:topLinePunct/>
              <w:autoSpaceDE/>
              <w:autoSpaceDN/>
              <w:bidi w:val="0"/>
              <w:adjustRightInd w:val="0"/>
              <w:snapToGrid w:val="0"/>
              <w:spacing w:before="93" w:line="211" w:lineRule="auto"/>
              <w:ind w:left="964"/>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≤0.01</w:t>
            </w:r>
          </w:p>
        </w:tc>
        <w:tc>
          <w:tcPr>
            <w:tcW w:w="2513" w:type="dxa"/>
            <w:vMerge w:val="continue"/>
            <w:tcBorders>
              <w:tl2br w:val="nil"/>
              <w:tr2bl w:val="nil"/>
            </w:tcBorders>
            <w:vAlign w:val="center"/>
          </w:tcPr>
          <w:p w14:paraId="77C7414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2C1809EE">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3DEE2AB5">
            <w:pPr>
              <w:pStyle w:val="35"/>
              <w:keepNext w:val="0"/>
              <w:keepLines w:val="0"/>
              <w:pageBreakBefore w:val="0"/>
              <w:kinsoku/>
              <w:wordWrap w:val="0"/>
              <w:overflowPunct/>
              <w:topLinePunct/>
              <w:autoSpaceDE/>
              <w:autoSpaceDN/>
              <w:bidi w:val="0"/>
              <w:adjustRightInd w:val="0"/>
              <w:snapToGrid w:val="0"/>
              <w:spacing w:before="61" w:line="214"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镉</w:t>
            </w:r>
          </w:p>
        </w:tc>
        <w:tc>
          <w:tcPr>
            <w:tcW w:w="1419" w:type="dxa"/>
            <w:tcBorders>
              <w:tl2br w:val="nil"/>
              <w:tr2bl w:val="nil"/>
            </w:tcBorders>
            <w:vAlign w:val="center"/>
          </w:tcPr>
          <w:p w14:paraId="2E4903FD">
            <w:pPr>
              <w:keepNext w:val="0"/>
              <w:keepLines w:val="0"/>
              <w:pageBreakBefore w:val="0"/>
              <w:kinsoku/>
              <w:wordWrap w:val="0"/>
              <w:overflowPunct/>
              <w:topLinePunct/>
              <w:autoSpaceDE/>
              <w:autoSpaceDN/>
              <w:bidi w:val="0"/>
              <w:adjustRightInd w:val="0"/>
              <w:snapToGrid w:val="0"/>
              <w:spacing w:before="94"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585D29E6">
            <w:pPr>
              <w:keepNext w:val="0"/>
              <w:keepLines w:val="0"/>
              <w:pageBreakBefore w:val="0"/>
              <w:kinsoku/>
              <w:wordWrap w:val="0"/>
              <w:overflowPunct/>
              <w:topLinePunct/>
              <w:autoSpaceDE/>
              <w:autoSpaceDN/>
              <w:bidi w:val="0"/>
              <w:adjustRightInd w:val="0"/>
              <w:snapToGrid w:val="0"/>
              <w:spacing w:before="94" w:line="209" w:lineRule="auto"/>
              <w:ind w:left="911"/>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≤0.005</w:t>
            </w:r>
          </w:p>
        </w:tc>
        <w:tc>
          <w:tcPr>
            <w:tcW w:w="2513" w:type="dxa"/>
            <w:vMerge w:val="continue"/>
            <w:tcBorders>
              <w:tl2br w:val="nil"/>
              <w:tr2bl w:val="nil"/>
            </w:tcBorders>
            <w:vAlign w:val="center"/>
          </w:tcPr>
          <w:p w14:paraId="1BB82BA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607087CF">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PrEx>
        <w:trPr>
          <w:trHeight w:val="23" w:hRule="atLeast"/>
          <w:jc w:val="center"/>
        </w:trPr>
        <w:tc>
          <w:tcPr>
            <w:tcW w:w="1875" w:type="dxa"/>
            <w:tcBorders>
              <w:tl2br w:val="nil"/>
              <w:tr2bl w:val="nil"/>
            </w:tcBorders>
            <w:vAlign w:val="center"/>
          </w:tcPr>
          <w:p w14:paraId="43F1B223">
            <w:pPr>
              <w:pStyle w:val="35"/>
              <w:keepNext w:val="0"/>
              <w:keepLines w:val="0"/>
              <w:pageBreakBefore w:val="0"/>
              <w:kinsoku/>
              <w:wordWrap w:val="0"/>
              <w:overflowPunct/>
              <w:topLinePunct/>
              <w:autoSpaceDE/>
              <w:autoSpaceDN/>
              <w:bidi w:val="0"/>
              <w:adjustRightInd w:val="0"/>
              <w:snapToGrid w:val="0"/>
              <w:spacing w:before="63" w:line="213"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铁</w:t>
            </w:r>
          </w:p>
        </w:tc>
        <w:tc>
          <w:tcPr>
            <w:tcW w:w="1419" w:type="dxa"/>
            <w:tcBorders>
              <w:tl2br w:val="nil"/>
              <w:tr2bl w:val="nil"/>
            </w:tcBorders>
            <w:vAlign w:val="center"/>
          </w:tcPr>
          <w:p w14:paraId="4313217B">
            <w:pPr>
              <w:keepNext w:val="0"/>
              <w:keepLines w:val="0"/>
              <w:pageBreakBefore w:val="0"/>
              <w:kinsoku/>
              <w:wordWrap w:val="0"/>
              <w:overflowPunct/>
              <w:topLinePunct/>
              <w:autoSpaceDE/>
              <w:autoSpaceDN/>
              <w:bidi w:val="0"/>
              <w:adjustRightInd w:val="0"/>
              <w:snapToGrid w:val="0"/>
              <w:spacing w:before="96"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13ECC320">
            <w:pPr>
              <w:keepNext w:val="0"/>
              <w:keepLines w:val="0"/>
              <w:pageBreakBefore w:val="0"/>
              <w:kinsoku/>
              <w:wordWrap w:val="0"/>
              <w:overflowPunct/>
              <w:topLinePunct/>
              <w:autoSpaceDE/>
              <w:autoSpaceDN/>
              <w:bidi w:val="0"/>
              <w:adjustRightInd w:val="0"/>
              <w:snapToGrid w:val="0"/>
              <w:spacing w:before="96" w:line="208" w:lineRule="auto"/>
              <w:ind w:left="1017"/>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≤0.3</w:t>
            </w:r>
          </w:p>
        </w:tc>
        <w:tc>
          <w:tcPr>
            <w:tcW w:w="2513" w:type="dxa"/>
            <w:vMerge w:val="continue"/>
            <w:tcBorders>
              <w:tl2br w:val="nil"/>
              <w:tr2bl w:val="nil"/>
            </w:tcBorders>
            <w:vAlign w:val="center"/>
          </w:tcPr>
          <w:p w14:paraId="5145DD35">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284251F9">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76B738D0">
            <w:pPr>
              <w:pStyle w:val="35"/>
              <w:keepNext w:val="0"/>
              <w:keepLines w:val="0"/>
              <w:pageBreakBefore w:val="0"/>
              <w:kinsoku/>
              <w:wordWrap w:val="0"/>
              <w:overflowPunct/>
              <w:topLinePunct/>
              <w:autoSpaceDE/>
              <w:autoSpaceDN/>
              <w:bidi w:val="0"/>
              <w:adjustRightInd w:val="0"/>
              <w:snapToGrid w:val="0"/>
              <w:spacing w:before="63" w:line="213"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锰</w:t>
            </w:r>
          </w:p>
        </w:tc>
        <w:tc>
          <w:tcPr>
            <w:tcW w:w="1419" w:type="dxa"/>
            <w:tcBorders>
              <w:tl2br w:val="nil"/>
              <w:tr2bl w:val="nil"/>
            </w:tcBorders>
            <w:vAlign w:val="center"/>
          </w:tcPr>
          <w:p w14:paraId="5B398CCD">
            <w:pPr>
              <w:keepNext w:val="0"/>
              <w:keepLines w:val="0"/>
              <w:pageBreakBefore w:val="0"/>
              <w:kinsoku/>
              <w:wordWrap w:val="0"/>
              <w:overflowPunct/>
              <w:topLinePunct/>
              <w:autoSpaceDE/>
              <w:autoSpaceDN/>
              <w:bidi w:val="0"/>
              <w:adjustRightInd w:val="0"/>
              <w:snapToGrid w:val="0"/>
              <w:spacing w:before="96"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0CD513C0">
            <w:pPr>
              <w:keepNext w:val="0"/>
              <w:keepLines w:val="0"/>
              <w:pageBreakBefore w:val="0"/>
              <w:kinsoku/>
              <w:wordWrap w:val="0"/>
              <w:overflowPunct/>
              <w:topLinePunct/>
              <w:autoSpaceDE/>
              <w:autoSpaceDN/>
              <w:bidi w:val="0"/>
              <w:adjustRightInd w:val="0"/>
              <w:snapToGrid w:val="0"/>
              <w:spacing w:before="96" w:line="208" w:lineRule="auto"/>
              <w:ind w:left="1017"/>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≤0.1</w:t>
            </w:r>
          </w:p>
        </w:tc>
        <w:tc>
          <w:tcPr>
            <w:tcW w:w="2513" w:type="dxa"/>
            <w:vMerge w:val="continue"/>
            <w:tcBorders>
              <w:tl2br w:val="nil"/>
              <w:tr2bl w:val="nil"/>
            </w:tcBorders>
            <w:vAlign w:val="center"/>
          </w:tcPr>
          <w:p w14:paraId="6386AE30">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7EA73985">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2FA65BF6">
            <w:pPr>
              <w:pStyle w:val="35"/>
              <w:keepNext w:val="0"/>
              <w:keepLines w:val="0"/>
              <w:pageBreakBefore w:val="0"/>
              <w:kinsoku/>
              <w:wordWrap w:val="0"/>
              <w:overflowPunct/>
              <w:topLinePunct/>
              <w:autoSpaceDE/>
              <w:autoSpaceDN/>
              <w:bidi w:val="0"/>
              <w:adjustRightInd w:val="0"/>
              <w:snapToGrid w:val="0"/>
              <w:spacing w:before="64" w:line="21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氟化物</w:t>
            </w:r>
          </w:p>
        </w:tc>
        <w:tc>
          <w:tcPr>
            <w:tcW w:w="1419" w:type="dxa"/>
            <w:tcBorders>
              <w:tl2br w:val="nil"/>
              <w:tr2bl w:val="nil"/>
            </w:tcBorders>
            <w:vAlign w:val="center"/>
          </w:tcPr>
          <w:p w14:paraId="67E05B41">
            <w:pPr>
              <w:keepNext w:val="0"/>
              <w:keepLines w:val="0"/>
              <w:pageBreakBefore w:val="0"/>
              <w:kinsoku/>
              <w:wordWrap w:val="0"/>
              <w:overflowPunct/>
              <w:topLinePunct/>
              <w:autoSpaceDE/>
              <w:autoSpaceDN/>
              <w:bidi w:val="0"/>
              <w:adjustRightInd w:val="0"/>
              <w:snapToGrid w:val="0"/>
              <w:spacing w:before="97"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0FD9B105">
            <w:pPr>
              <w:keepNext w:val="0"/>
              <w:keepLines w:val="0"/>
              <w:pageBreakBefore w:val="0"/>
              <w:kinsoku/>
              <w:wordWrap w:val="0"/>
              <w:overflowPunct/>
              <w:topLinePunct/>
              <w:autoSpaceDE/>
              <w:autoSpaceDN/>
              <w:bidi w:val="0"/>
              <w:adjustRightInd w:val="0"/>
              <w:snapToGrid w:val="0"/>
              <w:spacing w:before="97" w:line="206" w:lineRule="auto"/>
              <w:ind w:left="1017"/>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≤1.0</w:t>
            </w:r>
          </w:p>
        </w:tc>
        <w:tc>
          <w:tcPr>
            <w:tcW w:w="2513" w:type="dxa"/>
            <w:vMerge w:val="continue"/>
            <w:tcBorders>
              <w:tl2br w:val="nil"/>
              <w:tr2bl w:val="nil"/>
            </w:tcBorders>
            <w:vAlign w:val="center"/>
          </w:tcPr>
          <w:p w14:paraId="470FE69E">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0C514472">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6356EBDD">
            <w:pPr>
              <w:pStyle w:val="35"/>
              <w:keepNext w:val="0"/>
              <w:keepLines w:val="0"/>
              <w:pageBreakBefore w:val="0"/>
              <w:kinsoku/>
              <w:wordWrap w:val="0"/>
              <w:overflowPunct/>
              <w:topLinePunct/>
              <w:autoSpaceDE/>
              <w:autoSpaceDN/>
              <w:bidi w:val="0"/>
              <w:adjustRightInd w:val="0"/>
              <w:snapToGrid w:val="0"/>
              <w:spacing w:before="69" w:line="21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溶解性总固体</w:t>
            </w:r>
          </w:p>
        </w:tc>
        <w:tc>
          <w:tcPr>
            <w:tcW w:w="1419" w:type="dxa"/>
            <w:tcBorders>
              <w:tl2br w:val="nil"/>
              <w:tr2bl w:val="nil"/>
            </w:tcBorders>
            <w:vAlign w:val="center"/>
          </w:tcPr>
          <w:p w14:paraId="5AFF9C43">
            <w:pPr>
              <w:keepNext w:val="0"/>
              <w:keepLines w:val="0"/>
              <w:pageBreakBefore w:val="0"/>
              <w:kinsoku/>
              <w:wordWrap w:val="0"/>
              <w:overflowPunct/>
              <w:topLinePunct/>
              <w:autoSpaceDE/>
              <w:autoSpaceDN/>
              <w:bidi w:val="0"/>
              <w:adjustRightInd w:val="0"/>
              <w:snapToGrid w:val="0"/>
              <w:spacing w:before="101"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5D14250B">
            <w:pPr>
              <w:keepNext w:val="0"/>
              <w:keepLines w:val="0"/>
              <w:pageBreakBefore w:val="0"/>
              <w:kinsoku/>
              <w:wordWrap w:val="0"/>
              <w:overflowPunct/>
              <w:topLinePunct/>
              <w:autoSpaceDE/>
              <w:autoSpaceDN/>
              <w:bidi w:val="0"/>
              <w:adjustRightInd w:val="0"/>
              <w:snapToGrid w:val="0"/>
              <w:spacing w:before="101" w:line="205" w:lineRule="auto"/>
              <w:ind w:left="937"/>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≤1000</w:t>
            </w:r>
          </w:p>
        </w:tc>
        <w:tc>
          <w:tcPr>
            <w:tcW w:w="2513" w:type="dxa"/>
            <w:vMerge w:val="continue"/>
            <w:tcBorders>
              <w:tl2br w:val="nil"/>
              <w:tr2bl w:val="nil"/>
            </w:tcBorders>
            <w:vAlign w:val="center"/>
          </w:tcPr>
          <w:p w14:paraId="288E6F24">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6B59A52D">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27CCBEEA">
            <w:pPr>
              <w:pStyle w:val="35"/>
              <w:keepNext w:val="0"/>
              <w:keepLines w:val="0"/>
              <w:pageBreakBefore w:val="0"/>
              <w:kinsoku/>
              <w:wordWrap w:val="0"/>
              <w:overflowPunct/>
              <w:topLinePunct/>
              <w:autoSpaceDE/>
              <w:autoSpaceDN/>
              <w:bidi w:val="0"/>
              <w:adjustRightInd w:val="0"/>
              <w:snapToGrid w:val="0"/>
              <w:spacing w:before="67" w:line="205" w:lineRule="auto"/>
              <w:jc w:val="center"/>
              <w:textAlignment w:val="baseline"/>
              <w:rPr>
                <w:rFonts w:hint="default" w:ascii="Times New Roman" w:hAnsi="Times New Roman" w:eastAsia="宋体" w:cs="Times New Roman"/>
                <w:color w:val="auto"/>
                <w:highlight w:val="none"/>
                <w:lang w:eastAsia="zh-CN"/>
              </w:rPr>
            </w:pPr>
            <w:r>
              <w:rPr>
                <w:rFonts w:hint="default" w:ascii="Times New Roman" w:hAnsi="Times New Roman" w:eastAsia="Times New Roman" w:cs="Times New Roman"/>
                <w:color w:val="FF0000"/>
                <w:spacing w:val="-3"/>
                <w:highlight w:val="none"/>
              </w:rPr>
              <w:t>COD</w:t>
            </w:r>
            <w:r>
              <w:rPr>
                <w:rFonts w:hint="default" w:ascii="Times New Roman" w:hAnsi="Times New Roman" w:eastAsia="宋体" w:cs="Times New Roman"/>
                <w:color w:val="FF0000"/>
                <w:spacing w:val="-3"/>
                <w:position w:val="-2"/>
                <w:sz w:val="13"/>
                <w:szCs w:val="13"/>
                <w:highlight w:val="none"/>
                <w:lang w:eastAsia="zh-CN"/>
              </w:rPr>
              <w:t>（</w:t>
            </w:r>
            <w:r>
              <w:rPr>
                <w:rFonts w:hint="default" w:ascii="Times New Roman" w:hAnsi="Times New Roman" w:eastAsia="宋体" w:cs="Times New Roman"/>
                <w:color w:val="FF0000"/>
                <w:spacing w:val="-3"/>
                <w:position w:val="-2"/>
                <w:sz w:val="13"/>
                <w:szCs w:val="13"/>
                <w:highlight w:val="none"/>
                <w:lang w:val="en-US" w:eastAsia="zh-CN"/>
              </w:rPr>
              <w:t>Mn</w:t>
            </w:r>
            <w:r>
              <w:rPr>
                <w:rFonts w:hint="default" w:ascii="Times New Roman" w:hAnsi="Times New Roman" w:eastAsia="宋体" w:cs="Times New Roman"/>
                <w:color w:val="FF0000"/>
                <w:spacing w:val="-3"/>
                <w:position w:val="-2"/>
                <w:sz w:val="13"/>
                <w:szCs w:val="13"/>
                <w:highlight w:val="none"/>
                <w:lang w:eastAsia="zh-CN"/>
              </w:rPr>
              <w:t>）</w:t>
            </w:r>
          </w:p>
        </w:tc>
        <w:tc>
          <w:tcPr>
            <w:tcW w:w="1419" w:type="dxa"/>
            <w:tcBorders>
              <w:tl2br w:val="nil"/>
              <w:tr2bl w:val="nil"/>
            </w:tcBorders>
            <w:vAlign w:val="center"/>
          </w:tcPr>
          <w:p w14:paraId="61AA7216">
            <w:pPr>
              <w:keepNext w:val="0"/>
              <w:keepLines w:val="0"/>
              <w:pageBreakBefore w:val="0"/>
              <w:kinsoku/>
              <w:wordWrap w:val="0"/>
              <w:overflowPunct/>
              <w:topLinePunct/>
              <w:autoSpaceDE/>
              <w:autoSpaceDN/>
              <w:bidi w:val="0"/>
              <w:adjustRightInd w:val="0"/>
              <w:snapToGrid w:val="0"/>
              <w:spacing w:before="100"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5F177646">
            <w:pPr>
              <w:keepNext w:val="0"/>
              <w:keepLines w:val="0"/>
              <w:pageBreakBefore w:val="0"/>
              <w:kinsoku/>
              <w:wordWrap w:val="0"/>
              <w:overflowPunct/>
              <w:topLinePunct/>
              <w:autoSpaceDE/>
              <w:autoSpaceDN/>
              <w:bidi w:val="0"/>
              <w:adjustRightInd w:val="0"/>
              <w:snapToGrid w:val="0"/>
              <w:spacing w:before="100" w:line="203" w:lineRule="auto"/>
              <w:ind w:left="1017"/>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≤3.0</w:t>
            </w:r>
          </w:p>
        </w:tc>
        <w:tc>
          <w:tcPr>
            <w:tcW w:w="2513" w:type="dxa"/>
            <w:vMerge w:val="continue"/>
            <w:tcBorders>
              <w:tl2br w:val="nil"/>
              <w:tr2bl w:val="nil"/>
            </w:tcBorders>
            <w:vAlign w:val="center"/>
          </w:tcPr>
          <w:p w14:paraId="145903D0">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3BB08AE2">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319F1EC8">
            <w:pPr>
              <w:pStyle w:val="35"/>
              <w:keepNext w:val="0"/>
              <w:keepLines w:val="0"/>
              <w:pageBreakBefore w:val="0"/>
              <w:kinsoku/>
              <w:wordWrap w:val="0"/>
              <w:overflowPunct/>
              <w:topLinePunct/>
              <w:autoSpaceDE/>
              <w:autoSpaceDN/>
              <w:bidi w:val="0"/>
              <w:adjustRightInd w:val="0"/>
              <w:snapToGrid w:val="0"/>
              <w:spacing w:before="69" w:line="208"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硫酸盐</w:t>
            </w:r>
          </w:p>
        </w:tc>
        <w:tc>
          <w:tcPr>
            <w:tcW w:w="1419" w:type="dxa"/>
            <w:tcBorders>
              <w:tl2br w:val="nil"/>
              <w:tr2bl w:val="nil"/>
            </w:tcBorders>
            <w:vAlign w:val="center"/>
          </w:tcPr>
          <w:p w14:paraId="768D3CF3">
            <w:pPr>
              <w:keepNext w:val="0"/>
              <w:keepLines w:val="0"/>
              <w:pageBreakBefore w:val="0"/>
              <w:kinsoku/>
              <w:wordWrap w:val="0"/>
              <w:overflowPunct/>
              <w:topLinePunct/>
              <w:autoSpaceDE/>
              <w:autoSpaceDN/>
              <w:bidi w:val="0"/>
              <w:adjustRightInd w:val="0"/>
              <w:snapToGrid w:val="0"/>
              <w:spacing w:before="102"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12291FB7">
            <w:pPr>
              <w:keepNext w:val="0"/>
              <w:keepLines w:val="0"/>
              <w:pageBreakBefore w:val="0"/>
              <w:kinsoku/>
              <w:wordWrap w:val="0"/>
              <w:overflowPunct/>
              <w:topLinePunct/>
              <w:autoSpaceDE/>
              <w:autoSpaceDN/>
              <w:bidi w:val="0"/>
              <w:adjustRightInd w:val="0"/>
              <w:snapToGrid w:val="0"/>
              <w:spacing w:before="101" w:line="203" w:lineRule="auto"/>
              <w:ind w:left="990"/>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≤250</w:t>
            </w:r>
          </w:p>
        </w:tc>
        <w:tc>
          <w:tcPr>
            <w:tcW w:w="2513" w:type="dxa"/>
            <w:vMerge w:val="continue"/>
            <w:tcBorders>
              <w:tl2br w:val="nil"/>
              <w:tr2bl w:val="nil"/>
            </w:tcBorders>
            <w:vAlign w:val="center"/>
          </w:tcPr>
          <w:p w14:paraId="6A00984F">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229BBC77">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77D53700">
            <w:pPr>
              <w:pStyle w:val="35"/>
              <w:keepNext w:val="0"/>
              <w:keepLines w:val="0"/>
              <w:pageBreakBefore w:val="0"/>
              <w:kinsoku/>
              <w:wordWrap w:val="0"/>
              <w:overflowPunct/>
              <w:topLinePunct/>
              <w:autoSpaceDE/>
              <w:autoSpaceDN/>
              <w:bidi w:val="0"/>
              <w:adjustRightInd w:val="0"/>
              <w:snapToGrid w:val="0"/>
              <w:spacing w:before="70" w:line="207"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氯化物</w:t>
            </w:r>
          </w:p>
        </w:tc>
        <w:tc>
          <w:tcPr>
            <w:tcW w:w="1419" w:type="dxa"/>
            <w:tcBorders>
              <w:tl2br w:val="nil"/>
              <w:tr2bl w:val="nil"/>
            </w:tcBorders>
            <w:vAlign w:val="center"/>
          </w:tcPr>
          <w:p w14:paraId="13ED0AB1">
            <w:pPr>
              <w:keepNext w:val="0"/>
              <w:keepLines w:val="0"/>
              <w:pageBreakBefore w:val="0"/>
              <w:kinsoku/>
              <w:wordWrap w:val="0"/>
              <w:overflowPunct/>
              <w:topLinePunct/>
              <w:autoSpaceDE/>
              <w:autoSpaceDN/>
              <w:bidi w:val="0"/>
              <w:adjustRightInd w:val="0"/>
              <w:snapToGrid w:val="0"/>
              <w:spacing w:before="102"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42E40D67">
            <w:pPr>
              <w:keepNext w:val="0"/>
              <w:keepLines w:val="0"/>
              <w:pageBreakBefore w:val="0"/>
              <w:kinsoku/>
              <w:wordWrap w:val="0"/>
              <w:overflowPunct/>
              <w:topLinePunct/>
              <w:autoSpaceDE/>
              <w:autoSpaceDN/>
              <w:bidi w:val="0"/>
              <w:adjustRightInd w:val="0"/>
              <w:snapToGrid w:val="0"/>
              <w:spacing w:before="102" w:line="202" w:lineRule="auto"/>
              <w:ind w:left="990"/>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≤250</w:t>
            </w:r>
          </w:p>
        </w:tc>
        <w:tc>
          <w:tcPr>
            <w:tcW w:w="2513" w:type="dxa"/>
            <w:vMerge w:val="continue"/>
            <w:tcBorders>
              <w:tl2br w:val="nil"/>
              <w:tr2bl w:val="nil"/>
            </w:tcBorders>
            <w:vAlign w:val="center"/>
          </w:tcPr>
          <w:p w14:paraId="06E72B77">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1CB2CA45">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44882F84">
            <w:pPr>
              <w:pStyle w:val="35"/>
              <w:keepNext w:val="0"/>
              <w:keepLines w:val="0"/>
              <w:pageBreakBefore w:val="0"/>
              <w:kinsoku/>
              <w:wordWrap w:val="0"/>
              <w:overflowPunct/>
              <w:topLinePunct/>
              <w:autoSpaceDE/>
              <w:autoSpaceDN/>
              <w:bidi w:val="0"/>
              <w:adjustRightInd w:val="0"/>
              <w:snapToGrid w:val="0"/>
              <w:spacing w:before="70" w:line="206"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总大肠菌群</w:t>
            </w:r>
          </w:p>
        </w:tc>
        <w:tc>
          <w:tcPr>
            <w:tcW w:w="1419" w:type="dxa"/>
            <w:tcBorders>
              <w:tl2br w:val="nil"/>
              <w:tr2bl w:val="nil"/>
            </w:tcBorders>
            <w:vAlign w:val="center"/>
          </w:tcPr>
          <w:p w14:paraId="57F21536">
            <w:pPr>
              <w:pStyle w:val="35"/>
              <w:keepNext w:val="0"/>
              <w:keepLines w:val="0"/>
              <w:pageBreakBefore w:val="0"/>
              <w:kinsoku/>
              <w:wordWrap w:val="0"/>
              <w:overflowPunct/>
              <w:topLinePunct/>
              <w:autoSpaceDE/>
              <w:autoSpaceDN/>
              <w:bidi w:val="0"/>
              <w:adjustRightInd w:val="0"/>
              <w:snapToGrid w:val="0"/>
              <w:spacing w:before="70" w:line="206" w:lineRule="auto"/>
              <w:ind w:left="516"/>
              <w:jc w:val="left"/>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3"/>
                <w:highlight w:val="none"/>
              </w:rPr>
              <w:t>个</w:t>
            </w:r>
            <w:r>
              <w:rPr>
                <w:rFonts w:hint="default" w:ascii="Times New Roman" w:hAnsi="Times New Roman" w:eastAsia="Times New Roman" w:cs="Times New Roman"/>
                <w:color w:val="auto"/>
                <w:spacing w:val="-3"/>
                <w:highlight w:val="none"/>
              </w:rPr>
              <w:t>/L</w:t>
            </w:r>
          </w:p>
        </w:tc>
        <w:tc>
          <w:tcPr>
            <w:tcW w:w="2412" w:type="dxa"/>
            <w:tcBorders>
              <w:tl2br w:val="nil"/>
              <w:tr2bl w:val="nil"/>
            </w:tcBorders>
            <w:vAlign w:val="center"/>
          </w:tcPr>
          <w:p w14:paraId="54AFAE24">
            <w:pPr>
              <w:keepNext w:val="0"/>
              <w:keepLines w:val="0"/>
              <w:pageBreakBefore w:val="0"/>
              <w:kinsoku/>
              <w:wordWrap w:val="0"/>
              <w:overflowPunct/>
              <w:topLinePunct/>
              <w:autoSpaceDE/>
              <w:autoSpaceDN/>
              <w:bidi w:val="0"/>
              <w:adjustRightInd w:val="0"/>
              <w:snapToGrid w:val="0"/>
              <w:spacing w:before="103" w:line="200" w:lineRule="auto"/>
              <w:ind w:left="1017"/>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≤3.0</w:t>
            </w:r>
          </w:p>
        </w:tc>
        <w:tc>
          <w:tcPr>
            <w:tcW w:w="2513" w:type="dxa"/>
            <w:vMerge w:val="continue"/>
            <w:tcBorders>
              <w:tl2br w:val="nil"/>
              <w:tr2bl w:val="nil"/>
            </w:tcBorders>
            <w:vAlign w:val="center"/>
          </w:tcPr>
          <w:p w14:paraId="51EDEDE4">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2FE77E36">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482A1784">
            <w:pPr>
              <w:pStyle w:val="35"/>
              <w:keepNext w:val="0"/>
              <w:keepLines w:val="0"/>
              <w:pageBreakBefore w:val="0"/>
              <w:kinsoku/>
              <w:wordWrap w:val="0"/>
              <w:overflowPunct/>
              <w:topLinePunct/>
              <w:autoSpaceDE/>
              <w:autoSpaceDN/>
              <w:bidi w:val="0"/>
              <w:adjustRightInd w:val="0"/>
              <w:snapToGrid w:val="0"/>
              <w:spacing w:before="72" w:line="205"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细菌总数</w:t>
            </w:r>
          </w:p>
        </w:tc>
        <w:tc>
          <w:tcPr>
            <w:tcW w:w="1419" w:type="dxa"/>
            <w:tcBorders>
              <w:tl2br w:val="nil"/>
              <w:tr2bl w:val="nil"/>
            </w:tcBorders>
            <w:vAlign w:val="center"/>
          </w:tcPr>
          <w:p w14:paraId="7143B18A">
            <w:pPr>
              <w:pStyle w:val="35"/>
              <w:keepNext w:val="0"/>
              <w:keepLines w:val="0"/>
              <w:pageBreakBefore w:val="0"/>
              <w:kinsoku/>
              <w:wordWrap w:val="0"/>
              <w:overflowPunct/>
              <w:topLinePunct/>
              <w:autoSpaceDE/>
              <w:autoSpaceDN/>
              <w:bidi w:val="0"/>
              <w:adjustRightInd w:val="0"/>
              <w:snapToGrid w:val="0"/>
              <w:spacing w:before="72" w:line="205" w:lineRule="auto"/>
              <w:ind w:left="516"/>
              <w:jc w:val="left"/>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3"/>
                <w:highlight w:val="none"/>
              </w:rPr>
              <w:t>个</w:t>
            </w:r>
            <w:r>
              <w:rPr>
                <w:rFonts w:hint="default" w:ascii="Times New Roman" w:hAnsi="Times New Roman" w:eastAsia="Times New Roman" w:cs="Times New Roman"/>
                <w:color w:val="auto"/>
                <w:spacing w:val="-3"/>
                <w:highlight w:val="none"/>
              </w:rPr>
              <w:t>/L</w:t>
            </w:r>
          </w:p>
        </w:tc>
        <w:tc>
          <w:tcPr>
            <w:tcW w:w="2412" w:type="dxa"/>
            <w:tcBorders>
              <w:tl2br w:val="nil"/>
              <w:tr2bl w:val="nil"/>
            </w:tcBorders>
            <w:vAlign w:val="center"/>
          </w:tcPr>
          <w:p w14:paraId="631D090C">
            <w:pPr>
              <w:keepNext w:val="0"/>
              <w:keepLines w:val="0"/>
              <w:pageBreakBefore w:val="0"/>
              <w:kinsoku/>
              <w:wordWrap w:val="0"/>
              <w:overflowPunct/>
              <w:topLinePunct/>
              <w:autoSpaceDE/>
              <w:autoSpaceDN/>
              <w:bidi w:val="0"/>
              <w:adjustRightInd w:val="0"/>
              <w:snapToGrid w:val="0"/>
              <w:spacing w:before="104" w:line="200" w:lineRule="auto"/>
              <w:ind w:left="990"/>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≤100</w:t>
            </w:r>
          </w:p>
        </w:tc>
        <w:tc>
          <w:tcPr>
            <w:tcW w:w="2513" w:type="dxa"/>
            <w:vMerge w:val="continue"/>
            <w:tcBorders>
              <w:tl2br w:val="nil"/>
              <w:tr2bl w:val="nil"/>
            </w:tcBorders>
            <w:vAlign w:val="center"/>
          </w:tcPr>
          <w:p w14:paraId="64E72AF6">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16A4BBF8">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2E4DA9A7">
            <w:pPr>
              <w:keepNext w:val="0"/>
              <w:keepLines w:val="0"/>
              <w:pageBreakBefore w:val="0"/>
              <w:kinsoku/>
              <w:wordWrap w:val="0"/>
              <w:overflowPunct/>
              <w:topLinePunct/>
              <w:autoSpaceDE/>
              <w:autoSpaceDN/>
              <w:bidi w:val="0"/>
              <w:adjustRightInd w:val="0"/>
              <w:snapToGrid w:val="0"/>
              <w:spacing w:before="56" w:line="226"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position w:val="-2"/>
                <w:sz w:val="21"/>
                <w:szCs w:val="21"/>
                <w:highlight w:val="none"/>
              </w:rPr>
              <w:t>Na</w:t>
            </w:r>
            <w:r>
              <w:rPr>
                <w:rFonts w:hint="default" w:ascii="Times New Roman" w:hAnsi="Times New Roman" w:eastAsia="Times New Roman" w:cs="Times New Roman"/>
                <w:color w:val="auto"/>
                <w:spacing w:val="10"/>
                <w:position w:val="7"/>
                <w:sz w:val="13"/>
                <w:szCs w:val="13"/>
                <w:highlight w:val="none"/>
              </w:rPr>
              <w:t>+</w:t>
            </w:r>
          </w:p>
        </w:tc>
        <w:tc>
          <w:tcPr>
            <w:tcW w:w="1419" w:type="dxa"/>
            <w:tcBorders>
              <w:tl2br w:val="nil"/>
              <w:tr2bl w:val="nil"/>
            </w:tcBorders>
            <w:vAlign w:val="center"/>
          </w:tcPr>
          <w:p w14:paraId="1F9E9D96">
            <w:pPr>
              <w:keepNext w:val="0"/>
              <w:keepLines w:val="0"/>
              <w:pageBreakBefore w:val="0"/>
              <w:kinsoku/>
              <w:wordWrap w:val="0"/>
              <w:overflowPunct/>
              <w:topLinePunct/>
              <w:autoSpaceDE/>
              <w:autoSpaceDN/>
              <w:bidi w:val="0"/>
              <w:adjustRightInd w:val="0"/>
              <w:snapToGrid w:val="0"/>
              <w:spacing w:before="107"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7C5DF8DD">
            <w:pPr>
              <w:keepNext w:val="0"/>
              <w:keepLines w:val="0"/>
              <w:pageBreakBefore w:val="0"/>
              <w:kinsoku/>
              <w:wordWrap w:val="0"/>
              <w:overflowPunct/>
              <w:topLinePunct/>
              <w:autoSpaceDE/>
              <w:autoSpaceDN/>
              <w:bidi w:val="0"/>
              <w:adjustRightInd w:val="0"/>
              <w:snapToGrid w:val="0"/>
              <w:spacing w:before="107" w:line="199"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≤200</w:t>
            </w:r>
          </w:p>
        </w:tc>
        <w:tc>
          <w:tcPr>
            <w:tcW w:w="2513" w:type="dxa"/>
            <w:vMerge w:val="continue"/>
            <w:tcBorders>
              <w:tl2br w:val="nil"/>
              <w:tr2bl w:val="nil"/>
            </w:tcBorders>
            <w:vAlign w:val="center"/>
          </w:tcPr>
          <w:p w14:paraId="54C4E4EA">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6021EA28">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5149CA26">
            <w:pPr>
              <w:keepNext w:val="0"/>
              <w:keepLines w:val="0"/>
              <w:pageBreakBefore w:val="0"/>
              <w:kinsoku/>
              <w:wordWrap w:val="0"/>
              <w:overflowPunct/>
              <w:topLinePunct/>
              <w:autoSpaceDE/>
              <w:autoSpaceDN/>
              <w:bidi w:val="0"/>
              <w:adjustRightInd w:val="0"/>
              <w:snapToGrid w:val="0"/>
              <w:spacing w:before="55" w:line="226"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pacing w:val="-1"/>
                <w:position w:val="-4"/>
                <w:sz w:val="21"/>
                <w:szCs w:val="21"/>
                <w:highlight w:val="none"/>
              </w:rPr>
              <w:t>K</w:t>
            </w:r>
            <w:r>
              <w:rPr>
                <w:rFonts w:hint="default" w:ascii="Times New Roman" w:hAnsi="Times New Roman" w:eastAsia="Times New Roman" w:cs="Times New Roman"/>
                <w:color w:val="auto"/>
                <w:spacing w:val="-1"/>
                <w:position w:val="5"/>
                <w:sz w:val="13"/>
                <w:szCs w:val="13"/>
                <w:highlight w:val="none"/>
              </w:rPr>
              <w:t>+</w:t>
            </w:r>
          </w:p>
        </w:tc>
        <w:tc>
          <w:tcPr>
            <w:tcW w:w="1419" w:type="dxa"/>
            <w:tcBorders>
              <w:tl2br w:val="nil"/>
              <w:tr2bl w:val="nil"/>
            </w:tcBorders>
            <w:vAlign w:val="center"/>
          </w:tcPr>
          <w:p w14:paraId="58077E8F">
            <w:pPr>
              <w:keepNext w:val="0"/>
              <w:keepLines w:val="0"/>
              <w:pageBreakBefore w:val="0"/>
              <w:kinsoku/>
              <w:wordWrap w:val="0"/>
              <w:overflowPunct/>
              <w:topLinePunct/>
              <w:autoSpaceDE/>
              <w:autoSpaceDN/>
              <w:bidi w:val="0"/>
              <w:adjustRightInd w:val="0"/>
              <w:snapToGrid w:val="0"/>
              <w:spacing w:before="106"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7DE07738">
            <w:pPr>
              <w:keepNext w:val="0"/>
              <w:keepLines w:val="0"/>
              <w:pageBreakBefore w:val="0"/>
              <w:widowControl/>
              <w:kinsoku/>
              <w:wordWrap w:val="0"/>
              <w:overflowPunct/>
              <w:topLinePunct/>
              <w:autoSpaceDE/>
              <w:autoSpaceDN/>
              <w:bidi w:val="0"/>
              <w:adjustRightInd w:val="0"/>
              <w:snapToGrid w:val="0"/>
              <w:spacing w:before="10" w:line="101" w:lineRule="exact"/>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position w:val="-6"/>
                <w:sz w:val="21"/>
                <w:szCs w:val="21"/>
                <w:highlight w:val="none"/>
              </w:rPr>
              <w:t>-</w:t>
            </w:r>
          </w:p>
        </w:tc>
        <w:tc>
          <w:tcPr>
            <w:tcW w:w="2513" w:type="dxa"/>
            <w:vMerge w:val="restart"/>
            <w:tcBorders>
              <w:tl2br w:val="nil"/>
              <w:tr2bl w:val="nil"/>
            </w:tcBorders>
            <w:vAlign w:val="center"/>
          </w:tcPr>
          <w:p w14:paraId="772695DA">
            <w:pPr>
              <w:keepNext w:val="0"/>
              <w:keepLines w:val="0"/>
              <w:pageBreakBefore w:val="0"/>
              <w:kinsoku/>
              <w:wordWrap w:val="0"/>
              <w:overflowPunct/>
              <w:topLinePunct/>
              <w:autoSpaceDE/>
              <w:autoSpaceDN/>
              <w:bidi w:val="0"/>
              <w:adjustRightInd w:val="0"/>
              <w:snapToGrid w:val="0"/>
              <w:spacing w:before="60" w:line="100" w:lineRule="exact"/>
              <w:ind w:left="122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position w:val="-6"/>
                <w:sz w:val="21"/>
                <w:szCs w:val="21"/>
                <w:highlight w:val="none"/>
              </w:rPr>
              <w:t>-</w:t>
            </w:r>
          </w:p>
        </w:tc>
      </w:tr>
      <w:tr w14:paraId="53E5A3DB">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875" w:type="dxa"/>
            <w:tcBorders>
              <w:tl2br w:val="nil"/>
              <w:tr2bl w:val="nil"/>
            </w:tcBorders>
            <w:vAlign w:val="center"/>
          </w:tcPr>
          <w:p w14:paraId="6B2BFD85">
            <w:pPr>
              <w:keepNext w:val="0"/>
              <w:keepLines w:val="0"/>
              <w:pageBreakBefore w:val="0"/>
              <w:kinsoku/>
              <w:wordWrap w:val="0"/>
              <w:overflowPunct/>
              <w:topLinePunct/>
              <w:autoSpaceDE/>
              <w:autoSpaceDN/>
              <w:bidi w:val="0"/>
              <w:adjustRightInd w:val="0"/>
              <w:snapToGrid w:val="0"/>
              <w:spacing w:before="56" w:line="226"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position w:val="-4"/>
                <w:sz w:val="21"/>
                <w:szCs w:val="21"/>
                <w:highlight w:val="none"/>
              </w:rPr>
              <w:t>Ca</w:t>
            </w:r>
            <w:r>
              <w:rPr>
                <w:rFonts w:hint="default" w:ascii="Times New Roman" w:hAnsi="Times New Roman" w:eastAsia="Times New Roman" w:cs="Times New Roman"/>
                <w:color w:val="auto"/>
                <w:spacing w:val="2"/>
                <w:position w:val="5"/>
                <w:sz w:val="13"/>
                <w:szCs w:val="13"/>
                <w:highlight w:val="none"/>
              </w:rPr>
              <w:t>2+</w:t>
            </w:r>
          </w:p>
        </w:tc>
        <w:tc>
          <w:tcPr>
            <w:tcW w:w="1419" w:type="dxa"/>
            <w:tcBorders>
              <w:tl2br w:val="nil"/>
              <w:tr2bl w:val="nil"/>
            </w:tcBorders>
            <w:vAlign w:val="center"/>
          </w:tcPr>
          <w:p w14:paraId="50CFF338">
            <w:pPr>
              <w:keepNext w:val="0"/>
              <w:keepLines w:val="0"/>
              <w:pageBreakBefore w:val="0"/>
              <w:kinsoku/>
              <w:wordWrap w:val="0"/>
              <w:overflowPunct/>
              <w:topLinePunct/>
              <w:autoSpaceDE/>
              <w:autoSpaceDN/>
              <w:bidi w:val="0"/>
              <w:adjustRightInd w:val="0"/>
              <w:snapToGrid w:val="0"/>
              <w:spacing w:before="107"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35EB5B15">
            <w:pPr>
              <w:keepNext w:val="0"/>
              <w:keepLines w:val="0"/>
              <w:pageBreakBefore w:val="0"/>
              <w:widowControl/>
              <w:kinsoku/>
              <w:wordWrap w:val="0"/>
              <w:overflowPunct/>
              <w:topLinePunct/>
              <w:autoSpaceDE/>
              <w:autoSpaceDN/>
              <w:bidi w:val="0"/>
              <w:adjustRightInd w:val="0"/>
              <w:snapToGrid w:val="0"/>
              <w:spacing w:before="10" w:line="100" w:lineRule="exact"/>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position w:val="-6"/>
                <w:sz w:val="21"/>
                <w:szCs w:val="21"/>
                <w:highlight w:val="none"/>
              </w:rPr>
              <w:t>-</w:t>
            </w:r>
          </w:p>
        </w:tc>
        <w:tc>
          <w:tcPr>
            <w:tcW w:w="2513" w:type="dxa"/>
            <w:vMerge w:val="continue"/>
            <w:tcBorders>
              <w:tl2br w:val="nil"/>
              <w:tr2bl w:val="nil"/>
            </w:tcBorders>
            <w:vAlign w:val="center"/>
          </w:tcPr>
          <w:p w14:paraId="7870588A">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03BD039A">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PrEx>
        <w:trPr>
          <w:trHeight w:val="145" w:hRule="atLeast"/>
          <w:jc w:val="center"/>
        </w:trPr>
        <w:tc>
          <w:tcPr>
            <w:tcW w:w="1875" w:type="dxa"/>
            <w:tcBorders>
              <w:tl2br w:val="nil"/>
              <w:tr2bl w:val="nil"/>
            </w:tcBorders>
            <w:vAlign w:val="center"/>
          </w:tcPr>
          <w:p w14:paraId="1114D429">
            <w:pPr>
              <w:keepNext w:val="0"/>
              <w:keepLines w:val="0"/>
              <w:pageBreakBefore w:val="0"/>
              <w:kinsoku/>
              <w:wordWrap w:val="0"/>
              <w:overflowPunct/>
              <w:topLinePunct/>
              <w:autoSpaceDE/>
              <w:autoSpaceDN/>
              <w:bidi w:val="0"/>
              <w:adjustRightInd w:val="0"/>
              <w:snapToGrid w:val="0"/>
              <w:spacing w:before="58" w:line="216"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position w:val="-3"/>
                <w:sz w:val="21"/>
                <w:szCs w:val="21"/>
                <w:highlight w:val="none"/>
              </w:rPr>
              <w:t>Mg</w:t>
            </w:r>
            <w:r>
              <w:rPr>
                <w:rFonts w:hint="default" w:ascii="Times New Roman" w:hAnsi="Times New Roman" w:eastAsia="Times New Roman" w:cs="Times New Roman"/>
                <w:color w:val="auto"/>
                <w:spacing w:val="3"/>
                <w:position w:val="7"/>
                <w:sz w:val="13"/>
                <w:szCs w:val="13"/>
                <w:highlight w:val="none"/>
              </w:rPr>
              <w:t>2+</w:t>
            </w:r>
          </w:p>
        </w:tc>
        <w:tc>
          <w:tcPr>
            <w:tcW w:w="1419" w:type="dxa"/>
            <w:tcBorders>
              <w:tl2br w:val="nil"/>
              <w:tr2bl w:val="nil"/>
            </w:tcBorders>
            <w:vAlign w:val="center"/>
          </w:tcPr>
          <w:p w14:paraId="7C6865B6">
            <w:pPr>
              <w:keepNext w:val="0"/>
              <w:keepLines w:val="0"/>
              <w:pageBreakBefore w:val="0"/>
              <w:kinsoku/>
              <w:wordWrap w:val="0"/>
              <w:overflowPunct/>
              <w:topLinePunct/>
              <w:autoSpaceDE/>
              <w:autoSpaceDN/>
              <w:bidi w:val="0"/>
              <w:adjustRightInd w:val="0"/>
              <w:snapToGrid w:val="0"/>
              <w:spacing w:before="108"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2916EA56">
            <w:pPr>
              <w:keepNext w:val="0"/>
              <w:keepLines w:val="0"/>
              <w:pageBreakBefore w:val="0"/>
              <w:widowControl/>
              <w:kinsoku/>
              <w:wordWrap w:val="0"/>
              <w:overflowPunct/>
              <w:topLinePunct/>
              <w:autoSpaceDE/>
              <w:autoSpaceDN/>
              <w:bidi w:val="0"/>
              <w:adjustRightInd w:val="0"/>
              <w:snapToGrid w:val="0"/>
              <w:spacing w:before="10" w:line="101" w:lineRule="exact"/>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position w:val="-6"/>
                <w:sz w:val="21"/>
                <w:szCs w:val="21"/>
                <w:highlight w:val="none"/>
              </w:rPr>
              <w:t>-</w:t>
            </w:r>
          </w:p>
        </w:tc>
        <w:tc>
          <w:tcPr>
            <w:tcW w:w="2513" w:type="dxa"/>
            <w:vMerge w:val="continue"/>
            <w:tcBorders>
              <w:tl2br w:val="nil"/>
              <w:tr2bl w:val="nil"/>
            </w:tcBorders>
            <w:vAlign w:val="center"/>
          </w:tcPr>
          <w:p w14:paraId="425CE39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6F2A00F4">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PrEx>
        <w:trPr>
          <w:trHeight w:val="312" w:hRule="atLeast"/>
          <w:jc w:val="center"/>
        </w:trPr>
        <w:tc>
          <w:tcPr>
            <w:tcW w:w="1875" w:type="dxa"/>
            <w:tcBorders>
              <w:tl2br w:val="nil"/>
              <w:tr2bl w:val="nil"/>
            </w:tcBorders>
            <w:vAlign w:val="center"/>
          </w:tcPr>
          <w:p w14:paraId="39E3738B">
            <w:pPr>
              <w:keepNext w:val="0"/>
              <w:keepLines w:val="0"/>
              <w:pageBreakBefore w:val="0"/>
              <w:kinsoku/>
              <w:wordWrap w:val="0"/>
              <w:overflowPunct/>
              <w:topLinePunct/>
              <w:autoSpaceDE/>
              <w:autoSpaceDN/>
              <w:bidi w:val="0"/>
              <w:adjustRightInd w:val="0"/>
              <w:snapToGrid w:val="0"/>
              <w:spacing w:before="36" w:line="238"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position w:val="-1"/>
                <w:sz w:val="21"/>
                <w:szCs w:val="21"/>
                <w:highlight w:val="none"/>
              </w:rPr>
              <w:t>CO</w:t>
            </w:r>
            <w:r>
              <w:rPr>
                <w:rFonts w:hint="default" w:ascii="Times New Roman" w:hAnsi="Times New Roman" w:eastAsia="Times New Roman" w:cs="Times New Roman"/>
                <w:color w:val="auto"/>
                <w:spacing w:val="2"/>
                <w:position w:val="-4"/>
                <w:sz w:val="13"/>
                <w:szCs w:val="13"/>
                <w:highlight w:val="none"/>
              </w:rPr>
              <w:t>3</w:t>
            </w:r>
            <w:r>
              <w:rPr>
                <w:rFonts w:hint="default" w:ascii="Times New Roman" w:hAnsi="Times New Roman" w:eastAsia="Times New Roman" w:cs="Times New Roman"/>
                <w:color w:val="auto"/>
                <w:spacing w:val="2"/>
                <w:position w:val="8"/>
                <w:sz w:val="13"/>
                <w:szCs w:val="13"/>
                <w:highlight w:val="none"/>
              </w:rPr>
              <w:t>2-</w:t>
            </w:r>
          </w:p>
        </w:tc>
        <w:tc>
          <w:tcPr>
            <w:tcW w:w="1419" w:type="dxa"/>
            <w:tcBorders>
              <w:tl2br w:val="nil"/>
              <w:tr2bl w:val="nil"/>
            </w:tcBorders>
            <w:vAlign w:val="center"/>
          </w:tcPr>
          <w:p w14:paraId="736E0066">
            <w:pPr>
              <w:keepNext w:val="0"/>
              <w:keepLines w:val="0"/>
              <w:pageBreakBefore w:val="0"/>
              <w:kinsoku/>
              <w:wordWrap w:val="0"/>
              <w:overflowPunct/>
              <w:topLinePunct/>
              <w:autoSpaceDE/>
              <w:autoSpaceDN/>
              <w:bidi w:val="0"/>
              <w:adjustRightInd w:val="0"/>
              <w:snapToGrid w:val="0"/>
              <w:spacing w:before="87"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58C835BA">
            <w:pPr>
              <w:keepNext w:val="0"/>
              <w:keepLines w:val="0"/>
              <w:pageBreakBefore w:val="0"/>
              <w:widowControl/>
              <w:kinsoku/>
              <w:wordWrap w:val="0"/>
              <w:overflowPunct/>
              <w:topLinePunct/>
              <w:autoSpaceDE/>
              <w:autoSpaceDN/>
              <w:bidi w:val="0"/>
              <w:adjustRightInd w:val="0"/>
              <w:snapToGrid w:val="0"/>
              <w:spacing w:before="10" w:line="240" w:lineRule="auto"/>
              <w:ind w:left="0"/>
              <w:jc w:val="center"/>
              <w:textAlignment w:val="baseline"/>
              <w:rPr>
                <w:rFonts w:hint="default" w:ascii="Times New Roman" w:hAnsi="Times New Roman" w:eastAsia="Times New Roman" w:cs="Times New Roman"/>
                <w:color w:val="auto"/>
                <w:position w:val="-6"/>
                <w:sz w:val="21"/>
                <w:szCs w:val="21"/>
                <w:highlight w:val="none"/>
              </w:rPr>
            </w:pPr>
            <w:r>
              <w:rPr>
                <w:rFonts w:hint="default" w:ascii="Times New Roman" w:hAnsi="Times New Roman" w:eastAsia="Times New Roman" w:cs="Times New Roman"/>
                <w:color w:val="auto"/>
                <w:position w:val="-6"/>
                <w:sz w:val="21"/>
                <w:szCs w:val="21"/>
                <w:highlight w:val="none"/>
              </w:rPr>
              <w:t>-</w:t>
            </w:r>
          </w:p>
        </w:tc>
        <w:tc>
          <w:tcPr>
            <w:tcW w:w="2513" w:type="dxa"/>
            <w:vMerge w:val="continue"/>
            <w:tcBorders>
              <w:tl2br w:val="nil"/>
              <w:tr2bl w:val="nil"/>
            </w:tcBorders>
            <w:vAlign w:val="center"/>
          </w:tcPr>
          <w:p w14:paraId="0E115249">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62A829A5">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311" w:hRule="atLeast"/>
          <w:jc w:val="center"/>
        </w:trPr>
        <w:tc>
          <w:tcPr>
            <w:tcW w:w="1875" w:type="dxa"/>
            <w:tcBorders>
              <w:tl2br w:val="nil"/>
              <w:tr2bl w:val="nil"/>
            </w:tcBorders>
            <w:vAlign w:val="center"/>
          </w:tcPr>
          <w:p w14:paraId="28516B3F">
            <w:pPr>
              <w:keepNext w:val="0"/>
              <w:keepLines w:val="0"/>
              <w:pageBreakBefore w:val="0"/>
              <w:kinsoku/>
              <w:wordWrap w:val="0"/>
              <w:overflowPunct/>
              <w:topLinePunct/>
              <w:autoSpaceDE/>
              <w:autoSpaceDN/>
              <w:bidi w:val="0"/>
              <w:adjustRightInd w:val="0"/>
              <w:snapToGrid w:val="0"/>
              <w:spacing w:before="93" w:line="178"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HCO</w:t>
            </w:r>
            <w:r>
              <w:rPr>
                <w:rFonts w:hint="default" w:ascii="Times New Roman" w:hAnsi="Times New Roman" w:eastAsia="Times New Roman" w:cs="Times New Roman"/>
                <w:color w:val="auto"/>
                <w:spacing w:val="3"/>
                <w:position w:val="-2"/>
                <w:sz w:val="13"/>
                <w:szCs w:val="13"/>
                <w:highlight w:val="none"/>
              </w:rPr>
              <w:t>3</w:t>
            </w:r>
            <w:r>
              <w:rPr>
                <w:rFonts w:hint="default" w:ascii="Times New Roman" w:hAnsi="Times New Roman" w:eastAsia="Times New Roman" w:cs="Times New Roman"/>
                <w:color w:val="auto"/>
                <w:spacing w:val="3"/>
                <w:position w:val="10"/>
                <w:sz w:val="13"/>
                <w:szCs w:val="13"/>
                <w:highlight w:val="none"/>
              </w:rPr>
              <w:t>-</w:t>
            </w:r>
          </w:p>
        </w:tc>
        <w:tc>
          <w:tcPr>
            <w:tcW w:w="1419" w:type="dxa"/>
            <w:tcBorders>
              <w:tl2br w:val="nil"/>
              <w:tr2bl w:val="nil"/>
            </w:tcBorders>
            <w:vAlign w:val="center"/>
          </w:tcPr>
          <w:p w14:paraId="1A62ACCF">
            <w:pPr>
              <w:keepNext w:val="0"/>
              <w:keepLines w:val="0"/>
              <w:pageBreakBefore w:val="0"/>
              <w:kinsoku/>
              <w:wordWrap w:val="0"/>
              <w:overflowPunct/>
              <w:topLinePunct/>
              <w:autoSpaceDE/>
              <w:autoSpaceDN/>
              <w:bidi w:val="0"/>
              <w:adjustRightInd w:val="0"/>
              <w:snapToGrid w:val="0"/>
              <w:spacing w:before="90"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120270C9">
            <w:pPr>
              <w:keepNext w:val="0"/>
              <w:keepLines w:val="0"/>
              <w:pageBreakBefore w:val="0"/>
              <w:widowControl/>
              <w:kinsoku/>
              <w:wordWrap w:val="0"/>
              <w:overflowPunct/>
              <w:topLinePunct/>
              <w:autoSpaceDE/>
              <w:autoSpaceDN/>
              <w:bidi w:val="0"/>
              <w:adjustRightInd w:val="0"/>
              <w:snapToGrid w:val="0"/>
              <w:spacing w:before="10" w:line="240" w:lineRule="auto"/>
              <w:ind w:left="0"/>
              <w:jc w:val="center"/>
              <w:textAlignment w:val="baseline"/>
              <w:rPr>
                <w:rFonts w:hint="default" w:ascii="Times New Roman" w:hAnsi="Times New Roman" w:eastAsia="Times New Roman" w:cs="Times New Roman"/>
                <w:color w:val="auto"/>
                <w:position w:val="-6"/>
                <w:sz w:val="21"/>
                <w:szCs w:val="21"/>
                <w:highlight w:val="none"/>
              </w:rPr>
            </w:pPr>
            <w:r>
              <w:rPr>
                <w:rFonts w:hint="default" w:ascii="Times New Roman" w:hAnsi="Times New Roman" w:eastAsia="Times New Roman" w:cs="Times New Roman"/>
                <w:color w:val="auto"/>
                <w:position w:val="-6"/>
                <w:sz w:val="21"/>
                <w:szCs w:val="21"/>
                <w:highlight w:val="none"/>
              </w:rPr>
              <w:t>-</w:t>
            </w:r>
          </w:p>
        </w:tc>
        <w:tc>
          <w:tcPr>
            <w:tcW w:w="2513" w:type="dxa"/>
            <w:vMerge w:val="continue"/>
            <w:tcBorders>
              <w:tl2br w:val="nil"/>
              <w:tr2bl w:val="nil"/>
            </w:tcBorders>
            <w:vAlign w:val="center"/>
          </w:tcPr>
          <w:p w14:paraId="68E4AEB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792B6154">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313" w:hRule="atLeast"/>
          <w:jc w:val="center"/>
        </w:trPr>
        <w:tc>
          <w:tcPr>
            <w:tcW w:w="1875" w:type="dxa"/>
            <w:tcBorders>
              <w:tl2br w:val="nil"/>
              <w:tr2bl w:val="nil"/>
            </w:tcBorders>
            <w:vAlign w:val="center"/>
          </w:tcPr>
          <w:p w14:paraId="75E5EFA9">
            <w:pPr>
              <w:keepNext w:val="0"/>
              <w:keepLines w:val="0"/>
              <w:pageBreakBefore w:val="0"/>
              <w:kinsoku/>
              <w:wordWrap w:val="0"/>
              <w:overflowPunct/>
              <w:topLinePunct/>
              <w:autoSpaceDE/>
              <w:autoSpaceDN/>
              <w:bidi w:val="0"/>
              <w:adjustRightInd w:val="0"/>
              <w:snapToGrid w:val="0"/>
              <w:spacing w:before="47" w:line="226"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position w:val="-1"/>
                <w:sz w:val="21"/>
                <w:szCs w:val="21"/>
                <w:highlight w:val="none"/>
              </w:rPr>
              <w:t>SO</w:t>
            </w:r>
            <w:r>
              <w:rPr>
                <w:rFonts w:hint="default" w:ascii="Times New Roman" w:hAnsi="Times New Roman" w:eastAsia="Times New Roman" w:cs="Times New Roman"/>
                <w:color w:val="auto"/>
                <w:position w:val="-4"/>
                <w:sz w:val="13"/>
                <w:szCs w:val="13"/>
                <w:highlight w:val="none"/>
              </w:rPr>
              <w:t>4</w:t>
            </w:r>
            <w:r>
              <w:rPr>
                <w:rFonts w:hint="default" w:ascii="Times New Roman" w:hAnsi="Times New Roman" w:eastAsia="Times New Roman" w:cs="Times New Roman"/>
                <w:color w:val="auto"/>
                <w:position w:val="8"/>
                <w:sz w:val="13"/>
                <w:szCs w:val="13"/>
                <w:highlight w:val="none"/>
              </w:rPr>
              <w:t>2-</w:t>
            </w:r>
          </w:p>
        </w:tc>
        <w:tc>
          <w:tcPr>
            <w:tcW w:w="1419" w:type="dxa"/>
            <w:tcBorders>
              <w:tl2br w:val="nil"/>
              <w:tr2bl w:val="nil"/>
            </w:tcBorders>
            <w:vAlign w:val="center"/>
          </w:tcPr>
          <w:p w14:paraId="331D38FB">
            <w:pPr>
              <w:keepNext w:val="0"/>
              <w:keepLines w:val="0"/>
              <w:pageBreakBefore w:val="0"/>
              <w:kinsoku/>
              <w:wordWrap w:val="0"/>
              <w:overflowPunct/>
              <w:topLinePunct/>
              <w:autoSpaceDE/>
              <w:autoSpaceDN/>
              <w:bidi w:val="0"/>
              <w:adjustRightInd w:val="0"/>
              <w:snapToGrid w:val="0"/>
              <w:spacing w:before="98"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2E1845BA">
            <w:pPr>
              <w:keepNext w:val="0"/>
              <w:keepLines w:val="0"/>
              <w:pageBreakBefore w:val="0"/>
              <w:widowControl/>
              <w:kinsoku/>
              <w:wordWrap w:val="0"/>
              <w:overflowPunct/>
              <w:topLinePunct/>
              <w:autoSpaceDE/>
              <w:autoSpaceDN/>
              <w:bidi w:val="0"/>
              <w:adjustRightInd w:val="0"/>
              <w:snapToGrid w:val="0"/>
              <w:spacing w:before="10" w:line="240" w:lineRule="auto"/>
              <w:ind w:left="0"/>
              <w:jc w:val="center"/>
              <w:textAlignment w:val="baseline"/>
              <w:rPr>
                <w:rFonts w:hint="default" w:ascii="Times New Roman" w:hAnsi="Times New Roman" w:eastAsia="Times New Roman" w:cs="Times New Roman"/>
                <w:color w:val="auto"/>
                <w:position w:val="-6"/>
                <w:sz w:val="21"/>
                <w:szCs w:val="21"/>
                <w:highlight w:val="none"/>
              </w:rPr>
            </w:pPr>
            <w:r>
              <w:rPr>
                <w:rFonts w:hint="default" w:ascii="Times New Roman" w:hAnsi="Times New Roman" w:eastAsia="Times New Roman" w:cs="Times New Roman"/>
                <w:color w:val="auto"/>
                <w:position w:val="-6"/>
                <w:sz w:val="21"/>
                <w:szCs w:val="21"/>
                <w:highlight w:val="none"/>
              </w:rPr>
              <w:t>-</w:t>
            </w:r>
          </w:p>
        </w:tc>
        <w:tc>
          <w:tcPr>
            <w:tcW w:w="2513" w:type="dxa"/>
            <w:vMerge w:val="continue"/>
            <w:tcBorders>
              <w:tl2br w:val="nil"/>
              <w:tr2bl w:val="nil"/>
            </w:tcBorders>
            <w:vAlign w:val="center"/>
          </w:tcPr>
          <w:p w14:paraId="30B6B6BD">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r w14:paraId="670855BF">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334" w:hRule="atLeast"/>
          <w:jc w:val="center"/>
        </w:trPr>
        <w:tc>
          <w:tcPr>
            <w:tcW w:w="1875" w:type="dxa"/>
            <w:tcBorders>
              <w:tl2br w:val="nil"/>
              <w:tr2bl w:val="nil"/>
            </w:tcBorders>
            <w:vAlign w:val="center"/>
          </w:tcPr>
          <w:p w14:paraId="03A9B186">
            <w:pPr>
              <w:keepNext w:val="0"/>
              <w:keepLines w:val="0"/>
              <w:pageBreakBefore w:val="0"/>
              <w:kinsoku/>
              <w:wordWrap w:val="0"/>
              <w:overflowPunct/>
              <w:topLinePunct/>
              <w:autoSpaceDE/>
              <w:autoSpaceDN/>
              <w:bidi w:val="0"/>
              <w:adjustRightInd w:val="0"/>
              <w:snapToGrid w:val="0"/>
              <w:spacing w:before="102" w:line="165"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pacing w:val="-2"/>
                <w:sz w:val="21"/>
                <w:szCs w:val="21"/>
                <w:highlight w:val="none"/>
              </w:rPr>
              <w:t>Cl</w:t>
            </w:r>
            <w:r>
              <w:rPr>
                <w:rFonts w:hint="default" w:ascii="Times New Roman" w:hAnsi="Times New Roman" w:eastAsia="Times New Roman" w:cs="Times New Roman"/>
                <w:color w:val="auto"/>
                <w:spacing w:val="-2"/>
                <w:position w:val="10"/>
                <w:sz w:val="13"/>
                <w:szCs w:val="13"/>
                <w:highlight w:val="none"/>
              </w:rPr>
              <w:t>-</w:t>
            </w:r>
          </w:p>
        </w:tc>
        <w:tc>
          <w:tcPr>
            <w:tcW w:w="1419" w:type="dxa"/>
            <w:tcBorders>
              <w:tl2br w:val="nil"/>
              <w:tr2bl w:val="nil"/>
            </w:tcBorders>
            <w:vAlign w:val="center"/>
          </w:tcPr>
          <w:p w14:paraId="026FA70D">
            <w:pPr>
              <w:keepNext w:val="0"/>
              <w:keepLines w:val="0"/>
              <w:pageBreakBefore w:val="0"/>
              <w:kinsoku/>
              <w:wordWrap w:val="0"/>
              <w:overflowPunct/>
              <w:topLinePunct/>
              <w:autoSpaceDE/>
              <w:autoSpaceDN/>
              <w:bidi w:val="0"/>
              <w:adjustRightInd w:val="0"/>
              <w:snapToGrid w:val="0"/>
              <w:spacing w:before="102" w:line="191" w:lineRule="auto"/>
              <w:ind w:left="478"/>
              <w:jc w:val="left"/>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2412" w:type="dxa"/>
            <w:tcBorders>
              <w:tl2br w:val="nil"/>
              <w:tr2bl w:val="nil"/>
            </w:tcBorders>
            <w:vAlign w:val="center"/>
          </w:tcPr>
          <w:p w14:paraId="7BE52A43">
            <w:pPr>
              <w:keepNext w:val="0"/>
              <w:keepLines w:val="0"/>
              <w:pageBreakBefore w:val="0"/>
              <w:widowControl/>
              <w:kinsoku/>
              <w:wordWrap w:val="0"/>
              <w:overflowPunct/>
              <w:topLinePunct/>
              <w:autoSpaceDE/>
              <w:autoSpaceDN/>
              <w:bidi w:val="0"/>
              <w:adjustRightInd w:val="0"/>
              <w:snapToGrid w:val="0"/>
              <w:spacing w:before="10" w:line="240" w:lineRule="auto"/>
              <w:ind w:left="0"/>
              <w:jc w:val="center"/>
              <w:textAlignment w:val="baseline"/>
              <w:rPr>
                <w:rFonts w:hint="default" w:ascii="Times New Roman" w:hAnsi="Times New Roman" w:eastAsia="Times New Roman" w:cs="Times New Roman"/>
                <w:color w:val="auto"/>
                <w:position w:val="-6"/>
                <w:sz w:val="21"/>
                <w:szCs w:val="21"/>
                <w:highlight w:val="none"/>
              </w:rPr>
            </w:pPr>
            <w:r>
              <w:rPr>
                <w:rFonts w:hint="default" w:ascii="Times New Roman" w:hAnsi="Times New Roman" w:eastAsia="Times New Roman" w:cs="Times New Roman"/>
                <w:color w:val="auto"/>
                <w:position w:val="-6"/>
                <w:sz w:val="21"/>
                <w:szCs w:val="21"/>
                <w:highlight w:val="none"/>
              </w:rPr>
              <w:t>-</w:t>
            </w:r>
          </w:p>
        </w:tc>
        <w:tc>
          <w:tcPr>
            <w:tcW w:w="2513" w:type="dxa"/>
            <w:vMerge w:val="continue"/>
            <w:tcBorders>
              <w:tl2br w:val="nil"/>
              <w:tr2bl w:val="nil"/>
            </w:tcBorders>
            <w:vAlign w:val="center"/>
          </w:tcPr>
          <w:p w14:paraId="22EBBD4A">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bl>
    <w:p w14:paraId="252CF0FB">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5</w:t>
      </w:r>
      <w:r>
        <w:rPr>
          <w:rFonts w:hint="default" w:ascii="Times New Roman" w:hAnsi="Times New Roman" w:eastAsia="宋体" w:cs="Times New Roman"/>
          <w:color w:val="auto"/>
          <w:spacing w:val="-4"/>
          <w:sz w:val="24"/>
          <w:szCs w:val="24"/>
          <w:highlight w:val="none"/>
        </w:rPr>
        <w:t>）土壤环境</w:t>
      </w:r>
    </w:p>
    <w:p w14:paraId="111B8D1A">
      <w:pPr>
        <w:keepNext w:val="0"/>
        <w:keepLines w:val="0"/>
        <w:pageBreakBefore w:val="0"/>
        <w:kinsoku/>
        <w:wordWrap w:val="0"/>
        <w:overflowPunct/>
        <w:topLinePunct/>
        <w:autoSpaceDE/>
        <w:autoSpaceDN/>
        <w:bidi w:val="0"/>
        <w:adjustRightInd w:val="0"/>
        <w:snapToGrid w:val="0"/>
        <w:spacing w:before="163" w:line="360" w:lineRule="auto"/>
        <w:ind w:left="119" w:right="114" w:firstLine="47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本项目评价范围厂址土壤环境执行《土壤环境质量</w:t>
      </w:r>
      <w:r>
        <w:rPr>
          <w:rFonts w:hint="eastAsia" w:ascii="Times New Roman" w:hAnsi="Times New Roman" w:eastAsia="宋体" w:cs="Times New Roman"/>
          <w:color w:val="auto"/>
          <w:sz w:val="24"/>
          <w:szCs w:val="24"/>
          <w:highlight w:val="none"/>
          <w:lang w:val="en-US" w:eastAsia="zh-CN"/>
        </w:rPr>
        <w:t xml:space="preserve"> </w:t>
      </w:r>
      <w:r>
        <w:rPr>
          <w:rFonts w:hint="default" w:ascii="Times New Roman" w:hAnsi="Times New Roman" w:eastAsia="宋体" w:cs="Times New Roman"/>
          <w:color w:val="auto"/>
          <w:sz w:val="24"/>
          <w:szCs w:val="24"/>
          <w:highlight w:val="none"/>
        </w:rPr>
        <w:t>农用地土壤污染风险管控标</w:t>
      </w:r>
      <w:r>
        <w:rPr>
          <w:rFonts w:hint="default" w:ascii="Times New Roman" w:hAnsi="Times New Roman" w:eastAsia="宋体" w:cs="Times New Roman"/>
          <w:color w:val="auto"/>
          <w:spacing w:val="-1"/>
          <w:sz w:val="24"/>
          <w:szCs w:val="24"/>
          <w:highlight w:val="none"/>
        </w:rPr>
        <w:t>准（试行）》</w:t>
      </w:r>
      <w:r>
        <w:rPr>
          <w:rFonts w:hint="default" w:ascii="Times New Roman" w:hAnsi="Times New Roman" w:eastAsia="Times New Roman" w:cs="Times New Roman"/>
          <w:color w:val="auto"/>
          <w:spacing w:val="-1"/>
          <w:sz w:val="24"/>
          <w:szCs w:val="24"/>
          <w:highlight w:val="none"/>
        </w:rPr>
        <w:t>(GB15618-2018</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z w:val="24"/>
          <w:szCs w:val="24"/>
          <w:highlight w:val="none"/>
        </w:rPr>
        <w:t>表1农用地土壤污染风险筛选值（基本项目）</w:t>
      </w:r>
      <w:r>
        <w:rPr>
          <w:rFonts w:hint="default" w:ascii="Times New Roman" w:hAnsi="Times New Roman" w:eastAsia="宋体" w:cs="Times New Roman"/>
          <w:color w:val="auto"/>
          <w:spacing w:val="-1"/>
          <w:sz w:val="24"/>
          <w:szCs w:val="24"/>
          <w:highlight w:val="none"/>
        </w:rPr>
        <w:t>，见表</w:t>
      </w:r>
      <w:r>
        <w:rPr>
          <w:rFonts w:hint="default" w:ascii="Times New Roman" w:hAnsi="Times New Roman" w:eastAsia="Times New Roman" w:cs="Times New Roman"/>
          <w:color w:val="auto"/>
          <w:spacing w:val="-1"/>
          <w:sz w:val="24"/>
          <w:szCs w:val="24"/>
          <w:highlight w:val="none"/>
        </w:rPr>
        <w:t>2.4-9</w:t>
      </w:r>
      <w:r>
        <w:rPr>
          <w:rFonts w:hint="default" w:ascii="Times New Roman" w:hAnsi="Times New Roman" w:eastAsia="宋体" w:cs="Times New Roman"/>
          <w:color w:val="auto"/>
          <w:spacing w:val="-1"/>
          <w:sz w:val="24"/>
          <w:szCs w:val="24"/>
          <w:highlight w:val="none"/>
        </w:rPr>
        <w:t>。</w:t>
      </w:r>
    </w:p>
    <w:p w14:paraId="297B46E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bCs/>
          <w:color w:val="auto"/>
          <w:sz w:val="24"/>
          <w:szCs w:val="24"/>
          <w:highlight w:val="none"/>
          <w:lang w:eastAsia="zh-CN"/>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2.4-9</w:t>
      </w:r>
      <w:r>
        <w:rPr>
          <w:rFonts w:hint="default" w:ascii="Times New Roman" w:hAnsi="Times New Roman" w:eastAsia="宋体" w:cs="Times New Roman"/>
          <w:b/>
          <w:bCs/>
          <w:color w:val="auto"/>
          <w:spacing w:val="-1"/>
          <w:sz w:val="24"/>
          <w:szCs w:val="24"/>
          <w:highlight w:val="none"/>
          <w:lang w:val="en-US" w:eastAsia="zh-CN"/>
        </w:rPr>
        <w:t xml:space="preserve"> </w:t>
      </w:r>
      <w:r>
        <w:rPr>
          <w:rFonts w:hint="default" w:ascii="Times New Roman" w:hAnsi="Times New Roman" w:eastAsia="宋体" w:cs="Times New Roman"/>
          <w:b/>
          <w:bCs/>
          <w:color w:val="auto"/>
          <w:spacing w:val="-1"/>
          <w:sz w:val="24"/>
          <w:szCs w:val="24"/>
          <w:highlight w:val="none"/>
        </w:rPr>
        <w:t>土壤环境质量农用地土壤污染风险管控标准（试行）</w:t>
      </w:r>
      <w:r>
        <w:rPr>
          <w:rFonts w:hint="default" w:ascii="Times New Roman" w:hAnsi="Times New Roman" w:eastAsia="宋体" w:cs="Times New Roman"/>
          <w:b/>
          <w:bCs/>
          <w:color w:val="auto"/>
          <w:kern w:val="1"/>
          <w:sz w:val="24"/>
          <w:szCs w:val="24"/>
          <w:highlight w:val="none"/>
        </w:rPr>
        <w:t xml:space="preserve"> 单位：mg/kg</w:t>
      </w:r>
    </w:p>
    <w:p w14:paraId="034CD4B4">
      <w:pPr>
        <w:keepNext w:val="0"/>
        <w:keepLines w:val="0"/>
        <w:pageBreakBefore w:val="0"/>
        <w:kinsoku/>
        <w:wordWrap w:val="0"/>
        <w:overflowPunct/>
        <w:topLinePunct/>
        <w:autoSpaceDE/>
        <w:autoSpaceDN/>
        <w:bidi w:val="0"/>
        <w:adjustRightInd w:val="0"/>
        <w:snapToGrid w:val="0"/>
        <w:spacing w:line="51" w:lineRule="exact"/>
        <w:textAlignment w:val="baseline"/>
        <w:rPr>
          <w:rFonts w:hint="default" w:ascii="Times New Roman" w:hAnsi="Times New Roman" w:cs="Times New Roman"/>
          <w:color w:val="auto"/>
          <w:highlight w:val="none"/>
        </w:rPr>
      </w:pPr>
    </w:p>
    <w:tbl>
      <w:tblPr>
        <w:tblStyle w:val="34"/>
        <w:tblW w:w="8579"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402"/>
        <w:gridCol w:w="1973"/>
        <w:gridCol w:w="1553"/>
        <w:gridCol w:w="1978"/>
        <w:gridCol w:w="1673"/>
      </w:tblGrid>
      <w:tr w14:paraId="379745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restart"/>
            <w:tcBorders>
              <w:tl2br w:val="nil"/>
              <w:tr2bl w:val="nil"/>
            </w:tcBorders>
            <w:vAlign w:val="center"/>
          </w:tcPr>
          <w:p w14:paraId="3E2A6BE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序号</w:t>
            </w:r>
          </w:p>
        </w:tc>
        <w:tc>
          <w:tcPr>
            <w:tcW w:w="3526" w:type="dxa"/>
            <w:gridSpan w:val="2"/>
            <w:vMerge w:val="restart"/>
            <w:tcBorders>
              <w:tl2br w:val="nil"/>
              <w:tr2bl w:val="nil"/>
            </w:tcBorders>
            <w:vAlign w:val="center"/>
          </w:tcPr>
          <w:p w14:paraId="67E63F3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污染物项目</w:t>
            </w:r>
          </w:p>
        </w:tc>
        <w:tc>
          <w:tcPr>
            <w:tcW w:w="3651" w:type="dxa"/>
            <w:gridSpan w:val="2"/>
            <w:tcBorders>
              <w:tl2br w:val="nil"/>
              <w:tr2bl w:val="nil"/>
            </w:tcBorders>
            <w:vAlign w:val="center"/>
          </w:tcPr>
          <w:p w14:paraId="1863BFB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筛选值</w:t>
            </w:r>
          </w:p>
        </w:tc>
      </w:tr>
      <w:tr w14:paraId="0F9943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continue"/>
            <w:tcBorders>
              <w:tl2br w:val="nil"/>
              <w:tr2bl w:val="nil"/>
            </w:tcBorders>
            <w:vAlign w:val="center"/>
          </w:tcPr>
          <w:p w14:paraId="1AB6803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26" w:type="dxa"/>
            <w:gridSpan w:val="2"/>
            <w:vMerge w:val="continue"/>
            <w:tcBorders>
              <w:tl2br w:val="nil"/>
              <w:tr2bl w:val="nil"/>
            </w:tcBorders>
            <w:vAlign w:val="center"/>
          </w:tcPr>
          <w:p w14:paraId="055D2AD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978" w:type="dxa"/>
            <w:tcBorders>
              <w:tl2br w:val="nil"/>
              <w:tr2bl w:val="nil"/>
            </w:tcBorders>
            <w:vAlign w:val="center"/>
          </w:tcPr>
          <w:p w14:paraId="19B14D6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spacing w:val="-1"/>
                <w:highlight w:val="none"/>
              </w:rPr>
              <w:t>6.5</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pH</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7.5</w:t>
            </w:r>
          </w:p>
        </w:tc>
        <w:tc>
          <w:tcPr>
            <w:tcW w:w="1673" w:type="dxa"/>
            <w:tcBorders>
              <w:tl2br w:val="nil"/>
              <w:tr2bl w:val="nil"/>
            </w:tcBorders>
            <w:vAlign w:val="center"/>
          </w:tcPr>
          <w:p w14:paraId="2930FE2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pH</w:t>
            </w:r>
            <w:r>
              <w:rPr>
                <w:rFonts w:hint="default" w:ascii="Times New Roman" w:hAnsi="Times New Roman" w:cs="Times New Roman"/>
                <w:color w:val="auto"/>
                <w:highlight w:val="none"/>
              </w:rPr>
              <w:t>＞</w:t>
            </w:r>
            <w:r>
              <w:rPr>
                <w:rFonts w:hint="default" w:ascii="Times New Roman" w:hAnsi="Times New Roman" w:eastAsia="Times New Roman" w:cs="Times New Roman"/>
                <w:color w:val="auto"/>
                <w:highlight w:val="none"/>
              </w:rPr>
              <w:t>7.5</w:t>
            </w:r>
          </w:p>
        </w:tc>
      </w:tr>
      <w:tr w14:paraId="2396CA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restart"/>
            <w:tcBorders>
              <w:tl2br w:val="nil"/>
              <w:tr2bl w:val="nil"/>
            </w:tcBorders>
            <w:vAlign w:val="center"/>
          </w:tcPr>
          <w:p w14:paraId="598F321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1973" w:type="dxa"/>
            <w:vMerge w:val="restart"/>
            <w:tcBorders>
              <w:tl2br w:val="nil"/>
              <w:tr2bl w:val="nil"/>
            </w:tcBorders>
            <w:vAlign w:val="center"/>
          </w:tcPr>
          <w:p w14:paraId="147355DB">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砷</w:t>
            </w:r>
          </w:p>
        </w:tc>
        <w:tc>
          <w:tcPr>
            <w:tcW w:w="1553" w:type="dxa"/>
            <w:tcBorders>
              <w:tl2br w:val="nil"/>
              <w:tr2bl w:val="nil"/>
            </w:tcBorders>
            <w:vAlign w:val="center"/>
          </w:tcPr>
          <w:p w14:paraId="55728DC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水田</w:t>
            </w:r>
          </w:p>
        </w:tc>
        <w:tc>
          <w:tcPr>
            <w:tcW w:w="1978" w:type="dxa"/>
            <w:tcBorders>
              <w:tl2br w:val="nil"/>
              <w:tr2bl w:val="nil"/>
            </w:tcBorders>
            <w:vAlign w:val="center"/>
          </w:tcPr>
          <w:p w14:paraId="7208673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25</w:t>
            </w:r>
          </w:p>
        </w:tc>
        <w:tc>
          <w:tcPr>
            <w:tcW w:w="1673" w:type="dxa"/>
            <w:tcBorders>
              <w:tl2br w:val="nil"/>
              <w:tr2bl w:val="nil"/>
            </w:tcBorders>
            <w:vAlign w:val="center"/>
          </w:tcPr>
          <w:p w14:paraId="5B05470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20</w:t>
            </w:r>
          </w:p>
        </w:tc>
      </w:tr>
      <w:tr w14:paraId="520244A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continue"/>
            <w:tcBorders>
              <w:tl2br w:val="nil"/>
              <w:tr2bl w:val="nil"/>
            </w:tcBorders>
            <w:vAlign w:val="center"/>
          </w:tcPr>
          <w:p w14:paraId="484511A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973" w:type="dxa"/>
            <w:vMerge w:val="continue"/>
            <w:tcBorders>
              <w:tl2br w:val="nil"/>
              <w:tr2bl w:val="nil"/>
            </w:tcBorders>
            <w:vAlign w:val="center"/>
          </w:tcPr>
          <w:p w14:paraId="572E0B4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553" w:type="dxa"/>
            <w:tcBorders>
              <w:tl2br w:val="nil"/>
              <w:tr2bl w:val="nil"/>
            </w:tcBorders>
            <w:vAlign w:val="center"/>
          </w:tcPr>
          <w:p w14:paraId="7FEB968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其他</w:t>
            </w:r>
          </w:p>
        </w:tc>
        <w:tc>
          <w:tcPr>
            <w:tcW w:w="1978" w:type="dxa"/>
            <w:tcBorders>
              <w:tl2br w:val="nil"/>
              <w:tr2bl w:val="nil"/>
            </w:tcBorders>
            <w:vAlign w:val="center"/>
          </w:tcPr>
          <w:p w14:paraId="476D7F1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sz w:val="21"/>
                <w:szCs w:val="21"/>
                <w:highlight w:val="none"/>
              </w:rPr>
              <w:t>30</w:t>
            </w:r>
          </w:p>
        </w:tc>
        <w:tc>
          <w:tcPr>
            <w:tcW w:w="1673" w:type="dxa"/>
            <w:tcBorders>
              <w:tl2br w:val="nil"/>
              <w:tr2bl w:val="nil"/>
            </w:tcBorders>
            <w:vAlign w:val="center"/>
          </w:tcPr>
          <w:p w14:paraId="6BAB30B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25</w:t>
            </w:r>
          </w:p>
        </w:tc>
      </w:tr>
      <w:tr w14:paraId="212FF8C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restart"/>
            <w:tcBorders>
              <w:tl2br w:val="nil"/>
              <w:tr2bl w:val="nil"/>
            </w:tcBorders>
            <w:vAlign w:val="center"/>
          </w:tcPr>
          <w:p w14:paraId="49853C1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1973" w:type="dxa"/>
            <w:vMerge w:val="restart"/>
            <w:tcBorders>
              <w:tl2br w:val="nil"/>
              <w:tr2bl w:val="nil"/>
            </w:tcBorders>
            <w:vAlign w:val="center"/>
          </w:tcPr>
          <w:p w14:paraId="4FF2267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镉</w:t>
            </w:r>
          </w:p>
        </w:tc>
        <w:tc>
          <w:tcPr>
            <w:tcW w:w="1553" w:type="dxa"/>
            <w:tcBorders>
              <w:tl2br w:val="nil"/>
              <w:tr2bl w:val="nil"/>
            </w:tcBorders>
            <w:vAlign w:val="center"/>
          </w:tcPr>
          <w:p w14:paraId="4107709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水田</w:t>
            </w:r>
          </w:p>
        </w:tc>
        <w:tc>
          <w:tcPr>
            <w:tcW w:w="1978" w:type="dxa"/>
            <w:tcBorders>
              <w:tl2br w:val="nil"/>
              <w:tr2bl w:val="nil"/>
            </w:tcBorders>
            <w:vAlign w:val="center"/>
          </w:tcPr>
          <w:p w14:paraId="7AEC520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0.6</w:t>
            </w:r>
          </w:p>
        </w:tc>
        <w:tc>
          <w:tcPr>
            <w:tcW w:w="1673" w:type="dxa"/>
            <w:tcBorders>
              <w:tl2br w:val="nil"/>
              <w:tr2bl w:val="nil"/>
            </w:tcBorders>
            <w:vAlign w:val="center"/>
          </w:tcPr>
          <w:p w14:paraId="2B44D55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0.8</w:t>
            </w:r>
          </w:p>
        </w:tc>
      </w:tr>
      <w:tr w14:paraId="2DB04C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continue"/>
            <w:tcBorders>
              <w:tl2br w:val="nil"/>
              <w:tr2bl w:val="nil"/>
            </w:tcBorders>
            <w:vAlign w:val="center"/>
          </w:tcPr>
          <w:p w14:paraId="532B565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973" w:type="dxa"/>
            <w:vMerge w:val="continue"/>
            <w:tcBorders>
              <w:tl2br w:val="nil"/>
              <w:tr2bl w:val="nil"/>
            </w:tcBorders>
            <w:vAlign w:val="center"/>
          </w:tcPr>
          <w:p w14:paraId="1957C65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553" w:type="dxa"/>
            <w:tcBorders>
              <w:tl2br w:val="nil"/>
              <w:tr2bl w:val="nil"/>
            </w:tcBorders>
            <w:vAlign w:val="center"/>
          </w:tcPr>
          <w:p w14:paraId="7B47147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其他</w:t>
            </w:r>
          </w:p>
        </w:tc>
        <w:tc>
          <w:tcPr>
            <w:tcW w:w="1978" w:type="dxa"/>
            <w:tcBorders>
              <w:tl2br w:val="nil"/>
              <w:tr2bl w:val="nil"/>
            </w:tcBorders>
            <w:vAlign w:val="center"/>
          </w:tcPr>
          <w:p w14:paraId="6684B41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0.3</w:t>
            </w:r>
          </w:p>
        </w:tc>
        <w:tc>
          <w:tcPr>
            <w:tcW w:w="1673" w:type="dxa"/>
            <w:tcBorders>
              <w:tl2br w:val="nil"/>
              <w:tr2bl w:val="nil"/>
            </w:tcBorders>
            <w:vAlign w:val="center"/>
          </w:tcPr>
          <w:p w14:paraId="180E573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0.6</w:t>
            </w:r>
          </w:p>
        </w:tc>
      </w:tr>
      <w:tr w14:paraId="3878EA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restart"/>
            <w:tcBorders>
              <w:tl2br w:val="nil"/>
              <w:tr2bl w:val="nil"/>
            </w:tcBorders>
            <w:vAlign w:val="center"/>
          </w:tcPr>
          <w:p w14:paraId="48145DF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1973" w:type="dxa"/>
            <w:vMerge w:val="restart"/>
            <w:tcBorders>
              <w:tl2br w:val="nil"/>
              <w:tr2bl w:val="nil"/>
            </w:tcBorders>
            <w:vAlign w:val="center"/>
          </w:tcPr>
          <w:p w14:paraId="0451C49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铬</w:t>
            </w:r>
          </w:p>
        </w:tc>
        <w:tc>
          <w:tcPr>
            <w:tcW w:w="1553" w:type="dxa"/>
            <w:tcBorders>
              <w:tl2br w:val="nil"/>
              <w:tr2bl w:val="nil"/>
            </w:tcBorders>
            <w:vAlign w:val="center"/>
          </w:tcPr>
          <w:p w14:paraId="07A8130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水田</w:t>
            </w:r>
          </w:p>
        </w:tc>
        <w:tc>
          <w:tcPr>
            <w:tcW w:w="1978" w:type="dxa"/>
            <w:tcBorders>
              <w:tl2br w:val="nil"/>
              <w:tr2bl w:val="nil"/>
            </w:tcBorders>
            <w:vAlign w:val="center"/>
          </w:tcPr>
          <w:p w14:paraId="49F11FC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300</w:t>
            </w:r>
          </w:p>
        </w:tc>
        <w:tc>
          <w:tcPr>
            <w:tcW w:w="1673" w:type="dxa"/>
            <w:tcBorders>
              <w:tl2br w:val="nil"/>
              <w:tr2bl w:val="nil"/>
            </w:tcBorders>
            <w:vAlign w:val="center"/>
          </w:tcPr>
          <w:p w14:paraId="7426805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350</w:t>
            </w:r>
          </w:p>
        </w:tc>
      </w:tr>
      <w:tr w14:paraId="793690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continue"/>
            <w:tcBorders>
              <w:tl2br w:val="nil"/>
              <w:tr2bl w:val="nil"/>
            </w:tcBorders>
            <w:vAlign w:val="center"/>
          </w:tcPr>
          <w:p w14:paraId="6491DB7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973" w:type="dxa"/>
            <w:vMerge w:val="continue"/>
            <w:tcBorders>
              <w:tl2br w:val="nil"/>
              <w:tr2bl w:val="nil"/>
            </w:tcBorders>
            <w:vAlign w:val="center"/>
          </w:tcPr>
          <w:p w14:paraId="0641E2D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553" w:type="dxa"/>
            <w:tcBorders>
              <w:tl2br w:val="nil"/>
              <w:tr2bl w:val="nil"/>
            </w:tcBorders>
            <w:vAlign w:val="center"/>
          </w:tcPr>
          <w:p w14:paraId="19D6F6EB">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其他</w:t>
            </w:r>
          </w:p>
        </w:tc>
        <w:tc>
          <w:tcPr>
            <w:tcW w:w="1978" w:type="dxa"/>
            <w:tcBorders>
              <w:tl2br w:val="nil"/>
              <w:tr2bl w:val="nil"/>
            </w:tcBorders>
            <w:vAlign w:val="center"/>
          </w:tcPr>
          <w:p w14:paraId="3665B10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200</w:t>
            </w:r>
          </w:p>
        </w:tc>
        <w:tc>
          <w:tcPr>
            <w:tcW w:w="1673" w:type="dxa"/>
            <w:tcBorders>
              <w:tl2br w:val="nil"/>
              <w:tr2bl w:val="nil"/>
            </w:tcBorders>
            <w:vAlign w:val="center"/>
          </w:tcPr>
          <w:p w14:paraId="4F96529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250</w:t>
            </w:r>
          </w:p>
        </w:tc>
      </w:tr>
      <w:tr w14:paraId="67EED9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restart"/>
            <w:tcBorders>
              <w:tl2br w:val="nil"/>
              <w:tr2bl w:val="nil"/>
            </w:tcBorders>
            <w:vAlign w:val="center"/>
          </w:tcPr>
          <w:p w14:paraId="51DEF4F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1973" w:type="dxa"/>
            <w:vMerge w:val="restart"/>
            <w:tcBorders>
              <w:tl2br w:val="nil"/>
              <w:tr2bl w:val="nil"/>
            </w:tcBorders>
            <w:vAlign w:val="center"/>
          </w:tcPr>
          <w:p w14:paraId="56D7153D">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铜</w:t>
            </w:r>
          </w:p>
        </w:tc>
        <w:tc>
          <w:tcPr>
            <w:tcW w:w="1553" w:type="dxa"/>
            <w:tcBorders>
              <w:tl2br w:val="nil"/>
              <w:tr2bl w:val="nil"/>
            </w:tcBorders>
            <w:vAlign w:val="center"/>
          </w:tcPr>
          <w:p w14:paraId="707E8B1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水田</w:t>
            </w:r>
          </w:p>
        </w:tc>
        <w:tc>
          <w:tcPr>
            <w:tcW w:w="1978" w:type="dxa"/>
            <w:tcBorders>
              <w:tl2br w:val="nil"/>
              <w:tr2bl w:val="nil"/>
            </w:tcBorders>
            <w:vAlign w:val="center"/>
          </w:tcPr>
          <w:p w14:paraId="6AD81AD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200</w:t>
            </w:r>
          </w:p>
        </w:tc>
        <w:tc>
          <w:tcPr>
            <w:tcW w:w="1673" w:type="dxa"/>
            <w:tcBorders>
              <w:tl2br w:val="nil"/>
              <w:tr2bl w:val="nil"/>
            </w:tcBorders>
            <w:vAlign w:val="center"/>
          </w:tcPr>
          <w:p w14:paraId="110CA6A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200</w:t>
            </w:r>
          </w:p>
        </w:tc>
      </w:tr>
      <w:tr w14:paraId="26D1150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continue"/>
            <w:tcBorders>
              <w:tl2br w:val="nil"/>
              <w:tr2bl w:val="nil"/>
            </w:tcBorders>
            <w:vAlign w:val="center"/>
          </w:tcPr>
          <w:p w14:paraId="7DD8B15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973" w:type="dxa"/>
            <w:vMerge w:val="continue"/>
            <w:tcBorders>
              <w:tl2br w:val="nil"/>
              <w:tr2bl w:val="nil"/>
            </w:tcBorders>
            <w:vAlign w:val="center"/>
          </w:tcPr>
          <w:p w14:paraId="5888F5B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553" w:type="dxa"/>
            <w:tcBorders>
              <w:tl2br w:val="nil"/>
              <w:tr2bl w:val="nil"/>
            </w:tcBorders>
            <w:vAlign w:val="center"/>
          </w:tcPr>
          <w:p w14:paraId="1D0510D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其他</w:t>
            </w:r>
          </w:p>
        </w:tc>
        <w:tc>
          <w:tcPr>
            <w:tcW w:w="1978" w:type="dxa"/>
            <w:tcBorders>
              <w:tl2br w:val="nil"/>
              <w:tr2bl w:val="nil"/>
            </w:tcBorders>
            <w:vAlign w:val="center"/>
          </w:tcPr>
          <w:p w14:paraId="08D49D4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8"/>
                <w:sz w:val="21"/>
                <w:szCs w:val="21"/>
                <w:highlight w:val="none"/>
              </w:rPr>
              <w:t>100</w:t>
            </w:r>
          </w:p>
        </w:tc>
        <w:tc>
          <w:tcPr>
            <w:tcW w:w="1673" w:type="dxa"/>
            <w:tcBorders>
              <w:tl2br w:val="nil"/>
              <w:tr2bl w:val="nil"/>
            </w:tcBorders>
            <w:vAlign w:val="center"/>
          </w:tcPr>
          <w:p w14:paraId="331627C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8"/>
                <w:sz w:val="21"/>
                <w:szCs w:val="21"/>
                <w:highlight w:val="none"/>
              </w:rPr>
              <w:t>100</w:t>
            </w:r>
          </w:p>
        </w:tc>
      </w:tr>
      <w:tr w14:paraId="7A8950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restart"/>
            <w:tcBorders>
              <w:tl2br w:val="nil"/>
              <w:tr2bl w:val="nil"/>
            </w:tcBorders>
            <w:vAlign w:val="center"/>
          </w:tcPr>
          <w:p w14:paraId="1CB038A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c>
          <w:tcPr>
            <w:tcW w:w="1973" w:type="dxa"/>
            <w:vMerge w:val="restart"/>
            <w:tcBorders>
              <w:tl2br w:val="nil"/>
              <w:tr2bl w:val="nil"/>
            </w:tcBorders>
            <w:vAlign w:val="center"/>
          </w:tcPr>
          <w:p w14:paraId="58E13EA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铅</w:t>
            </w:r>
          </w:p>
        </w:tc>
        <w:tc>
          <w:tcPr>
            <w:tcW w:w="1553" w:type="dxa"/>
            <w:tcBorders>
              <w:tl2br w:val="nil"/>
              <w:tr2bl w:val="nil"/>
            </w:tcBorders>
            <w:vAlign w:val="center"/>
          </w:tcPr>
          <w:p w14:paraId="0500599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水田</w:t>
            </w:r>
          </w:p>
        </w:tc>
        <w:tc>
          <w:tcPr>
            <w:tcW w:w="1978" w:type="dxa"/>
            <w:tcBorders>
              <w:tl2br w:val="nil"/>
              <w:tr2bl w:val="nil"/>
            </w:tcBorders>
            <w:vAlign w:val="center"/>
          </w:tcPr>
          <w:p w14:paraId="7D42389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8"/>
                <w:sz w:val="21"/>
                <w:szCs w:val="21"/>
                <w:highlight w:val="none"/>
              </w:rPr>
              <w:t>140</w:t>
            </w:r>
          </w:p>
        </w:tc>
        <w:tc>
          <w:tcPr>
            <w:tcW w:w="1673" w:type="dxa"/>
            <w:tcBorders>
              <w:tl2br w:val="nil"/>
              <w:tr2bl w:val="nil"/>
            </w:tcBorders>
            <w:vAlign w:val="center"/>
          </w:tcPr>
          <w:p w14:paraId="0765CFA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240</w:t>
            </w:r>
          </w:p>
        </w:tc>
      </w:tr>
      <w:tr w14:paraId="36E5F1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continue"/>
            <w:tcBorders>
              <w:tl2br w:val="nil"/>
              <w:tr2bl w:val="nil"/>
            </w:tcBorders>
            <w:vAlign w:val="center"/>
          </w:tcPr>
          <w:p w14:paraId="393F62F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973" w:type="dxa"/>
            <w:vMerge w:val="continue"/>
            <w:tcBorders>
              <w:tl2br w:val="nil"/>
              <w:tr2bl w:val="nil"/>
            </w:tcBorders>
            <w:vAlign w:val="center"/>
          </w:tcPr>
          <w:p w14:paraId="5EE8B0C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553" w:type="dxa"/>
            <w:tcBorders>
              <w:tl2br w:val="nil"/>
              <w:tr2bl w:val="nil"/>
            </w:tcBorders>
            <w:vAlign w:val="center"/>
          </w:tcPr>
          <w:p w14:paraId="534CE3A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其他</w:t>
            </w:r>
          </w:p>
        </w:tc>
        <w:tc>
          <w:tcPr>
            <w:tcW w:w="1978" w:type="dxa"/>
            <w:tcBorders>
              <w:tl2br w:val="nil"/>
              <w:tr2bl w:val="nil"/>
            </w:tcBorders>
            <w:vAlign w:val="center"/>
          </w:tcPr>
          <w:p w14:paraId="6017AF2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8"/>
                <w:sz w:val="21"/>
                <w:szCs w:val="21"/>
                <w:highlight w:val="none"/>
              </w:rPr>
              <w:t>120</w:t>
            </w:r>
          </w:p>
        </w:tc>
        <w:tc>
          <w:tcPr>
            <w:tcW w:w="1673" w:type="dxa"/>
            <w:tcBorders>
              <w:tl2br w:val="nil"/>
              <w:tr2bl w:val="nil"/>
            </w:tcBorders>
            <w:vAlign w:val="center"/>
          </w:tcPr>
          <w:p w14:paraId="064FCB6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8"/>
                <w:sz w:val="21"/>
                <w:szCs w:val="21"/>
                <w:highlight w:val="none"/>
              </w:rPr>
              <w:t>170</w:t>
            </w:r>
          </w:p>
        </w:tc>
      </w:tr>
      <w:tr w14:paraId="4C1DB53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restart"/>
            <w:tcBorders>
              <w:tl2br w:val="nil"/>
              <w:tr2bl w:val="nil"/>
            </w:tcBorders>
            <w:vAlign w:val="center"/>
          </w:tcPr>
          <w:p w14:paraId="347D1E9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6</w:t>
            </w:r>
          </w:p>
        </w:tc>
        <w:tc>
          <w:tcPr>
            <w:tcW w:w="1973" w:type="dxa"/>
            <w:vMerge w:val="restart"/>
            <w:tcBorders>
              <w:tl2br w:val="nil"/>
              <w:tr2bl w:val="nil"/>
            </w:tcBorders>
            <w:vAlign w:val="center"/>
          </w:tcPr>
          <w:p w14:paraId="6F00E7FB">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汞</w:t>
            </w:r>
          </w:p>
        </w:tc>
        <w:tc>
          <w:tcPr>
            <w:tcW w:w="1553" w:type="dxa"/>
            <w:tcBorders>
              <w:tl2br w:val="nil"/>
              <w:tr2bl w:val="nil"/>
            </w:tcBorders>
            <w:vAlign w:val="center"/>
          </w:tcPr>
          <w:p w14:paraId="2CCC28D8">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水田</w:t>
            </w:r>
          </w:p>
        </w:tc>
        <w:tc>
          <w:tcPr>
            <w:tcW w:w="1978" w:type="dxa"/>
            <w:tcBorders>
              <w:tl2br w:val="nil"/>
              <w:tr2bl w:val="nil"/>
            </w:tcBorders>
            <w:vAlign w:val="center"/>
          </w:tcPr>
          <w:p w14:paraId="27C5804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0.6</w:t>
            </w:r>
          </w:p>
        </w:tc>
        <w:tc>
          <w:tcPr>
            <w:tcW w:w="1673" w:type="dxa"/>
            <w:tcBorders>
              <w:tl2br w:val="nil"/>
              <w:tr2bl w:val="nil"/>
            </w:tcBorders>
            <w:vAlign w:val="center"/>
          </w:tcPr>
          <w:p w14:paraId="4B3BC7E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8"/>
                <w:sz w:val="21"/>
                <w:szCs w:val="21"/>
                <w:highlight w:val="none"/>
              </w:rPr>
              <w:t>1.0</w:t>
            </w:r>
          </w:p>
        </w:tc>
      </w:tr>
      <w:tr w14:paraId="24FF41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continue"/>
            <w:tcBorders>
              <w:tl2br w:val="nil"/>
              <w:tr2bl w:val="nil"/>
            </w:tcBorders>
            <w:vAlign w:val="center"/>
          </w:tcPr>
          <w:p w14:paraId="78DF213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973" w:type="dxa"/>
            <w:vMerge w:val="continue"/>
            <w:tcBorders>
              <w:tl2br w:val="nil"/>
              <w:tr2bl w:val="nil"/>
            </w:tcBorders>
            <w:vAlign w:val="center"/>
          </w:tcPr>
          <w:p w14:paraId="431A3E0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1553" w:type="dxa"/>
            <w:tcBorders>
              <w:tl2br w:val="nil"/>
              <w:tr2bl w:val="nil"/>
            </w:tcBorders>
            <w:vAlign w:val="center"/>
          </w:tcPr>
          <w:p w14:paraId="3BD7B2C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其他</w:t>
            </w:r>
          </w:p>
        </w:tc>
        <w:tc>
          <w:tcPr>
            <w:tcW w:w="1978" w:type="dxa"/>
            <w:tcBorders>
              <w:tl2br w:val="nil"/>
              <w:tr2bl w:val="nil"/>
            </w:tcBorders>
            <w:vAlign w:val="center"/>
          </w:tcPr>
          <w:p w14:paraId="3AB0E1D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2.4</w:t>
            </w:r>
          </w:p>
        </w:tc>
        <w:tc>
          <w:tcPr>
            <w:tcW w:w="1673" w:type="dxa"/>
            <w:tcBorders>
              <w:tl2br w:val="nil"/>
              <w:tr2bl w:val="nil"/>
            </w:tcBorders>
            <w:vAlign w:val="center"/>
          </w:tcPr>
          <w:p w14:paraId="2486819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3.4</w:t>
            </w:r>
          </w:p>
        </w:tc>
      </w:tr>
      <w:tr w14:paraId="1C30F88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restart"/>
            <w:tcBorders>
              <w:tl2br w:val="nil"/>
              <w:tr2bl w:val="nil"/>
            </w:tcBorders>
            <w:vAlign w:val="center"/>
          </w:tcPr>
          <w:p w14:paraId="2815ABC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7</w:t>
            </w:r>
          </w:p>
        </w:tc>
        <w:tc>
          <w:tcPr>
            <w:tcW w:w="3526" w:type="dxa"/>
            <w:gridSpan w:val="2"/>
            <w:tcBorders>
              <w:tl2br w:val="nil"/>
              <w:tr2bl w:val="nil"/>
            </w:tcBorders>
            <w:vAlign w:val="center"/>
          </w:tcPr>
          <w:p w14:paraId="1B8F58B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镍</w:t>
            </w:r>
          </w:p>
        </w:tc>
        <w:tc>
          <w:tcPr>
            <w:tcW w:w="1978" w:type="dxa"/>
            <w:tcBorders>
              <w:tl2br w:val="nil"/>
              <w:tr2bl w:val="nil"/>
            </w:tcBorders>
            <w:vAlign w:val="center"/>
          </w:tcPr>
          <w:p w14:paraId="300F06B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8"/>
                <w:sz w:val="21"/>
                <w:szCs w:val="21"/>
                <w:highlight w:val="none"/>
              </w:rPr>
              <w:t>100</w:t>
            </w:r>
          </w:p>
        </w:tc>
        <w:tc>
          <w:tcPr>
            <w:tcW w:w="1673" w:type="dxa"/>
            <w:tcBorders>
              <w:tl2br w:val="nil"/>
              <w:tr2bl w:val="nil"/>
            </w:tcBorders>
            <w:vAlign w:val="center"/>
          </w:tcPr>
          <w:p w14:paraId="4C44654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8"/>
                <w:sz w:val="21"/>
                <w:szCs w:val="21"/>
                <w:highlight w:val="none"/>
              </w:rPr>
              <w:t>190</w:t>
            </w:r>
          </w:p>
        </w:tc>
      </w:tr>
      <w:tr w14:paraId="26B1E87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402" w:type="dxa"/>
            <w:vMerge w:val="continue"/>
            <w:tcBorders>
              <w:tl2br w:val="nil"/>
              <w:tr2bl w:val="nil"/>
            </w:tcBorders>
            <w:vAlign w:val="center"/>
          </w:tcPr>
          <w:p w14:paraId="150E12E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26" w:type="dxa"/>
            <w:gridSpan w:val="2"/>
            <w:tcBorders>
              <w:tl2br w:val="nil"/>
              <w:tr2bl w:val="nil"/>
            </w:tcBorders>
            <w:vAlign w:val="center"/>
          </w:tcPr>
          <w:p w14:paraId="575FDA0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锌</w:t>
            </w:r>
          </w:p>
        </w:tc>
        <w:tc>
          <w:tcPr>
            <w:tcW w:w="1978" w:type="dxa"/>
            <w:tcBorders>
              <w:tl2br w:val="nil"/>
              <w:tr2bl w:val="nil"/>
            </w:tcBorders>
            <w:vAlign w:val="center"/>
          </w:tcPr>
          <w:p w14:paraId="3C2D7EC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250</w:t>
            </w:r>
          </w:p>
        </w:tc>
        <w:tc>
          <w:tcPr>
            <w:tcW w:w="1673" w:type="dxa"/>
            <w:tcBorders>
              <w:tl2br w:val="nil"/>
              <w:tr2bl w:val="nil"/>
            </w:tcBorders>
            <w:vAlign w:val="center"/>
          </w:tcPr>
          <w:p w14:paraId="118421E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300</w:t>
            </w:r>
          </w:p>
        </w:tc>
      </w:tr>
    </w:tbl>
    <w:p w14:paraId="1009428E">
      <w:pPr>
        <w:keepNext w:val="0"/>
        <w:keepLines w:val="0"/>
        <w:pageBreakBefore w:val="0"/>
        <w:widowControl/>
        <w:numPr>
          <w:ilvl w:val="0"/>
          <w:numId w:val="0"/>
        </w:numPr>
        <w:kinsoku/>
        <w:wordWrap w:val="0"/>
        <w:overflowPunct/>
        <w:topLinePunct/>
        <w:autoSpaceDE/>
        <w:autoSpaceDN/>
        <w:bidi w:val="0"/>
        <w:adjustRightInd w:val="0"/>
        <w:snapToGrid w:val="0"/>
        <w:spacing w:before="113" w:line="360" w:lineRule="auto"/>
        <w:ind w:left="592" w:leftChars="0"/>
        <w:textAlignment w:val="baseline"/>
        <w:rPr>
          <w:rFonts w:hint="default" w:ascii="Times New Roman" w:hAnsi="Times New Roman" w:eastAsia="宋体" w:cs="Times New Roman"/>
          <w:b/>
          <w:bCs/>
          <w:color w:val="auto"/>
          <w:spacing w:val="-2"/>
          <w:sz w:val="24"/>
          <w:szCs w:val="24"/>
          <w:highlight w:val="none"/>
        </w:rPr>
      </w:pPr>
      <w:r>
        <w:rPr>
          <w:rFonts w:hint="default" w:ascii="Times New Roman" w:hAnsi="Times New Roman" w:eastAsia="宋体" w:cs="Times New Roman"/>
          <w:b/>
          <w:bCs/>
          <w:snapToGrid w:val="0"/>
          <w:color w:val="auto"/>
          <w:spacing w:val="-2"/>
          <w:kern w:val="0"/>
          <w:sz w:val="24"/>
          <w:szCs w:val="24"/>
          <w:highlight w:val="none"/>
          <w:lang w:val="en-US" w:eastAsia="en-US" w:bidi="ar-SA"/>
        </w:rPr>
        <w:t>2、</w:t>
      </w:r>
      <w:r>
        <w:rPr>
          <w:rFonts w:hint="default" w:ascii="Times New Roman" w:hAnsi="Times New Roman" w:eastAsia="宋体" w:cs="Times New Roman"/>
          <w:b/>
          <w:bCs/>
          <w:color w:val="auto"/>
          <w:spacing w:val="-2"/>
          <w:sz w:val="24"/>
          <w:szCs w:val="24"/>
          <w:highlight w:val="none"/>
        </w:rPr>
        <w:t>污染物排放标准</w:t>
      </w:r>
    </w:p>
    <w:p w14:paraId="1EA983B4">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firstLine="45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1</w:t>
      </w:r>
      <w:r>
        <w:rPr>
          <w:rFonts w:hint="default" w:ascii="Times New Roman" w:hAnsi="Times New Roman" w:eastAsia="宋体" w:cs="Times New Roman"/>
          <w:color w:val="auto"/>
          <w:spacing w:val="-6"/>
          <w:sz w:val="24"/>
          <w:szCs w:val="24"/>
          <w:highlight w:val="none"/>
        </w:rPr>
        <w:t>）废气</w:t>
      </w:r>
    </w:p>
    <w:p w14:paraId="6FF75DA4">
      <w:pPr>
        <w:pStyle w:val="40"/>
        <w:keepNext w:val="0"/>
        <w:keepLines w:val="0"/>
        <w:pageBreakBefore w:val="0"/>
        <w:widowControl/>
        <w:kinsoku/>
        <w:wordWrap w:val="0"/>
        <w:overflowPunct/>
        <w:topLinePunct/>
        <w:autoSpaceDE/>
        <w:autoSpaceDN/>
        <w:bidi w:val="0"/>
        <w:adjustRightInd/>
        <w:snapToGrid/>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fldChar w:fldCharType="begin"/>
      </w:r>
      <w:r>
        <w:rPr>
          <w:rFonts w:hint="default" w:ascii="Times New Roman" w:hAnsi="Times New Roman" w:eastAsia="宋体" w:cs="Times New Roman"/>
          <w:snapToGrid w:val="0"/>
          <w:color w:val="auto"/>
          <w:spacing w:val="-4"/>
          <w:kern w:val="0"/>
          <w:sz w:val="24"/>
          <w:szCs w:val="24"/>
          <w:highlight w:val="none"/>
          <w:lang w:val="en-US" w:eastAsia="en-US" w:bidi="ar-SA"/>
        </w:rPr>
        <w:instrText xml:space="preserve"> = 1 \* GB3 </w:instrText>
      </w:r>
      <w:r>
        <w:rPr>
          <w:rFonts w:hint="default" w:ascii="Times New Roman" w:hAnsi="Times New Roman" w:eastAsia="宋体" w:cs="Times New Roman"/>
          <w:snapToGrid w:val="0"/>
          <w:color w:val="auto"/>
          <w:spacing w:val="-4"/>
          <w:kern w:val="0"/>
          <w:sz w:val="24"/>
          <w:szCs w:val="24"/>
          <w:highlight w:val="none"/>
          <w:lang w:val="en-US" w:eastAsia="en-US" w:bidi="ar-SA"/>
        </w:rPr>
        <w:fldChar w:fldCharType="separate"/>
      </w:r>
      <w:r>
        <w:rPr>
          <w:rFonts w:hint="default" w:ascii="Times New Roman" w:hAnsi="Times New Roman" w:eastAsia="宋体" w:cs="Times New Roman"/>
          <w:snapToGrid w:val="0"/>
          <w:color w:val="auto"/>
          <w:spacing w:val="-4"/>
          <w:kern w:val="0"/>
          <w:sz w:val="24"/>
          <w:szCs w:val="24"/>
          <w:highlight w:val="none"/>
          <w:lang w:val="en-US" w:eastAsia="en-US" w:bidi="ar-SA"/>
        </w:rPr>
        <w:t>①</w:t>
      </w:r>
      <w:r>
        <w:rPr>
          <w:rFonts w:hint="default" w:ascii="Times New Roman" w:hAnsi="Times New Roman" w:eastAsia="宋体" w:cs="Times New Roman"/>
          <w:snapToGrid w:val="0"/>
          <w:color w:val="auto"/>
          <w:spacing w:val="-4"/>
          <w:kern w:val="0"/>
          <w:sz w:val="24"/>
          <w:szCs w:val="24"/>
          <w:highlight w:val="none"/>
          <w:lang w:val="en-US" w:eastAsia="en-US" w:bidi="ar-SA"/>
        </w:rPr>
        <w:fldChar w:fldCharType="end"/>
      </w:r>
      <w:r>
        <w:rPr>
          <w:rFonts w:hint="default" w:ascii="Times New Roman" w:hAnsi="Times New Roman" w:eastAsia="宋体" w:cs="Times New Roman"/>
          <w:snapToGrid w:val="0"/>
          <w:color w:val="auto"/>
          <w:spacing w:val="-4"/>
          <w:kern w:val="0"/>
          <w:sz w:val="24"/>
          <w:szCs w:val="24"/>
          <w:highlight w:val="none"/>
          <w:lang w:val="en-US" w:eastAsia="en-US" w:bidi="ar-SA"/>
        </w:rPr>
        <w:t>施工期</w:t>
      </w:r>
    </w:p>
    <w:p w14:paraId="7FD03F08">
      <w:pPr>
        <w:pStyle w:val="40"/>
        <w:keepNext w:val="0"/>
        <w:keepLines w:val="0"/>
        <w:pageBreakBefore w:val="0"/>
        <w:widowControl/>
        <w:kinsoku/>
        <w:wordWrap w:val="0"/>
        <w:overflowPunct/>
        <w:topLinePunct/>
        <w:autoSpaceDE/>
        <w:autoSpaceDN/>
        <w:bidi w:val="0"/>
        <w:adjustRightInd/>
        <w:snapToGrid/>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t>项目施工期施工场地扬尘排放执行《大气污染物综合排放标准》（GB16297-1996）表2中无组织排放监控浓度限值（周界外浓度最高点≤1.0mg/m</w:t>
      </w:r>
      <w:r>
        <w:rPr>
          <w:rFonts w:hint="default" w:ascii="Times New Roman" w:hAnsi="Times New Roman" w:eastAsia="宋体" w:cs="Times New Roman"/>
          <w:snapToGrid w:val="0"/>
          <w:color w:val="auto"/>
          <w:spacing w:val="-4"/>
          <w:kern w:val="0"/>
          <w:sz w:val="24"/>
          <w:szCs w:val="24"/>
          <w:highlight w:val="none"/>
          <w:vertAlign w:val="superscript"/>
          <w:lang w:val="en-US" w:eastAsia="en-US" w:bidi="ar-SA"/>
        </w:rPr>
        <w:t>3</w:t>
      </w:r>
      <w:r>
        <w:rPr>
          <w:rFonts w:hint="default" w:ascii="Times New Roman" w:hAnsi="Times New Roman" w:eastAsia="宋体" w:cs="Times New Roman"/>
          <w:snapToGrid w:val="0"/>
          <w:color w:val="auto"/>
          <w:spacing w:val="-4"/>
          <w:kern w:val="0"/>
          <w:sz w:val="24"/>
          <w:szCs w:val="24"/>
          <w:highlight w:val="none"/>
          <w:lang w:val="en-US" w:eastAsia="en-US" w:bidi="ar-SA"/>
        </w:rPr>
        <w:t>）。</w:t>
      </w:r>
    </w:p>
    <w:p w14:paraId="730F09D1">
      <w:pPr>
        <w:pStyle w:val="40"/>
        <w:keepNext w:val="0"/>
        <w:keepLines w:val="0"/>
        <w:pageBreakBefore w:val="0"/>
        <w:widowControl/>
        <w:kinsoku/>
        <w:wordWrap w:val="0"/>
        <w:overflowPunct/>
        <w:topLinePunct/>
        <w:autoSpaceDE/>
        <w:autoSpaceDN/>
        <w:bidi w:val="0"/>
        <w:adjustRightInd/>
        <w:snapToGrid/>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fldChar w:fldCharType="begin"/>
      </w:r>
      <w:r>
        <w:rPr>
          <w:rFonts w:hint="default" w:ascii="Times New Roman" w:hAnsi="Times New Roman" w:eastAsia="宋体" w:cs="Times New Roman"/>
          <w:snapToGrid w:val="0"/>
          <w:color w:val="auto"/>
          <w:spacing w:val="-4"/>
          <w:kern w:val="0"/>
          <w:sz w:val="24"/>
          <w:szCs w:val="24"/>
          <w:highlight w:val="none"/>
          <w:lang w:val="en-US" w:eastAsia="en-US" w:bidi="ar-SA"/>
        </w:rPr>
        <w:instrText xml:space="preserve"> = 2 \* GB3 </w:instrText>
      </w:r>
      <w:r>
        <w:rPr>
          <w:rFonts w:hint="default" w:ascii="Times New Roman" w:hAnsi="Times New Roman" w:eastAsia="宋体" w:cs="Times New Roman"/>
          <w:snapToGrid w:val="0"/>
          <w:color w:val="auto"/>
          <w:spacing w:val="-4"/>
          <w:kern w:val="0"/>
          <w:sz w:val="24"/>
          <w:szCs w:val="24"/>
          <w:highlight w:val="none"/>
          <w:lang w:val="en-US" w:eastAsia="en-US" w:bidi="ar-SA"/>
        </w:rPr>
        <w:fldChar w:fldCharType="separate"/>
      </w:r>
      <w:r>
        <w:rPr>
          <w:rFonts w:hint="default" w:ascii="Times New Roman" w:hAnsi="Times New Roman" w:eastAsia="宋体" w:cs="Times New Roman"/>
          <w:snapToGrid w:val="0"/>
          <w:color w:val="auto"/>
          <w:spacing w:val="-4"/>
          <w:kern w:val="0"/>
          <w:sz w:val="24"/>
          <w:szCs w:val="24"/>
          <w:highlight w:val="none"/>
          <w:lang w:val="en-US" w:eastAsia="en-US" w:bidi="ar-SA"/>
        </w:rPr>
        <w:t>②</w:t>
      </w:r>
      <w:r>
        <w:rPr>
          <w:rFonts w:hint="default" w:ascii="Times New Roman" w:hAnsi="Times New Roman" w:eastAsia="宋体" w:cs="Times New Roman"/>
          <w:snapToGrid w:val="0"/>
          <w:color w:val="auto"/>
          <w:spacing w:val="-4"/>
          <w:kern w:val="0"/>
          <w:sz w:val="24"/>
          <w:szCs w:val="24"/>
          <w:highlight w:val="none"/>
          <w:lang w:val="en-US" w:eastAsia="en-US" w:bidi="ar-SA"/>
        </w:rPr>
        <w:fldChar w:fldCharType="end"/>
      </w:r>
      <w:r>
        <w:rPr>
          <w:rFonts w:hint="default" w:ascii="Times New Roman" w:hAnsi="Times New Roman" w:eastAsia="宋体" w:cs="Times New Roman"/>
          <w:snapToGrid w:val="0"/>
          <w:color w:val="auto"/>
          <w:spacing w:val="-4"/>
          <w:kern w:val="0"/>
          <w:sz w:val="24"/>
          <w:szCs w:val="24"/>
          <w:highlight w:val="none"/>
          <w:lang w:val="en-US" w:eastAsia="en-US" w:bidi="ar-SA"/>
        </w:rPr>
        <w:t>运营期</w:t>
      </w:r>
    </w:p>
    <w:p w14:paraId="0F337570">
      <w:pPr>
        <w:pStyle w:val="40"/>
        <w:keepNext w:val="0"/>
        <w:keepLines w:val="0"/>
        <w:pageBreakBefore w:val="0"/>
        <w:widowControl/>
        <w:kinsoku/>
        <w:wordWrap w:val="0"/>
        <w:overflowPunct/>
        <w:topLinePunct/>
        <w:autoSpaceDE/>
        <w:autoSpaceDN/>
        <w:bidi w:val="0"/>
        <w:adjustRightInd/>
        <w:snapToGrid/>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green"/>
          <w:lang w:val="en-US" w:eastAsia="en-US" w:bidi="ar-SA"/>
        </w:rPr>
      </w:pPr>
      <w:r>
        <w:rPr>
          <w:rFonts w:hint="eastAsia" w:ascii="Times New Roman" w:hAnsi="Times New Roman" w:eastAsia="宋体" w:cs="Times New Roman"/>
          <w:snapToGrid w:val="0"/>
          <w:color w:val="auto"/>
          <w:spacing w:val="-4"/>
          <w:kern w:val="0"/>
          <w:sz w:val="24"/>
          <w:szCs w:val="24"/>
          <w:highlight w:val="green"/>
          <w:lang w:val="en-US" w:eastAsia="zh-CN" w:bidi="ar-SA"/>
        </w:rPr>
        <w:t>无组织废气：</w:t>
      </w:r>
      <w:r>
        <w:rPr>
          <w:rFonts w:hint="default" w:ascii="Times New Roman" w:hAnsi="Times New Roman" w:eastAsia="宋体" w:cs="Times New Roman"/>
          <w:snapToGrid w:val="0"/>
          <w:color w:val="auto"/>
          <w:spacing w:val="-4"/>
          <w:kern w:val="0"/>
          <w:sz w:val="24"/>
          <w:szCs w:val="24"/>
          <w:highlight w:val="green"/>
          <w:lang w:val="en-US" w:eastAsia="en-US" w:bidi="ar-SA"/>
        </w:rPr>
        <w:t>项目运营期养殖场恶臭污染</w:t>
      </w:r>
      <w:r>
        <w:rPr>
          <w:rFonts w:hint="default" w:ascii="Times New Roman" w:hAnsi="Times New Roman" w:eastAsia="宋体" w:cs="Times New Roman"/>
          <w:snapToGrid w:val="0"/>
          <w:color w:val="auto"/>
          <w:kern w:val="0"/>
          <w:sz w:val="24"/>
          <w:szCs w:val="24"/>
          <w:highlight w:val="green"/>
          <w:lang w:val="en-US" w:eastAsia="en-US" w:bidi="ar-SA"/>
        </w:rPr>
        <w:t>物中</w:t>
      </w:r>
      <w:r>
        <w:rPr>
          <w:rFonts w:hint="default" w:ascii="Times New Roman" w:hAnsi="Times New Roman" w:eastAsia="宋体" w:cs="Times New Roman"/>
          <w:snapToGrid w:val="0"/>
          <w:color w:val="auto"/>
          <w:kern w:val="0"/>
          <w:sz w:val="24"/>
          <w:szCs w:val="24"/>
          <w:highlight w:val="green"/>
          <w:lang w:val="zh-CN" w:eastAsia="en-US" w:bidi="ar-SA"/>
        </w:rPr>
        <w:t>H</w:t>
      </w:r>
      <w:r>
        <w:rPr>
          <w:rFonts w:hint="default" w:ascii="Times New Roman" w:hAnsi="Times New Roman" w:eastAsia="宋体" w:cs="Times New Roman"/>
          <w:snapToGrid w:val="0"/>
          <w:color w:val="auto"/>
          <w:kern w:val="0"/>
          <w:sz w:val="24"/>
          <w:szCs w:val="24"/>
          <w:highlight w:val="green"/>
          <w:vertAlign w:val="subscript"/>
          <w:lang w:val="zh-CN" w:eastAsia="en-US" w:bidi="ar-SA"/>
        </w:rPr>
        <w:t>2</w:t>
      </w:r>
      <w:r>
        <w:rPr>
          <w:rFonts w:hint="default" w:ascii="Times New Roman" w:hAnsi="Times New Roman" w:eastAsia="宋体" w:cs="Times New Roman"/>
          <w:snapToGrid w:val="0"/>
          <w:color w:val="auto"/>
          <w:kern w:val="0"/>
          <w:sz w:val="24"/>
          <w:szCs w:val="24"/>
          <w:highlight w:val="green"/>
          <w:lang w:val="zh-CN" w:eastAsia="en-US" w:bidi="ar-SA"/>
        </w:rPr>
        <w:t>S、NH</w:t>
      </w:r>
      <w:r>
        <w:rPr>
          <w:rFonts w:hint="default" w:ascii="Times New Roman" w:hAnsi="Times New Roman" w:eastAsia="宋体" w:cs="Times New Roman"/>
          <w:snapToGrid w:val="0"/>
          <w:color w:val="auto"/>
          <w:kern w:val="0"/>
          <w:sz w:val="24"/>
          <w:szCs w:val="24"/>
          <w:highlight w:val="green"/>
          <w:vertAlign w:val="subscript"/>
          <w:lang w:val="zh-CN" w:eastAsia="en-US" w:bidi="ar-SA"/>
        </w:rPr>
        <w:t>3</w:t>
      </w:r>
      <w:r>
        <w:rPr>
          <w:rFonts w:hint="default" w:ascii="Times New Roman" w:hAnsi="Times New Roman" w:eastAsia="宋体" w:cs="Times New Roman"/>
          <w:snapToGrid w:val="0"/>
          <w:color w:val="auto"/>
          <w:kern w:val="0"/>
          <w:sz w:val="24"/>
          <w:szCs w:val="24"/>
          <w:highlight w:val="green"/>
          <w:lang w:val="zh-CN" w:eastAsia="en-US" w:bidi="ar-SA"/>
        </w:rPr>
        <w:t>、</w:t>
      </w:r>
      <w:r>
        <w:rPr>
          <w:rFonts w:hint="default" w:ascii="Times New Roman" w:hAnsi="Times New Roman" w:eastAsia="宋体" w:cs="Times New Roman"/>
          <w:snapToGrid w:val="0"/>
          <w:color w:val="auto"/>
          <w:spacing w:val="-4"/>
          <w:kern w:val="0"/>
          <w:sz w:val="24"/>
          <w:szCs w:val="24"/>
          <w:highlight w:val="green"/>
          <w:lang w:val="zh-CN" w:eastAsia="en-US" w:bidi="ar-SA"/>
        </w:rPr>
        <w:t>臭气浓度</w:t>
      </w:r>
      <w:r>
        <w:rPr>
          <w:rFonts w:hint="default" w:ascii="Times New Roman" w:hAnsi="Times New Roman" w:eastAsia="宋体" w:cs="Times New Roman"/>
          <w:snapToGrid w:val="0"/>
          <w:color w:val="auto"/>
          <w:kern w:val="0"/>
          <w:sz w:val="24"/>
          <w:szCs w:val="24"/>
          <w:highlight w:val="green"/>
          <w:lang w:val="zh-CN" w:eastAsia="en-US" w:bidi="ar-SA"/>
        </w:rPr>
        <w:t>在厂界浓度执行《恶臭污染物排放标准》（GB14554-93</w:t>
      </w:r>
      <w:r>
        <w:rPr>
          <w:rFonts w:hint="default" w:ascii="Times New Roman" w:hAnsi="Times New Roman" w:eastAsia="宋体" w:cs="Times New Roman"/>
          <w:snapToGrid w:val="0"/>
          <w:color w:val="auto"/>
          <w:spacing w:val="-4"/>
          <w:kern w:val="0"/>
          <w:sz w:val="24"/>
          <w:szCs w:val="24"/>
          <w:highlight w:val="green"/>
          <w:lang w:val="zh-CN" w:eastAsia="en-US" w:bidi="ar-SA"/>
        </w:rPr>
        <w:t>）表1中二级新改扩建标准</w:t>
      </w:r>
      <w:r>
        <w:rPr>
          <w:rFonts w:hint="default" w:ascii="Times New Roman" w:hAnsi="Times New Roman" w:eastAsia="宋体" w:cs="Times New Roman"/>
          <w:snapToGrid w:val="0"/>
          <w:color w:val="auto"/>
          <w:spacing w:val="-4"/>
          <w:kern w:val="0"/>
          <w:sz w:val="24"/>
          <w:szCs w:val="24"/>
          <w:highlight w:val="green"/>
          <w:lang w:val="en-US" w:eastAsia="en-US" w:bidi="ar-SA"/>
        </w:rPr>
        <w:t>。各项标准数值见表2</w:t>
      </w:r>
      <w:r>
        <w:rPr>
          <w:rFonts w:hint="default" w:ascii="Times New Roman" w:hAnsi="Times New Roman" w:eastAsia="宋体" w:cs="Times New Roman"/>
          <w:snapToGrid w:val="0"/>
          <w:color w:val="auto"/>
          <w:spacing w:val="-4"/>
          <w:kern w:val="0"/>
          <w:sz w:val="24"/>
          <w:szCs w:val="24"/>
          <w:highlight w:val="green"/>
          <w:lang w:val="en-US" w:eastAsia="zh-CN" w:bidi="ar-SA"/>
        </w:rPr>
        <w:t>.4</w:t>
      </w:r>
      <w:r>
        <w:rPr>
          <w:rFonts w:hint="default" w:ascii="Times New Roman" w:hAnsi="Times New Roman" w:eastAsia="宋体" w:cs="Times New Roman"/>
          <w:snapToGrid w:val="0"/>
          <w:color w:val="auto"/>
          <w:spacing w:val="-4"/>
          <w:kern w:val="0"/>
          <w:sz w:val="24"/>
          <w:szCs w:val="24"/>
          <w:highlight w:val="green"/>
          <w:lang w:val="en-US" w:eastAsia="en-US" w:bidi="ar-SA"/>
        </w:rPr>
        <w:t>-</w:t>
      </w:r>
      <w:r>
        <w:rPr>
          <w:rFonts w:hint="default" w:ascii="Times New Roman" w:hAnsi="Times New Roman" w:eastAsia="宋体" w:cs="Times New Roman"/>
          <w:snapToGrid w:val="0"/>
          <w:color w:val="auto"/>
          <w:spacing w:val="-4"/>
          <w:kern w:val="0"/>
          <w:sz w:val="24"/>
          <w:szCs w:val="24"/>
          <w:highlight w:val="green"/>
          <w:lang w:val="en-US" w:eastAsia="zh-CN" w:bidi="ar-SA"/>
        </w:rPr>
        <w:t>10</w:t>
      </w:r>
      <w:r>
        <w:rPr>
          <w:rFonts w:hint="default" w:ascii="Times New Roman" w:hAnsi="Times New Roman" w:eastAsia="宋体" w:cs="Times New Roman"/>
          <w:snapToGrid w:val="0"/>
          <w:color w:val="auto"/>
          <w:spacing w:val="-4"/>
          <w:kern w:val="0"/>
          <w:sz w:val="24"/>
          <w:szCs w:val="24"/>
          <w:highlight w:val="green"/>
          <w:lang w:val="en-US" w:eastAsia="en-US" w:bidi="ar-SA"/>
        </w:rPr>
        <w:t>。</w:t>
      </w:r>
    </w:p>
    <w:p w14:paraId="6998D39C">
      <w:pPr>
        <w:pStyle w:val="40"/>
        <w:keepNext w:val="0"/>
        <w:keepLines w:val="0"/>
        <w:pageBreakBefore w:val="0"/>
        <w:widowControl/>
        <w:kinsoku/>
        <w:wordWrap w:val="0"/>
        <w:overflowPunct/>
        <w:topLinePunct/>
        <w:autoSpaceDE/>
        <w:autoSpaceDN/>
        <w:bidi w:val="0"/>
        <w:adjustRightInd/>
        <w:snapToGrid/>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eastAsia" w:ascii="Times New Roman" w:hAnsi="Times New Roman" w:eastAsia="宋体" w:cs="Times New Roman"/>
          <w:snapToGrid w:val="0"/>
          <w:color w:val="0000FF"/>
          <w:spacing w:val="-4"/>
          <w:kern w:val="0"/>
          <w:sz w:val="24"/>
          <w:szCs w:val="24"/>
          <w:highlight w:val="none"/>
          <w:lang w:val="en-US" w:eastAsia="zh-CN" w:bidi="ar-SA"/>
        </w:rPr>
        <w:t>有组织废气：粪污储存间</w:t>
      </w:r>
      <w:r>
        <w:rPr>
          <w:rFonts w:hint="eastAsia" w:ascii="Times New Roman" w:hAnsi="Times New Roman" w:eastAsia="宋体" w:cs="Times New Roman"/>
          <w:snapToGrid w:val="0"/>
          <w:color w:val="0000FF"/>
          <w:spacing w:val="-4"/>
          <w:kern w:val="0"/>
          <w:sz w:val="24"/>
          <w:szCs w:val="24"/>
          <w:highlight w:val="none"/>
          <w:lang w:val="en-US" w:eastAsia="en-US" w:bidi="ar-SA"/>
        </w:rPr>
        <w:t>硫化氢、氨</w:t>
      </w:r>
      <w:r>
        <w:rPr>
          <w:rFonts w:hint="eastAsia" w:ascii="Times New Roman" w:hAnsi="Times New Roman" w:eastAsia="宋体" w:cs="Times New Roman"/>
          <w:snapToGrid w:val="0"/>
          <w:color w:val="0000FF"/>
          <w:spacing w:val="-4"/>
          <w:kern w:val="0"/>
          <w:sz w:val="24"/>
          <w:szCs w:val="24"/>
          <w:highlight w:val="none"/>
          <w:lang w:val="en-US" w:eastAsia="zh-CN" w:bidi="ar-SA"/>
        </w:rPr>
        <w:t>、</w:t>
      </w:r>
      <w:r>
        <w:rPr>
          <w:rFonts w:hint="eastAsia" w:ascii="Times New Roman" w:hAnsi="Times New Roman" w:eastAsia="宋体" w:cs="Times New Roman"/>
          <w:snapToGrid w:val="0"/>
          <w:color w:val="0000FF"/>
          <w:spacing w:val="-4"/>
          <w:kern w:val="0"/>
          <w:sz w:val="24"/>
          <w:szCs w:val="24"/>
          <w:highlight w:val="none"/>
          <w:lang w:val="en-US" w:eastAsia="en-US" w:bidi="ar-SA"/>
        </w:rPr>
        <w:t>臭气浓度排放速率执行《恶臭污染物排放标准》（GB14554-93）表2中15m高排气筒标准要求。</w:t>
      </w:r>
    </w:p>
    <w:p w14:paraId="438C826B">
      <w:pPr>
        <w:keepNext w:val="0"/>
        <w:keepLines w:val="0"/>
        <w:pageBreakBefore w:val="0"/>
        <w:kinsoku/>
        <w:wordWrap w:val="0"/>
        <w:overflowPunct/>
        <w:topLinePunct/>
        <w:autoSpaceDE/>
        <w:autoSpaceDN/>
        <w:bidi w:val="0"/>
        <w:adjustRightInd w:val="0"/>
        <w:snapToGrid w:val="0"/>
        <w:spacing w:line="233" w:lineRule="auto"/>
        <w:jc w:val="center"/>
        <w:textAlignment w:val="baseline"/>
        <w:rPr>
          <w:rFonts w:hint="default" w:ascii="Times New Roman" w:hAnsi="Times New Roman" w:eastAsia="宋体" w:cs="Times New Roman"/>
          <w:b/>
          <w:bCs/>
          <w:color w:val="auto"/>
          <w:spacing w:val="-1"/>
          <w:sz w:val="24"/>
          <w:szCs w:val="24"/>
          <w:highlight w:val="none"/>
        </w:rPr>
      </w:pPr>
      <w:r>
        <w:rPr>
          <w:rFonts w:hint="default" w:ascii="Times New Roman" w:hAnsi="Times New Roman" w:eastAsia="宋体" w:cs="Times New Roman"/>
          <w:b/>
          <w:bCs/>
          <w:color w:val="auto"/>
          <w:spacing w:val="-1"/>
          <w:sz w:val="24"/>
          <w:szCs w:val="24"/>
          <w:highlight w:val="none"/>
        </w:rPr>
        <w:t>表2</w:t>
      </w:r>
      <w:r>
        <w:rPr>
          <w:rFonts w:hint="default"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宋体"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10</w:t>
      </w:r>
      <w:r>
        <w:rPr>
          <w:rFonts w:hint="default" w:ascii="Times New Roman" w:hAnsi="Times New Roman" w:eastAsia="宋体" w:cs="Times New Roman"/>
          <w:b/>
          <w:bCs/>
          <w:color w:val="auto"/>
          <w:spacing w:val="-1"/>
          <w:sz w:val="24"/>
          <w:szCs w:val="24"/>
          <w:highlight w:val="none"/>
        </w:rPr>
        <w:t>废气污染物排放标准一览表</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66"/>
        <w:gridCol w:w="1131"/>
        <w:gridCol w:w="2129"/>
        <w:gridCol w:w="4201"/>
      </w:tblGrid>
      <w:tr w14:paraId="669521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1288" w:type="pct"/>
            <w:gridSpan w:val="2"/>
            <w:shd w:val="clear" w:color="auto" w:fill="auto"/>
            <w:vAlign w:val="center"/>
          </w:tcPr>
          <w:p w14:paraId="007414D9">
            <w:pPr>
              <w:pStyle w:val="38"/>
              <w:rPr>
                <w:rFonts w:hint="default" w:ascii="Times New Roman" w:hAnsi="Times New Roman" w:cs="Times New Roman"/>
                <w:snapToGrid w:val="0"/>
                <w:color w:val="auto"/>
                <w:highlight w:val="none"/>
              </w:rPr>
            </w:pPr>
            <w:bookmarkStart w:id="76" w:name="_Hlk28278509"/>
            <w:r>
              <w:rPr>
                <w:rFonts w:hint="default" w:ascii="Times New Roman" w:hAnsi="Times New Roman" w:cs="Times New Roman"/>
                <w:snapToGrid w:val="0"/>
                <w:color w:val="auto"/>
                <w:highlight w:val="none"/>
              </w:rPr>
              <w:t>污染因子</w:t>
            </w:r>
          </w:p>
        </w:tc>
        <w:tc>
          <w:tcPr>
            <w:tcW w:w="1248" w:type="pct"/>
            <w:shd w:val="clear" w:color="auto" w:fill="auto"/>
            <w:vAlign w:val="center"/>
          </w:tcPr>
          <w:p w14:paraId="0050715F">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标准值</w:t>
            </w:r>
          </w:p>
        </w:tc>
        <w:tc>
          <w:tcPr>
            <w:tcW w:w="2462" w:type="pct"/>
            <w:shd w:val="clear" w:color="auto" w:fill="auto"/>
            <w:vAlign w:val="center"/>
          </w:tcPr>
          <w:p w14:paraId="291A0741">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标准来源</w:t>
            </w:r>
          </w:p>
        </w:tc>
      </w:tr>
      <w:tr w14:paraId="607FC3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25" w:type="pct"/>
            <w:vMerge w:val="restart"/>
            <w:shd w:val="clear" w:color="auto" w:fill="auto"/>
            <w:vAlign w:val="center"/>
          </w:tcPr>
          <w:p w14:paraId="74A12A0E">
            <w:pPr>
              <w:pStyle w:val="38"/>
              <w:rPr>
                <w:rFonts w:hint="eastAsia" w:ascii="Times New Roman" w:hAnsi="Times New Roman" w:eastAsia="宋体" w:cs="Times New Roman"/>
                <w:snapToGrid w:val="0"/>
                <w:color w:val="auto"/>
                <w:highlight w:val="none"/>
                <w:lang w:val="en-US" w:eastAsia="zh-CN"/>
              </w:rPr>
            </w:pPr>
            <w:r>
              <w:rPr>
                <w:rFonts w:hint="eastAsia" w:ascii="Times New Roman" w:hAnsi="Times New Roman" w:eastAsia="宋体" w:cs="Times New Roman"/>
                <w:snapToGrid w:val="0"/>
                <w:color w:val="auto"/>
                <w:highlight w:val="none"/>
                <w:lang w:val="en-US" w:eastAsia="zh-CN"/>
              </w:rPr>
              <w:t>无组织</w:t>
            </w:r>
          </w:p>
        </w:tc>
        <w:tc>
          <w:tcPr>
            <w:tcW w:w="663" w:type="pct"/>
            <w:shd w:val="clear" w:color="auto" w:fill="auto"/>
            <w:vAlign w:val="center"/>
          </w:tcPr>
          <w:p w14:paraId="31212C19">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臭气浓度</w:t>
            </w:r>
          </w:p>
        </w:tc>
        <w:tc>
          <w:tcPr>
            <w:tcW w:w="1248" w:type="pct"/>
            <w:shd w:val="clear" w:color="auto" w:fill="auto"/>
            <w:vAlign w:val="center"/>
          </w:tcPr>
          <w:p w14:paraId="65D75777">
            <w:pPr>
              <w:pStyle w:val="38"/>
              <w:rPr>
                <w:rFonts w:hint="default" w:ascii="Times New Roman" w:hAnsi="Times New Roman" w:cs="Times New Roman"/>
                <w:snapToGrid w:val="0"/>
                <w:color w:val="auto"/>
                <w:highlight w:val="none"/>
              </w:rPr>
            </w:pPr>
            <w:r>
              <w:rPr>
                <w:rFonts w:hint="eastAsia" w:ascii="Times New Roman" w:hAnsi="Times New Roman" w:eastAsia="宋体" w:cs="Times New Roman"/>
                <w:snapToGrid w:val="0"/>
                <w:color w:val="auto"/>
                <w:highlight w:val="none"/>
                <w:lang w:val="en-US" w:eastAsia="zh-CN"/>
              </w:rPr>
              <w:t>20</w:t>
            </w:r>
            <w:r>
              <w:rPr>
                <w:rFonts w:hint="default" w:ascii="Times New Roman" w:hAnsi="Times New Roman" w:cs="Times New Roman"/>
                <w:snapToGrid w:val="0"/>
                <w:color w:val="auto"/>
                <w:highlight w:val="none"/>
              </w:rPr>
              <w:t>（无量纲）</w:t>
            </w:r>
          </w:p>
        </w:tc>
        <w:tc>
          <w:tcPr>
            <w:tcW w:w="2462" w:type="pct"/>
            <w:shd w:val="clear" w:color="auto" w:fill="auto"/>
            <w:vAlign w:val="center"/>
          </w:tcPr>
          <w:p w14:paraId="11435E27">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green"/>
                <w:lang w:val="zh-CN" w:eastAsia="en-US"/>
              </w:rPr>
              <w:t>参照执行《恶臭污染物排放标准》(GB14554-93）表 1 中二级新改扩建标准</w:t>
            </w:r>
          </w:p>
        </w:tc>
      </w:tr>
      <w:tr w14:paraId="7856CA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25" w:type="pct"/>
            <w:vMerge w:val="continue"/>
            <w:shd w:val="clear" w:color="auto" w:fill="auto"/>
            <w:vAlign w:val="center"/>
          </w:tcPr>
          <w:p w14:paraId="207DD9B5">
            <w:pPr>
              <w:pStyle w:val="38"/>
              <w:rPr>
                <w:rFonts w:hint="default" w:ascii="Times New Roman" w:hAnsi="Times New Roman" w:cs="Times New Roman"/>
                <w:snapToGrid w:val="0"/>
                <w:color w:val="auto"/>
                <w:highlight w:val="none"/>
              </w:rPr>
            </w:pPr>
          </w:p>
        </w:tc>
        <w:tc>
          <w:tcPr>
            <w:tcW w:w="663" w:type="pct"/>
            <w:shd w:val="clear" w:color="auto" w:fill="auto"/>
            <w:vAlign w:val="center"/>
          </w:tcPr>
          <w:p w14:paraId="07DDE0CF">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硫化氢</w:t>
            </w:r>
          </w:p>
        </w:tc>
        <w:tc>
          <w:tcPr>
            <w:tcW w:w="1248" w:type="pct"/>
            <w:shd w:val="clear" w:color="auto" w:fill="auto"/>
            <w:vAlign w:val="center"/>
          </w:tcPr>
          <w:p w14:paraId="1715B44C">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0.06mg/m</w:t>
            </w:r>
            <w:r>
              <w:rPr>
                <w:rFonts w:hint="default" w:ascii="Times New Roman" w:hAnsi="Times New Roman" w:cs="Times New Roman"/>
                <w:snapToGrid w:val="0"/>
                <w:color w:val="auto"/>
                <w:highlight w:val="none"/>
                <w:vertAlign w:val="superscript"/>
              </w:rPr>
              <w:t>3</w:t>
            </w:r>
          </w:p>
        </w:tc>
        <w:tc>
          <w:tcPr>
            <w:tcW w:w="2462" w:type="pct"/>
            <w:vMerge w:val="restart"/>
            <w:shd w:val="clear" w:color="auto" w:fill="auto"/>
            <w:vAlign w:val="center"/>
          </w:tcPr>
          <w:p w14:paraId="36B27C49">
            <w:pPr>
              <w:pStyle w:val="38"/>
              <w:jc w:val="both"/>
              <w:rPr>
                <w:rFonts w:hint="default" w:ascii="Times New Roman" w:hAnsi="Times New Roman" w:cs="Times New Roman"/>
                <w:snapToGrid w:val="0"/>
                <w:color w:val="auto"/>
                <w:highlight w:val="none"/>
              </w:rPr>
            </w:pPr>
            <w:r>
              <w:rPr>
                <w:rFonts w:hint="default" w:ascii="Times New Roman" w:hAnsi="Times New Roman" w:eastAsia="宋体" w:cs="Times New Roman"/>
                <w:snapToGrid w:val="0"/>
                <w:color w:val="auto"/>
                <w:highlight w:val="none"/>
                <w:lang w:eastAsia="zh-CN"/>
              </w:rPr>
              <w:t>厂界</w:t>
            </w:r>
            <w:r>
              <w:rPr>
                <w:rFonts w:hint="default" w:ascii="Times New Roman" w:hAnsi="Times New Roman" w:cs="Times New Roman"/>
                <w:snapToGrid w:val="0"/>
                <w:color w:val="auto"/>
                <w:highlight w:val="none"/>
              </w:rPr>
              <w:t>浓度执行《恶臭污染物排放标准》（GB14554-93）表1中二级新</w:t>
            </w:r>
            <w:r>
              <w:rPr>
                <w:rFonts w:hint="default" w:ascii="Times New Roman" w:hAnsi="Times New Roman" w:cs="Times New Roman"/>
                <w:snapToGrid w:val="0"/>
                <w:color w:val="auto"/>
                <w:highlight w:val="none"/>
                <w:lang w:eastAsia="zh-CN"/>
              </w:rPr>
              <w:t>改扩</w:t>
            </w:r>
            <w:r>
              <w:rPr>
                <w:rFonts w:hint="default" w:ascii="Times New Roman" w:hAnsi="Times New Roman" w:cs="Times New Roman"/>
                <w:snapToGrid w:val="0"/>
                <w:color w:val="auto"/>
                <w:highlight w:val="none"/>
              </w:rPr>
              <w:t>建标准</w:t>
            </w:r>
          </w:p>
        </w:tc>
      </w:tr>
      <w:tr w14:paraId="469AA8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25" w:type="pct"/>
            <w:vMerge w:val="continue"/>
            <w:shd w:val="clear" w:color="auto" w:fill="auto"/>
            <w:vAlign w:val="center"/>
          </w:tcPr>
          <w:p w14:paraId="34A70D66">
            <w:pPr>
              <w:pStyle w:val="38"/>
              <w:rPr>
                <w:rFonts w:hint="default" w:ascii="Times New Roman" w:hAnsi="Times New Roman" w:cs="Times New Roman"/>
                <w:snapToGrid w:val="0"/>
                <w:color w:val="auto"/>
                <w:highlight w:val="none"/>
              </w:rPr>
            </w:pPr>
          </w:p>
        </w:tc>
        <w:tc>
          <w:tcPr>
            <w:tcW w:w="663" w:type="pct"/>
            <w:shd w:val="clear" w:color="auto" w:fill="auto"/>
            <w:vAlign w:val="center"/>
          </w:tcPr>
          <w:p w14:paraId="5CB8CE66">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氨</w:t>
            </w:r>
          </w:p>
        </w:tc>
        <w:tc>
          <w:tcPr>
            <w:tcW w:w="1248" w:type="pct"/>
            <w:shd w:val="clear" w:color="auto" w:fill="auto"/>
            <w:vAlign w:val="center"/>
          </w:tcPr>
          <w:p w14:paraId="07B9D65A">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1.5mg/m</w:t>
            </w:r>
            <w:r>
              <w:rPr>
                <w:rFonts w:hint="default" w:ascii="Times New Roman" w:hAnsi="Times New Roman" w:cs="Times New Roman"/>
                <w:snapToGrid w:val="0"/>
                <w:color w:val="auto"/>
                <w:highlight w:val="none"/>
                <w:vertAlign w:val="superscript"/>
              </w:rPr>
              <w:t>3</w:t>
            </w:r>
          </w:p>
        </w:tc>
        <w:tc>
          <w:tcPr>
            <w:tcW w:w="2462" w:type="pct"/>
            <w:vMerge w:val="continue"/>
            <w:shd w:val="clear" w:color="auto" w:fill="auto"/>
            <w:vAlign w:val="center"/>
          </w:tcPr>
          <w:p w14:paraId="7F60FB6E">
            <w:pPr>
              <w:pStyle w:val="38"/>
              <w:rPr>
                <w:rFonts w:hint="default" w:ascii="Times New Roman" w:hAnsi="Times New Roman" w:cs="Times New Roman"/>
                <w:snapToGrid w:val="0"/>
                <w:color w:val="auto"/>
                <w:highlight w:val="none"/>
              </w:rPr>
            </w:pPr>
          </w:p>
        </w:tc>
      </w:tr>
      <w:tr w14:paraId="266426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6" w:hRule="atLeast"/>
        </w:trPr>
        <w:tc>
          <w:tcPr>
            <w:tcW w:w="625" w:type="pct"/>
            <w:vMerge w:val="restart"/>
            <w:shd w:val="clear" w:color="auto" w:fill="auto"/>
            <w:vAlign w:val="center"/>
          </w:tcPr>
          <w:p w14:paraId="590915BA">
            <w:pPr>
              <w:pStyle w:val="38"/>
              <w:ind w:left="0" w:leftChars="0" w:firstLine="0" w:firstLineChars="0"/>
              <w:rPr>
                <w:rFonts w:hint="default" w:ascii="Arial" w:hAnsi="Arial" w:eastAsia="Arial" w:cs="Times New Roman"/>
                <w:snapToGrid w:val="0"/>
                <w:color w:val="0000FF"/>
                <w:kern w:val="0"/>
                <w:sz w:val="21"/>
                <w:szCs w:val="21"/>
                <w:lang w:val="en-US" w:eastAsia="zh-CN" w:bidi="ar-SA"/>
              </w:rPr>
            </w:pPr>
            <w:r>
              <w:rPr>
                <w:rFonts w:hint="eastAsia" w:cs="Times New Roman"/>
                <w:snapToGrid w:val="0"/>
                <w:color w:val="0000FF"/>
                <w:kern w:val="0"/>
                <w:sz w:val="21"/>
                <w:szCs w:val="21"/>
                <w:lang w:val="en-US" w:eastAsia="zh-CN" w:bidi="ar-SA"/>
              </w:rPr>
              <w:t>有组织</w:t>
            </w:r>
          </w:p>
        </w:tc>
        <w:tc>
          <w:tcPr>
            <w:tcW w:w="663" w:type="pct"/>
            <w:shd w:val="clear" w:color="auto" w:fill="auto"/>
            <w:vAlign w:val="center"/>
          </w:tcPr>
          <w:p w14:paraId="061408B1">
            <w:pPr>
              <w:pStyle w:val="38"/>
              <w:ind w:left="0" w:leftChars="0" w:firstLine="0" w:firstLineChars="0"/>
              <w:rPr>
                <w:rFonts w:hint="eastAsia" w:cs="Times New Roman"/>
                <w:snapToGrid w:val="0"/>
                <w:color w:val="0000FF"/>
                <w:lang w:eastAsia="zh-CN"/>
              </w:rPr>
            </w:pPr>
            <w:r>
              <w:rPr>
                <w:rFonts w:hint="eastAsia" w:cs="Times New Roman"/>
                <w:snapToGrid w:val="0"/>
                <w:color w:val="0000FF"/>
                <w:lang w:eastAsia="zh-CN"/>
              </w:rPr>
              <w:t>臭气浓度</w:t>
            </w:r>
          </w:p>
        </w:tc>
        <w:tc>
          <w:tcPr>
            <w:tcW w:w="1248" w:type="pct"/>
            <w:shd w:val="clear" w:color="auto" w:fill="auto"/>
            <w:vAlign w:val="center"/>
          </w:tcPr>
          <w:p w14:paraId="68AD2E2E">
            <w:pPr>
              <w:pStyle w:val="38"/>
              <w:rPr>
                <w:rFonts w:hint="default" w:ascii="Times New Roman" w:hAnsi="Times New Roman" w:cs="Times New Roman"/>
                <w:snapToGrid w:val="0"/>
                <w:color w:val="0000FF"/>
                <w:highlight w:val="none"/>
              </w:rPr>
            </w:pPr>
            <w:r>
              <w:rPr>
                <w:rFonts w:hint="eastAsia" w:ascii="Times New Roman" w:hAnsi="Times New Roman" w:cs="Times New Roman"/>
                <w:snapToGrid w:val="0"/>
                <w:color w:val="0000FF"/>
                <w:highlight w:val="none"/>
                <w:lang w:eastAsia="zh-CN"/>
              </w:rPr>
              <w:t>2</w:t>
            </w:r>
            <w:r>
              <w:rPr>
                <w:rFonts w:hint="default" w:ascii="Times New Roman" w:hAnsi="Times New Roman" w:cs="Times New Roman"/>
                <w:snapToGrid w:val="0"/>
                <w:color w:val="0000FF"/>
                <w:highlight w:val="none"/>
                <w:lang w:eastAsia="zh-CN"/>
              </w:rPr>
              <w:t>000</w:t>
            </w:r>
            <w:r>
              <w:rPr>
                <w:rFonts w:hint="default" w:ascii="Times New Roman" w:hAnsi="Times New Roman" w:cs="Times New Roman"/>
                <w:snapToGrid w:val="0"/>
                <w:color w:val="0000FF"/>
                <w:highlight w:val="none"/>
              </w:rPr>
              <w:t>（无量纲）</w:t>
            </w:r>
          </w:p>
        </w:tc>
        <w:tc>
          <w:tcPr>
            <w:tcW w:w="2462" w:type="pct"/>
            <w:vMerge w:val="restart"/>
            <w:shd w:val="clear" w:color="auto" w:fill="auto"/>
            <w:vAlign w:val="center"/>
          </w:tcPr>
          <w:p w14:paraId="04FEB67B">
            <w:pPr>
              <w:pStyle w:val="38"/>
              <w:rPr>
                <w:rFonts w:hint="default" w:ascii="Times New Roman" w:hAnsi="Times New Roman" w:cs="Times New Roman"/>
                <w:snapToGrid w:val="0"/>
                <w:color w:val="0000FF"/>
                <w:highlight w:val="none"/>
              </w:rPr>
            </w:pPr>
            <w:r>
              <w:rPr>
                <w:rFonts w:hint="eastAsia" w:ascii="Times New Roman" w:hAnsi="Times New Roman" w:cs="Times New Roman"/>
                <w:snapToGrid w:val="0"/>
                <w:color w:val="0000FF"/>
                <w:highlight w:val="none"/>
              </w:rPr>
              <w:t>《恶臭污染物排放标准》（GB14554-93）表2中15m高排气筒标准要求</w:t>
            </w:r>
          </w:p>
        </w:tc>
      </w:tr>
      <w:bookmarkEnd w:id="76"/>
      <w:tr w14:paraId="1EC9F1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25" w:type="pct"/>
            <w:vMerge w:val="continue"/>
            <w:shd w:val="clear" w:color="auto" w:fill="auto"/>
            <w:vAlign w:val="center"/>
          </w:tcPr>
          <w:p w14:paraId="029A3CFF">
            <w:pPr>
              <w:pStyle w:val="38"/>
              <w:ind w:left="0" w:leftChars="0" w:firstLine="0" w:firstLineChars="0"/>
              <w:rPr>
                <w:rFonts w:hint="default" w:ascii="Arial" w:hAnsi="Arial" w:eastAsia="Arial" w:cs="Times New Roman"/>
                <w:snapToGrid w:val="0"/>
                <w:color w:val="0000FF"/>
                <w:kern w:val="0"/>
                <w:sz w:val="21"/>
                <w:szCs w:val="21"/>
                <w:lang w:val="zh-CN" w:eastAsia="zh-CN" w:bidi="ar-SA"/>
              </w:rPr>
            </w:pPr>
          </w:p>
        </w:tc>
        <w:tc>
          <w:tcPr>
            <w:tcW w:w="663" w:type="pct"/>
            <w:shd w:val="clear" w:color="auto" w:fill="auto"/>
            <w:vAlign w:val="center"/>
          </w:tcPr>
          <w:p w14:paraId="1A588905">
            <w:pPr>
              <w:pStyle w:val="38"/>
              <w:ind w:left="0" w:leftChars="0" w:firstLine="0" w:firstLineChars="0"/>
              <w:rPr>
                <w:rFonts w:cs="Times New Roman"/>
                <w:snapToGrid w:val="0"/>
                <w:color w:val="0000FF"/>
              </w:rPr>
            </w:pPr>
            <w:r>
              <w:rPr>
                <w:rFonts w:cs="Times New Roman"/>
                <w:snapToGrid w:val="0"/>
                <w:color w:val="0000FF"/>
              </w:rPr>
              <w:t>硫化氢</w:t>
            </w:r>
          </w:p>
        </w:tc>
        <w:tc>
          <w:tcPr>
            <w:tcW w:w="1248" w:type="pct"/>
            <w:vAlign w:val="center"/>
          </w:tcPr>
          <w:p w14:paraId="463B28FF">
            <w:pPr>
              <w:pStyle w:val="38"/>
              <w:rPr>
                <w:rFonts w:hint="default" w:ascii="Times New Roman" w:hAnsi="Times New Roman" w:cs="Times New Roman"/>
                <w:snapToGrid w:val="0"/>
                <w:color w:val="0000FF"/>
                <w:highlight w:val="none"/>
              </w:rPr>
            </w:pPr>
            <w:r>
              <w:rPr>
                <w:rFonts w:hint="eastAsia" w:ascii="Times New Roman" w:hAnsi="Times New Roman" w:cs="Times New Roman"/>
                <w:snapToGrid w:val="0"/>
                <w:color w:val="0000FF"/>
                <w:highlight w:val="none"/>
                <w:lang w:eastAsia="zh-CN"/>
              </w:rPr>
              <w:t>0</w:t>
            </w:r>
            <w:r>
              <w:rPr>
                <w:rFonts w:hint="default" w:ascii="Times New Roman" w:hAnsi="Times New Roman" w:cs="Times New Roman"/>
                <w:snapToGrid w:val="0"/>
                <w:color w:val="0000FF"/>
                <w:highlight w:val="none"/>
                <w:lang w:eastAsia="zh-CN"/>
              </w:rPr>
              <w:t>.33</w:t>
            </w:r>
            <w:r>
              <w:rPr>
                <w:rFonts w:hint="eastAsia" w:ascii="Times New Roman" w:hAnsi="Times New Roman" w:cs="Times New Roman"/>
                <w:snapToGrid w:val="0"/>
                <w:color w:val="0000FF"/>
                <w:highlight w:val="none"/>
                <w:lang w:eastAsia="zh-CN"/>
              </w:rPr>
              <w:t>kg/h</w:t>
            </w:r>
          </w:p>
        </w:tc>
        <w:tc>
          <w:tcPr>
            <w:tcW w:w="2462" w:type="pct"/>
            <w:vMerge w:val="continue"/>
          </w:tcPr>
          <w:p w14:paraId="6FCCB6BA">
            <w:pPr>
              <w:pStyle w:val="38"/>
              <w:rPr>
                <w:rFonts w:hint="default" w:ascii="Times New Roman" w:hAnsi="Times New Roman" w:cs="Times New Roman"/>
                <w:snapToGrid w:val="0"/>
                <w:color w:val="0000FF"/>
                <w:highlight w:val="none"/>
              </w:rPr>
            </w:pPr>
          </w:p>
        </w:tc>
      </w:tr>
      <w:tr w14:paraId="7EF3AD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25" w:type="pct"/>
            <w:vMerge w:val="continue"/>
            <w:shd w:val="clear" w:color="auto" w:fill="auto"/>
            <w:vAlign w:val="center"/>
          </w:tcPr>
          <w:p w14:paraId="4646D1FD">
            <w:pPr>
              <w:pStyle w:val="38"/>
              <w:ind w:left="0" w:leftChars="0" w:firstLine="0" w:firstLineChars="0"/>
              <w:rPr>
                <w:rFonts w:hint="default" w:ascii="Arial" w:hAnsi="Arial" w:eastAsia="Arial" w:cs="Times New Roman"/>
                <w:snapToGrid w:val="0"/>
                <w:color w:val="0000FF"/>
                <w:kern w:val="0"/>
                <w:sz w:val="21"/>
                <w:szCs w:val="21"/>
                <w:lang w:val="zh-CN" w:eastAsia="zh-CN" w:bidi="ar-SA"/>
              </w:rPr>
            </w:pPr>
          </w:p>
        </w:tc>
        <w:tc>
          <w:tcPr>
            <w:tcW w:w="663" w:type="pct"/>
            <w:shd w:val="clear" w:color="auto" w:fill="auto"/>
            <w:vAlign w:val="center"/>
          </w:tcPr>
          <w:p w14:paraId="28294611">
            <w:pPr>
              <w:pStyle w:val="38"/>
              <w:ind w:left="0" w:leftChars="0" w:firstLine="0" w:firstLineChars="0"/>
              <w:rPr>
                <w:rFonts w:cs="Times New Roman"/>
                <w:snapToGrid w:val="0"/>
                <w:color w:val="0000FF"/>
              </w:rPr>
            </w:pPr>
            <w:r>
              <w:rPr>
                <w:rFonts w:cs="Times New Roman"/>
                <w:snapToGrid w:val="0"/>
                <w:color w:val="0000FF"/>
              </w:rPr>
              <w:t>氨</w:t>
            </w:r>
          </w:p>
        </w:tc>
        <w:tc>
          <w:tcPr>
            <w:tcW w:w="1248" w:type="pct"/>
            <w:vAlign w:val="center"/>
          </w:tcPr>
          <w:p w14:paraId="69A65229">
            <w:pPr>
              <w:pStyle w:val="38"/>
              <w:rPr>
                <w:rFonts w:hint="default" w:ascii="Times New Roman" w:hAnsi="Times New Roman" w:cs="Times New Roman"/>
                <w:snapToGrid w:val="0"/>
                <w:color w:val="0000FF"/>
                <w:highlight w:val="none"/>
              </w:rPr>
            </w:pPr>
            <w:r>
              <w:rPr>
                <w:rFonts w:hint="default" w:ascii="Times New Roman" w:hAnsi="Times New Roman" w:cs="Times New Roman"/>
                <w:snapToGrid w:val="0"/>
                <w:color w:val="0000FF"/>
                <w:highlight w:val="none"/>
                <w:lang w:eastAsia="zh-CN"/>
              </w:rPr>
              <w:t>4.9</w:t>
            </w:r>
            <w:r>
              <w:rPr>
                <w:rFonts w:hint="eastAsia" w:ascii="Times New Roman" w:hAnsi="Times New Roman" w:cs="Times New Roman"/>
                <w:snapToGrid w:val="0"/>
                <w:color w:val="0000FF"/>
                <w:highlight w:val="none"/>
                <w:lang w:eastAsia="zh-CN"/>
              </w:rPr>
              <w:t>kg/h</w:t>
            </w:r>
          </w:p>
        </w:tc>
        <w:tc>
          <w:tcPr>
            <w:tcW w:w="2462" w:type="pct"/>
            <w:vMerge w:val="continue"/>
          </w:tcPr>
          <w:p w14:paraId="2277BC4B">
            <w:pPr>
              <w:pStyle w:val="38"/>
              <w:rPr>
                <w:rFonts w:hint="default" w:ascii="Times New Roman" w:hAnsi="Times New Roman" w:cs="Times New Roman"/>
                <w:snapToGrid w:val="0"/>
                <w:color w:val="0000FF"/>
                <w:highlight w:val="none"/>
              </w:rPr>
            </w:pPr>
          </w:p>
        </w:tc>
      </w:tr>
    </w:tbl>
    <w:p w14:paraId="512F8653">
      <w:pPr>
        <w:keepNext w:val="0"/>
        <w:keepLines w:val="0"/>
        <w:pageBreakBefore w:val="0"/>
        <w:kinsoku/>
        <w:wordWrap w:val="0"/>
        <w:overflowPunct/>
        <w:topLinePunct/>
        <w:autoSpaceDE/>
        <w:autoSpaceDN/>
        <w:bidi w:val="0"/>
        <w:adjustRightInd w:val="0"/>
        <w:snapToGrid w:val="0"/>
        <w:spacing w:before="113" w:line="233" w:lineRule="auto"/>
        <w:ind w:left="61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2</w:t>
      </w:r>
      <w:r>
        <w:rPr>
          <w:rFonts w:hint="default" w:ascii="Times New Roman" w:hAnsi="Times New Roman" w:eastAsia="宋体" w:cs="Times New Roman"/>
          <w:color w:val="auto"/>
          <w:spacing w:val="-5"/>
          <w:sz w:val="24"/>
          <w:szCs w:val="24"/>
          <w:highlight w:val="none"/>
        </w:rPr>
        <w:t>）废水</w:t>
      </w:r>
    </w:p>
    <w:p w14:paraId="462E9FC1">
      <w:pPr>
        <w:keepNext w:val="0"/>
        <w:keepLines w:val="0"/>
        <w:pageBreakBefore w:val="0"/>
        <w:kinsoku/>
        <w:wordWrap w:val="0"/>
        <w:overflowPunct/>
        <w:topLinePunct/>
        <w:autoSpaceDE/>
        <w:autoSpaceDN/>
        <w:bidi w:val="0"/>
        <w:adjustRightInd w:val="0"/>
        <w:snapToGrid w:val="0"/>
        <w:spacing w:before="163" w:line="340" w:lineRule="auto"/>
        <w:ind w:left="131" w:right="110" w:firstLine="48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green"/>
        </w:rPr>
        <w:t>厂区做到雨污分流，</w:t>
      </w:r>
      <w:r>
        <w:rPr>
          <w:rFonts w:hint="default" w:ascii="Times New Roman" w:hAnsi="Times New Roman" w:eastAsia="宋体" w:cs="Times New Roman"/>
          <w:color w:val="auto"/>
          <w:sz w:val="24"/>
          <w:szCs w:val="24"/>
          <w:highlight w:val="green"/>
          <w:lang w:eastAsia="zh-CN"/>
        </w:rPr>
        <w:t>厂区</w:t>
      </w:r>
      <w:r>
        <w:rPr>
          <w:rFonts w:hint="default" w:ascii="Times New Roman" w:hAnsi="Times New Roman" w:eastAsia="宋体" w:cs="Times New Roman"/>
          <w:color w:val="auto"/>
          <w:sz w:val="24"/>
          <w:szCs w:val="24"/>
          <w:highlight w:val="green"/>
        </w:rPr>
        <w:t>雨水</w:t>
      </w:r>
      <w:r>
        <w:rPr>
          <w:rFonts w:hint="eastAsia" w:ascii="Times New Roman" w:hAnsi="Times New Roman" w:eastAsia="宋体" w:cs="Times New Roman"/>
          <w:color w:val="auto"/>
          <w:sz w:val="24"/>
          <w:szCs w:val="24"/>
          <w:highlight w:val="green"/>
          <w:lang w:val="en-US" w:eastAsia="zh-CN"/>
        </w:rPr>
        <w:t>经初期雨水池收集后拉运至集贤县碧蓝新环境治理有限责任公司进行处理</w:t>
      </w:r>
      <w:r>
        <w:rPr>
          <w:rFonts w:hint="eastAsia" w:ascii="Times New Roman" w:hAnsi="Times New Roman" w:eastAsia="宋体" w:cs="Times New Roman"/>
          <w:color w:val="auto"/>
          <w:sz w:val="24"/>
          <w:szCs w:val="24"/>
          <w:highlight w:val="green"/>
          <w:lang w:eastAsia="zh-CN"/>
        </w:rPr>
        <w:t>，运动场周围设置围堰，围堰高度40cm，运动场上面设置挡雨棚，牛舍与运动场四周设置雨水导流沟，收集的雨水排入雨水管网；</w:t>
      </w:r>
      <w:r>
        <w:rPr>
          <w:rFonts w:hint="default" w:ascii="Times New Roman" w:hAnsi="Times New Roman" w:eastAsia="宋体" w:cs="Times New Roman"/>
          <w:color w:val="auto"/>
          <w:sz w:val="24"/>
          <w:szCs w:val="24"/>
          <w:highlight w:val="none"/>
        </w:rPr>
        <w:t>生活污水排入化粪池，定期清掏</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运营期</w:t>
      </w:r>
      <w:r>
        <w:rPr>
          <w:rFonts w:hint="default" w:ascii="Times New Roman" w:hAnsi="Times New Roman" w:eastAsia="宋体" w:cs="Times New Roman"/>
          <w:color w:val="auto"/>
          <w:sz w:val="24"/>
          <w:szCs w:val="24"/>
          <w:highlight w:val="none"/>
        </w:rPr>
        <w:t>项目采用干撒式发酵床工艺，牛舍产生的牛尿一部分供微生物繁殖使用，一部分被升温转换为气体排出发酵床，不外排</w:t>
      </w:r>
      <w:r>
        <w:rPr>
          <w:rFonts w:hint="default" w:ascii="Times New Roman" w:hAnsi="Times New Roman" w:eastAsia="宋体" w:cs="Times New Roman"/>
          <w:color w:val="auto"/>
          <w:sz w:val="24"/>
          <w:szCs w:val="24"/>
          <w:highlight w:val="none"/>
          <w:lang w:eastAsia="zh-CN"/>
        </w:rPr>
        <w:t>。生活污水排入防渗旱厕，定期清淘，不外排。</w:t>
      </w:r>
    </w:p>
    <w:p w14:paraId="155BC221">
      <w:pPr>
        <w:keepNext w:val="0"/>
        <w:keepLines w:val="0"/>
        <w:pageBreakBefore w:val="0"/>
        <w:kinsoku/>
        <w:wordWrap w:val="0"/>
        <w:overflowPunct/>
        <w:topLinePunct/>
        <w:autoSpaceDE/>
        <w:autoSpaceDN/>
        <w:bidi w:val="0"/>
        <w:adjustRightInd w:val="0"/>
        <w:snapToGrid w:val="0"/>
        <w:spacing w:line="234" w:lineRule="auto"/>
        <w:ind w:left="61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3</w:t>
      </w:r>
      <w:r>
        <w:rPr>
          <w:rFonts w:hint="default" w:ascii="Times New Roman" w:hAnsi="Times New Roman" w:eastAsia="宋体" w:cs="Times New Roman"/>
          <w:color w:val="auto"/>
          <w:spacing w:val="-6"/>
          <w:sz w:val="24"/>
          <w:szCs w:val="24"/>
          <w:highlight w:val="none"/>
        </w:rPr>
        <w:t>）噪声</w:t>
      </w:r>
    </w:p>
    <w:p w14:paraId="49536F8A">
      <w:pPr>
        <w:keepNext w:val="0"/>
        <w:keepLines w:val="0"/>
        <w:pageBreakBefore w:val="0"/>
        <w:kinsoku/>
        <w:wordWrap w:val="0"/>
        <w:overflowPunct/>
        <w:topLinePunct/>
        <w:autoSpaceDE/>
        <w:autoSpaceDN/>
        <w:bidi w:val="0"/>
        <w:adjustRightInd w:val="0"/>
        <w:snapToGrid w:val="0"/>
        <w:spacing w:before="163" w:line="340" w:lineRule="auto"/>
        <w:ind w:left="131" w:right="110" w:firstLine="48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本项目施工期噪声执行《建筑施工</w:t>
      </w:r>
      <w:r>
        <w:rPr>
          <w:rFonts w:hint="default" w:ascii="Times New Roman" w:hAnsi="Times New Roman" w:eastAsia="宋体" w:cs="Times New Roman"/>
          <w:color w:val="auto"/>
          <w:sz w:val="24"/>
          <w:szCs w:val="24"/>
          <w:highlight w:val="none"/>
          <w:lang w:eastAsia="zh-CN"/>
        </w:rPr>
        <w:t>厂界</w:t>
      </w:r>
      <w:r>
        <w:rPr>
          <w:rFonts w:hint="default" w:ascii="Times New Roman" w:hAnsi="Times New Roman" w:eastAsia="宋体" w:cs="Times New Roman"/>
          <w:color w:val="auto"/>
          <w:sz w:val="24"/>
          <w:szCs w:val="24"/>
          <w:highlight w:val="none"/>
        </w:rPr>
        <w:t>环境噪声排放标准》（</w:t>
      </w:r>
      <w:r>
        <w:rPr>
          <w:rFonts w:hint="default" w:ascii="Times New Roman" w:hAnsi="Times New Roman" w:eastAsia="Times New Roman" w:cs="Times New Roman"/>
          <w:color w:val="auto"/>
          <w:sz w:val="24"/>
          <w:szCs w:val="24"/>
          <w:highlight w:val="none"/>
        </w:rPr>
        <w:t>GB12523-2011)</w:t>
      </w:r>
      <w:r>
        <w:rPr>
          <w:rFonts w:hint="default" w:ascii="Times New Roman" w:hAnsi="Times New Roman" w:eastAsia="宋体" w:cs="Times New Roman"/>
          <w:color w:val="auto"/>
          <w:sz w:val="24"/>
          <w:szCs w:val="24"/>
          <w:highlight w:val="none"/>
        </w:rPr>
        <w:t>相</w:t>
      </w:r>
      <w:r>
        <w:rPr>
          <w:rFonts w:hint="default" w:ascii="Times New Roman" w:hAnsi="Times New Roman" w:eastAsia="宋体" w:cs="Times New Roman"/>
          <w:color w:val="auto"/>
          <w:spacing w:val="-9"/>
          <w:sz w:val="24"/>
          <w:szCs w:val="24"/>
          <w:highlight w:val="none"/>
        </w:rPr>
        <w:t>应标准要求，运行期的噪声执行《工业企业厂界环境噪声排放标准》（</w:t>
      </w:r>
      <w:r>
        <w:rPr>
          <w:rFonts w:hint="default" w:ascii="Times New Roman" w:hAnsi="Times New Roman" w:eastAsia="Times New Roman" w:cs="Times New Roman"/>
          <w:color w:val="auto"/>
          <w:spacing w:val="-9"/>
          <w:sz w:val="24"/>
          <w:szCs w:val="24"/>
          <w:highlight w:val="none"/>
        </w:rPr>
        <w:t>GB12348-200</w:t>
      </w:r>
      <w:r>
        <w:rPr>
          <w:rFonts w:hint="default" w:ascii="Times New Roman" w:hAnsi="Times New Roman" w:eastAsia="Times New Roman" w:cs="Times New Roman"/>
          <w:color w:val="auto"/>
          <w:spacing w:val="-10"/>
          <w:sz w:val="24"/>
          <w:szCs w:val="24"/>
          <w:highlight w:val="none"/>
        </w:rPr>
        <w:t>8</w:t>
      </w:r>
      <w:r>
        <w:rPr>
          <w:rFonts w:hint="default" w:ascii="Times New Roman" w:hAnsi="Times New Roman" w:eastAsia="宋体" w:cs="Times New Roman"/>
          <w:color w:val="auto"/>
          <w:spacing w:val="-10"/>
          <w:sz w:val="24"/>
          <w:szCs w:val="24"/>
          <w:highlight w:val="none"/>
        </w:rPr>
        <w:t>）</w:t>
      </w:r>
      <w:r>
        <w:rPr>
          <w:rFonts w:hint="default" w:ascii="Times New Roman" w:hAnsi="Times New Roman" w:eastAsia="宋体" w:cs="Times New Roman"/>
          <w:color w:val="auto"/>
          <w:spacing w:val="-2"/>
          <w:sz w:val="24"/>
          <w:szCs w:val="24"/>
          <w:highlight w:val="none"/>
        </w:rPr>
        <w:t>中</w:t>
      </w:r>
      <w:r>
        <w:rPr>
          <w:rFonts w:hint="default" w:ascii="Times New Roman" w:hAnsi="Times New Roman" w:eastAsia="宋体" w:cs="Times New Roman"/>
          <w:color w:val="FF0000"/>
          <w:spacing w:val="-2"/>
          <w:sz w:val="24"/>
          <w:szCs w:val="24"/>
          <w:highlight w:val="none"/>
          <w:lang w:val="en-US" w:eastAsia="zh-CN"/>
        </w:rPr>
        <w:t>1</w:t>
      </w:r>
      <w:r>
        <w:rPr>
          <w:rFonts w:hint="default" w:ascii="Times New Roman" w:hAnsi="Times New Roman" w:eastAsia="宋体" w:cs="Times New Roman"/>
          <w:color w:val="FF0000"/>
          <w:spacing w:val="-2"/>
          <w:sz w:val="24"/>
          <w:szCs w:val="24"/>
          <w:highlight w:val="none"/>
        </w:rPr>
        <w:t>类</w:t>
      </w:r>
      <w:r>
        <w:rPr>
          <w:rFonts w:hint="default" w:ascii="Times New Roman" w:hAnsi="Times New Roman" w:eastAsia="宋体" w:cs="Times New Roman"/>
          <w:color w:val="auto"/>
          <w:spacing w:val="-2"/>
          <w:sz w:val="24"/>
          <w:szCs w:val="24"/>
          <w:highlight w:val="none"/>
        </w:rPr>
        <w:t>区标准，详见表</w:t>
      </w:r>
      <w:r>
        <w:rPr>
          <w:rFonts w:hint="default" w:ascii="Times New Roman" w:hAnsi="Times New Roman" w:eastAsia="Times New Roman" w:cs="Times New Roman"/>
          <w:color w:val="auto"/>
          <w:spacing w:val="-2"/>
          <w:sz w:val="24"/>
          <w:szCs w:val="24"/>
          <w:highlight w:val="none"/>
        </w:rPr>
        <w:t>2.4-1</w:t>
      </w:r>
      <w:r>
        <w:rPr>
          <w:rFonts w:hint="default" w:ascii="Times New Roman" w:hAnsi="Times New Roman" w:eastAsia="宋体" w:cs="Times New Roman"/>
          <w:color w:val="auto"/>
          <w:spacing w:val="-2"/>
          <w:sz w:val="24"/>
          <w:szCs w:val="24"/>
          <w:highlight w:val="none"/>
          <w:lang w:val="en-US" w:eastAsia="zh-CN"/>
        </w:rPr>
        <w:t>1</w:t>
      </w:r>
      <w:r>
        <w:rPr>
          <w:rFonts w:hint="default" w:ascii="Times New Roman" w:hAnsi="Times New Roman" w:eastAsia="宋体" w:cs="Times New Roman"/>
          <w:color w:val="auto"/>
          <w:spacing w:val="-2"/>
          <w:sz w:val="24"/>
          <w:szCs w:val="24"/>
          <w:highlight w:val="none"/>
        </w:rPr>
        <w:t>。</w:t>
      </w:r>
    </w:p>
    <w:p w14:paraId="55620769">
      <w:pPr>
        <w:keepNext w:val="0"/>
        <w:keepLines w:val="0"/>
        <w:pageBreakBefore w:val="0"/>
        <w:kinsoku/>
        <w:wordWrap w:val="0"/>
        <w:overflowPunct/>
        <w:topLinePunct/>
        <w:autoSpaceDE/>
        <w:autoSpaceDN/>
        <w:bidi w:val="0"/>
        <w:adjustRightInd w:val="0"/>
        <w:snapToGrid w:val="0"/>
        <w:spacing w:before="1" w:line="212" w:lineRule="auto"/>
        <w:ind w:left="2226"/>
        <w:textAlignment w:val="baseline"/>
        <w:rPr>
          <w:rFonts w:hint="default" w:ascii="Times New Roman" w:hAnsi="Times New Roman" w:eastAsia="Times New Roman"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2.4-1</w:t>
      </w:r>
      <w:r>
        <w:rPr>
          <w:rFonts w:hint="default" w:ascii="Times New Roman" w:hAnsi="Times New Roman" w:eastAsia="宋体" w:cs="Times New Roman"/>
          <w:b/>
          <w:bCs/>
          <w:color w:val="auto"/>
          <w:spacing w:val="-1"/>
          <w:sz w:val="24"/>
          <w:szCs w:val="24"/>
          <w:highlight w:val="none"/>
          <w:lang w:val="en-US" w:eastAsia="zh-CN"/>
        </w:rPr>
        <w:t>1</w:t>
      </w:r>
      <w:r>
        <w:rPr>
          <w:rFonts w:hint="default" w:ascii="Times New Roman" w:hAnsi="Times New Roman" w:eastAsia="宋体" w:cs="Times New Roman"/>
          <w:b/>
          <w:bCs/>
          <w:color w:val="auto"/>
          <w:spacing w:val="-1"/>
          <w:sz w:val="24"/>
          <w:szCs w:val="24"/>
          <w:highlight w:val="none"/>
        </w:rPr>
        <w:t>本项目噪声排放标准单位：</w:t>
      </w:r>
      <w:r>
        <w:rPr>
          <w:rFonts w:hint="default" w:ascii="Times New Roman" w:hAnsi="Times New Roman" w:eastAsia="Times New Roman" w:cs="Times New Roman"/>
          <w:b/>
          <w:bCs/>
          <w:color w:val="auto"/>
          <w:spacing w:val="-1"/>
          <w:sz w:val="24"/>
          <w:szCs w:val="24"/>
          <w:highlight w:val="none"/>
        </w:rPr>
        <w:t>dB(A)</w:t>
      </w:r>
    </w:p>
    <w:p w14:paraId="6F1DA0BE">
      <w:pPr>
        <w:keepNext w:val="0"/>
        <w:keepLines w:val="0"/>
        <w:pageBreakBefore w:val="0"/>
        <w:kinsoku/>
        <w:wordWrap w:val="0"/>
        <w:overflowPunct/>
        <w:topLinePunct/>
        <w:autoSpaceDE/>
        <w:autoSpaceDN/>
        <w:bidi w:val="0"/>
        <w:adjustRightInd w:val="0"/>
        <w:snapToGrid w:val="0"/>
        <w:spacing w:line="24" w:lineRule="auto"/>
        <w:textAlignment w:val="baseline"/>
        <w:rPr>
          <w:rFonts w:hint="default" w:ascii="Times New Roman" w:hAnsi="Times New Roman" w:cs="Times New Roman"/>
          <w:color w:val="auto"/>
          <w:sz w:val="2"/>
          <w:highlight w:val="none"/>
        </w:rPr>
      </w:pPr>
    </w:p>
    <w:tbl>
      <w:tblPr>
        <w:tblStyle w:val="34"/>
        <w:tblW w:w="889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93"/>
        <w:gridCol w:w="708"/>
        <w:gridCol w:w="708"/>
        <w:gridCol w:w="6486"/>
      </w:tblGrid>
      <w:tr w14:paraId="4FA6C5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93" w:type="dxa"/>
            <w:tcBorders>
              <w:top w:val="single" w:color="000000" w:sz="10" w:space="0"/>
              <w:left w:val="nil"/>
            </w:tcBorders>
            <w:vAlign w:val="center"/>
          </w:tcPr>
          <w:p w14:paraId="74DE2FA4">
            <w:pPr>
              <w:pStyle w:val="35"/>
              <w:keepNext w:val="0"/>
              <w:keepLines w:val="0"/>
              <w:pageBreakBefore w:val="0"/>
              <w:kinsoku/>
              <w:wordWrap w:val="0"/>
              <w:overflowPunct/>
              <w:topLinePunct/>
              <w:autoSpaceDE/>
              <w:autoSpaceDN/>
              <w:bidi w:val="0"/>
              <w:adjustRightInd w:val="0"/>
              <w:snapToGrid w:val="0"/>
              <w:spacing w:before="126" w:line="221" w:lineRule="auto"/>
              <w:ind w:left="361"/>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类别</w:t>
            </w:r>
          </w:p>
        </w:tc>
        <w:tc>
          <w:tcPr>
            <w:tcW w:w="708" w:type="dxa"/>
            <w:tcBorders>
              <w:top w:val="single" w:color="000000" w:sz="10" w:space="0"/>
            </w:tcBorders>
            <w:vAlign w:val="center"/>
          </w:tcPr>
          <w:p w14:paraId="2032377F">
            <w:pPr>
              <w:pStyle w:val="35"/>
              <w:keepNext w:val="0"/>
              <w:keepLines w:val="0"/>
              <w:pageBreakBefore w:val="0"/>
              <w:kinsoku/>
              <w:wordWrap w:val="0"/>
              <w:overflowPunct/>
              <w:topLinePunct/>
              <w:autoSpaceDE/>
              <w:autoSpaceDN/>
              <w:bidi w:val="0"/>
              <w:adjustRightInd w:val="0"/>
              <w:snapToGrid w:val="0"/>
              <w:spacing w:before="127" w:line="223" w:lineRule="auto"/>
              <w:ind w:left="144"/>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昼间</w:t>
            </w:r>
          </w:p>
        </w:tc>
        <w:tc>
          <w:tcPr>
            <w:tcW w:w="708" w:type="dxa"/>
            <w:tcBorders>
              <w:top w:val="single" w:color="000000" w:sz="10" w:space="0"/>
            </w:tcBorders>
            <w:vAlign w:val="center"/>
          </w:tcPr>
          <w:p w14:paraId="5508CC35">
            <w:pPr>
              <w:pStyle w:val="35"/>
              <w:keepNext w:val="0"/>
              <w:keepLines w:val="0"/>
              <w:pageBreakBefore w:val="0"/>
              <w:kinsoku/>
              <w:wordWrap w:val="0"/>
              <w:overflowPunct/>
              <w:topLinePunct/>
              <w:autoSpaceDE/>
              <w:autoSpaceDN/>
              <w:bidi w:val="0"/>
              <w:adjustRightInd w:val="0"/>
              <w:snapToGrid w:val="0"/>
              <w:spacing w:before="126" w:line="221" w:lineRule="auto"/>
              <w:ind w:left="151"/>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夜间</w:t>
            </w:r>
          </w:p>
        </w:tc>
        <w:tc>
          <w:tcPr>
            <w:tcW w:w="6486" w:type="dxa"/>
            <w:tcBorders>
              <w:top w:val="single" w:color="000000" w:sz="10" w:space="0"/>
              <w:right w:val="nil"/>
            </w:tcBorders>
            <w:vAlign w:val="center"/>
          </w:tcPr>
          <w:p w14:paraId="62025DEB">
            <w:pPr>
              <w:pStyle w:val="35"/>
              <w:keepNext w:val="0"/>
              <w:keepLines w:val="0"/>
              <w:pageBreakBefore w:val="0"/>
              <w:kinsoku/>
              <w:wordWrap w:val="0"/>
              <w:overflowPunct/>
              <w:topLinePunct/>
              <w:autoSpaceDE/>
              <w:autoSpaceDN/>
              <w:bidi w:val="0"/>
              <w:adjustRightInd w:val="0"/>
              <w:snapToGrid w:val="0"/>
              <w:spacing w:before="126" w:line="221" w:lineRule="auto"/>
              <w:ind w:left="2827"/>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标准来源</w:t>
            </w:r>
          </w:p>
        </w:tc>
      </w:tr>
      <w:tr w14:paraId="104C69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93" w:type="dxa"/>
            <w:tcBorders>
              <w:left w:val="nil"/>
            </w:tcBorders>
            <w:vAlign w:val="center"/>
          </w:tcPr>
          <w:p w14:paraId="19196A88">
            <w:pPr>
              <w:pStyle w:val="35"/>
              <w:keepNext w:val="0"/>
              <w:keepLines w:val="0"/>
              <w:pageBreakBefore w:val="0"/>
              <w:kinsoku/>
              <w:wordWrap w:val="0"/>
              <w:overflowPunct/>
              <w:topLinePunct/>
              <w:autoSpaceDE/>
              <w:autoSpaceDN/>
              <w:bidi w:val="0"/>
              <w:adjustRightInd w:val="0"/>
              <w:snapToGrid w:val="0"/>
              <w:spacing w:before="132" w:line="221" w:lineRule="auto"/>
              <w:ind w:left="151"/>
              <w:textAlignment w:val="baseline"/>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spacing w:val="-1"/>
                <w:highlight w:val="none"/>
              </w:rPr>
              <w:t>施工</w:t>
            </w:r>
            <w:r>
              <w:rPr>
                <w:rFonts w:hint="default" w:ascii="Times New Roman" w:hAnsi="Times New Roman" w:cs="Times New Roman"/>
                <w:color w:val="auto"/>
                <w:spacing w:val="-1"/>
                <w:highlight w:val="none"/>
                <w:lang w:eastAsia="zh-CN"/>
              </w:rPr>
              <w:t>厂界</w:t>
            </w:r>
          </w:p>
        </w:tc>
        <w:tc>
          <w:tcPr>
            <w:tcW w:w="708" w:type="dxa"/>
            <w:vAlign w:val="center"/>
          </w:tcPr>
          <w:p w14:paraId="5B0B3A45">
            <w:pPr>
              <w:keepNext w:val="0"/>
              <w:keepLines w:val="0"/>
              <w:pageBreakBefore w:val="0"/>
              <w:kinsoku/>
              <w:wordWrap w:val="0"/>
              <w:overflowPunct/>
              <w:topLinePunct/>
              <w:autoSpaceDE/>
              <w:autoSpaceDN/>
              <w:bidi w:val="0"/>
              <w:adjustRightInd w:val="0"/>
              <w:snapToGrid w:val="0"/>
              <w:spacing w:before="164" w:line="233" w:lineRule="auto"/>
              <w:ind w:left="25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70</w:t>
            </w:r>
          </w:p>
        </w:tc>
        <w:tc>
          <w:tcPr>
            <w:tcW w:w="708" w:type="dxa"/>
            <w:vAlign w:val="center"/>
          </w:tcPr>
          <w:p w14:paraId="6F7F54B8">
            <w:pPr>
              <w:keepNext w:val="0"/>
              <w:keepLines w:val="0"/>
              <w:pageBreakBefore w:val="0"/>
              <w:kinsoku/>
              <w:wordWrap w:val="0"/>
              <w:overflowPunct/>
              <w:topLinePunct/>
              <w:autoSpaceDE/>
              <w:autoSpaceDN/>
              <w:bidi w:val="0"/>
              <w:adjustRightInd w:val="0"/>
              <w:snapToGrid w:val="0"/>
              <w:spacing w:before="163" w:line="234" w:lineRule="auto"/>
              <w:ind w:left="25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55</w:t>
            </w:r>
          </w:p>
        </w:tc>
        <w:tc>
          <w:tcPr>
            <w:tcW w:w="6486" w:type="dxa"/>
            <w:tcBorders>
              <w:right w:val="nil"/>
            </w:tcBorders>
            <w:vAlign w:val="center"/>
          </w:tcPr>
          <w:p w14:paraId="7A33A9E1">
            <w:pPr>
              <w:pStyle w:val="35"/>
              <w:keepNext w:val="0"/>
              <w:keepLines w:val="0"/>
              <w:pageBreakBefore w:val="0"/>
              <w:kinsoku/>
              <w:wordWrap w:val="0"/>
              <w:overflowPunct/>
              <w:topLinePunct/>
              <w:autoSpaceDE/>
              <w:autoSpaceDN/>
              <w:bidi w:val="0"/>
              <w:adjustRightInd w:val="0"/>
              <w:snapToGrid w:val="0"/>
              <w:spacing w:before="132" w:line="235" w:lineRule="auto"/>
              <w:ind w:left="706"/>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《建筑施工</w:t>
            </w:r>
            <w:r>
              <w:rPr>
                <w:rFonts w:hint="default" w:ascii="Times New Roman" w:hAnsi="Times New Roman" w:cs="Times New Roman"/>
                <w:color w:val="auto"/>
                <w:highlight w:val="none"/>
                <w:lang w:eastAsia="zh-CN"/>
              </w:rPr>
              <w:t>厂界</w:t>
            </w:r>
            <w:r>
              <w:rPr>
                <w:rFonts w:hint="default" w:ascii="Times New Roman" w:hAnsi="Times New Roman" w:cs="Times New Roman"/>
                <w:color w:val="auto"/>
                <w:highlight w:val="none"/>
              </w:rPr>
              <w:t>环境噪声排放标准》（</w:t>
            </w:r>
            <w:r>
              <w:rPr>
                <w:rFonts w:hint="default" w:ascii="Times New Roman" w:hAnsi="Times New Roman" w:eastAsia="Times New Roman" w:cs="Times New Roman"/>
                <w:color w:val="auto"/>
                <w:highlight w:val="none"/>
              </w:rPr>
              <w:t>GB125</w:t>
            </w:r>
            <w:r>
              <w:rPr>
                <w:rFonts w:hint="default" w:ascii="Times New Roman" w:hAnsi="Times New Roman" w:eastAsia="Times New Roman" w:cs="Times New Roman"/>
                <w:color w:val="auto"/>
                <w:spacing w:val="-1"/>
                <w:highlight w:val="none"/>
              </w:rPr>
              <w:t>23-2011</w:t>
            </w:r>
            <w:r>
              <w:rPr>
                <w:rFonts w:hint="default" w:ascii="Times New Roman" w:hAnsi="Times New Roman" w:cs="Times New Roman"/>
                <w:color w:val="auto"/>
                <w:spacing w:val="-1"/>
                <w:highlight w:val="none"/>
              </w:rPr>
              <w:t>）</w:t>
            </w:r>
          </w:p>
        </w:tc>
      </w:tr>
      <w:tr w14:paraId="0AA38F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93" w:type="dxa"/>
            <w:tcBorders>
              <w:left w:val="nil"/>
              <w:bottom w:val="single" w:color="000000" w:sz="10" w:space="0"/>
            </w:tcBorders>
            <w:vAlign w:val="center"/>
          </w:tcPr>
          <w:p w14:paraId="5C16E735">
            <w:pPr>
              <w:pStyle w:val="35"/>
              <w:keepNext w:val="0"/>
              <w:keepLines w:val="0"/>
              <w:pageBreakBefore w:val="0"/>
              <w:kinsoku/>
              <w:wordWrap w:val="0"/>
              <w:overflowPunct/>
              <w:topLinePunct/>
              <w:autoSpaceDE/>
              <w:autoSpaceDN/>
              <w:bidi w:val="0"/>
              <w:adjustRightInd w:val="0"/>
              <w:snapToGrid w:val="0"/>
              <w:spacing w:before="140" w:line="234" w:lineRule="auto"/>
              <w:ind w:left="386"/>
              <w:textAlignment w:val="baseline"/>
              <w:rPr>
                <w:rFonts w:hint="default" w:ascii="Times New Roman" w:hAnsi="Times New Roman" w:cs="Times New Roman"/>
                <w:color w:val="FF0000"/>
                <w:highlight w:val="none"/>
              </w:rPr>
            </w:pPr>
            <w:r>
              <w:rPr>
                <w:rFonts w:hint="default" w:ascii="Times New Roman" w:hAnsi="Times New Roman" w:eastAsia="宋体" w:cs="Times New Roman"/>
                <w:color w:val="FF0000"/>
                <w:spacing w:val="-2"/>
                <w:highlight w:val="none"/>
                <w:lang w:val="en-US" w:eastAsia="zh-CN"/>
              </w:rPr>
              <w:t>1</w:t>
            </w:r>
            <w:r>
              <w:rPr>
                <w:rFonts w:hint="default" w:ascii="Times New Roman" w:hAnsi="Times New Roman" w:cs="Times New Roman"/>
                <w:color w:val="FF0000"/>
                <w:spacing w:val="-2"/>
                <w:highlight w:val="none"/>
              </w:rPr>
              <w:t>类</w:t>
            </w:r>
          </w:p>
        </w:tc>
        <w:tc>
          <w:tcPr>
            <w:tcW w:w="708" w:type="dxa"/>
            <w:tcBorders>
              <w:bottom w:val="single" w:color="000000" w:sz="10" w:space="0"/>
            </w:tcBorders>
            <w:vAlign w:val="center"/>
          </w:tcPr>
          <w:p w14:paraId="4A3E81BB">
            <w:pPr>
              <w:keepNext w:val="0"/>
              <w:keepLines w:val="0"/>
              <w:pageBreakBefore w:val="0"/>
              <w:kinsoku/>
              <w:wordWrap w:val="0"/>
              <w:overflowPunct/>
              <w:topLinePunct/>
              <w:autoSpaceDE/>
              <w:autoSpaceDN/>
              <w:bidi w:val="0"/>
              <w:adjustRightInd w:val="0"/>
              <w:snapToGrid w:val="0"/>
              <w:spacing w:before="172" w:line="234" w:lineRule="auto"/>
              <w:ind w:left="251"/>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2"/>
                <w:sz w:val="21"/>
                <w:szCs w:val="21"/>
                <w:highlight w:val="none"/>
                <w:lang w:val="en-US" w:eastAsia="zh-CN"/>
              </w:rPr>
              <w:t>55</w:t>
            </w:r>
          </w:p>
        </w:tc>
        <w:tc>
          <w:tcPr>
            <w:tcW w:w="708" w:type="dxa"/>
            <w:tcBorders>
              <w:bottom w:val="single" w:color="000000" w:sz="10" w:space="0"/>
            </w:tcBorders>
            <w:vAlign w:val="center"/>
          </w:tcPr>
          <w:p w14:paraId="61B6C175">
            <w:pPr>
              <w:keepNext w:val="0"/>
              <w:keepLines w:val="0"/>
              <w:pageBreakBefore w:val="0"/>
              <w:kinsoku/>
              <w:wordWrap w:val="0"/>
              <w:overflowPunct/>
              <w:topLinePunct/>
              <w:autoSpaceDE/>
              <w:autoSpaceDN/>
              <w:bidi w:val="0"/>
              <w:adjustRightInd w:val="0"/>
              <w:snapToGrid w:val="0"/>
              <w:spacing w:before="172" w:line="234" w:lineRule="auto"/>
              <w:ind w:left="255"/>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3"/>
                <w:sz w:val="21"/>
                <w:szCs w:val="21"/>
                <w:highlight w:val="none"/>
                <w:lang w:val="en-US" w:eastAsia="zh-CN"/>
              </w:rPr>
              <w:t>45</w:t>
            </w:r>
          </w:p>
        </w:tc>
        <w:tc>
          <w:tcPr>
            <w:tcW w:w="6486" w:type="dxa"/>
            <w:tcBorders>
              <w:bottom w:val="single" w:color="000000" w:sz="10" w:space="0"/>
              <w:right w:val="nil"/>
            </w:tcBorders>
            <w:vAlign w:val="center"/>
          </w:tcPr>
          <w:p w14:paraId="6DC0A794">
            <w:pPr>
              <w:pStyle w:val="35"/>
              <w:keepNext w:val="0"/>
              <w:keepLines w:val="0"/>
              <w:pageBreakBefore w:val="0"/>
              <w:kinsoku/>
              <w:wordWrap w:val="0"/>
              <w:overflowPunct/>
              <w:topLinePunct/>
              <w:autoSpaceDE/>
              <w:autoSpaceDN/>
              <w:bidi w:val="0"/>
              <w:adjustRightInd w:val="0"/>
              <w:snapToGrid w:val="0"/>
              <w:spacing w:before="140" w:line="234" w:lineRule="auto"/>
              <w:ind w:left="115"/>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rPr>
              <w:t>《工业企业厂界环境噪声排放标准》（</w:t>
            </w:r>
            <w:r>
              <w:rPr>
                <w:rFonts w:hint="default" w:ascii="Times New Roman" w:hAnsi="Times New Roman" w:eastAsia="Times New Roman" w:cs="Times New Roman"/>
                <w:color w:val="FF0000"/>
                <w:spacing w:val="-1"/>
                <w:highlight w:val="none"/>
              </w:rPr>
              <w:t>GB12348-2008</w:t>
            </w:r>
            <w:r>
              <w:rPr>
                <w:rFonts w:hint="default" w:ascii="Times New Roman" w:hAnsi="Times New Roman" w:cs="Times New Roman"/>
                <w:color w:val="FF0000"/>
                <w:spacing w:val="-1"/>
                <w:highlight w:val="none"/>
              </w:rPr>
              <w:t>）</w:t>
            </w:r>
            <w:r>
              <w:rPr>
                <w:rFonts w:hint="default" w:ascii="Times New Roman" w:hAnsi="Times New Roman" w:eastAsia="宋体" w:cs="Times New Roman"/>
                <w:color w:val="FF0000"/>
                <w:spacing w:val="-1"/>
                <w:highlight w:val="none"/>
                <w:lang w:val="en-US" w:eastAsia="zh-CN"/>
              </w:rPr>
              <w:t>1</w:t>
            </w:r>
            <w:r>
              <w:rPr>
                <w:rFonts w:hint="default" w:ascii="Times New Roman" w:hAnsi="Times New Roman" w:cs="Times New Roman"/>
                <w:color w:val="FF0000"/>
                <w:spacing w:val="-1"/>
                <w:highlight w:val="none"/>
              </w:rPr>
              <w:t>类标准要求</w:t>
            </w:r>
          </w:p>
        </w:tc>
      </w:tr>
    </w:tbl>
    <w:p w14:paraId="0C1CADA8">
      <w:pPr>
        <w:keepNext w:val="0"/>
        <w:keepLines w:val="0"/>
        <w:pageBreakBefore w:val="0"/>
        <w:widowControl/>
        <w:kinsoku/>
        <w:wordWrap w:val="0"/>
        <w:overflowPunct/>
        <w:topLinePunct/>
        <w:autoSpaceDE/>
        <w:autoSpaceDN/>
        <w:bidi w:val="0"/>
        <w:adjustRightInd w:val="0"/>
        <w:snapToGrid w:val="0"/>
        <w:spacing w:before="100" w:line="360" w:lineRule="auto"/>
        <w:ind w:left="61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4</w:t>
      </w:r>
      <w:r>
        <w:rPr>
          <w:rFonts w:hint="default" w:ascii="Times New Roman" w:hAnsi="Times New Roman" w:eastAsia="宋体" w:cs="Times New Roman"/>
          <w:color w:val="auto"/>
          <w:spacing w:val="-5"/>
          <w:sz w:val="24"/>
          <w:szCs w:val="24"/>
          <w:highlight w:val="none"/>
        </w:rPr>
        <w:t>）固废</w:t>
      </w:r>
    </w:p>
    <w:p w14:paraId="6238AA6C">
      <w:pPr>
        <w:pageBreakBefore w:val="0"/>
        <w:wordWrap/>
        <w:topLinePunct w:val="0"/>
        <w:bidi w:val="0"/>
        <w:adjustRightInd/>
        <w:snapToGrid/>
        <w:spacing w:line="360" w:lineRule="auto"/>
        <w:ind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snapToGrid w:val="0"/>
          <w:color w:val="auto"/>
          <w:kern w:val="0"/>
          <w:sz w:val="24"/>
          <w:szCs w:val="24"/>
          <w:highlight w:val="none"/>
        </w:rPr>
        <w:t>①一般工业固体废物贮存、处置执行</w:t>
      </w:r>
      <w:r>
        <w:rPr>
          <w:rFonts w:hint="default" w:ascii="Times New Roman" w:hAnsi="Times New Roman" w:eastAsia="宋体" w:cs="Times New Roman"/>
          <w:color w:val="auto"/>
          <w:sz w:val="24"/>
          <w:szCs w:val="24"/>
          <w:highlight w:val="none"/>
        </w:rPr>
        <w:t>《中华人民共和国固体废物污染环境防治法》（2020年9月1日）</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snapToGrid w:val="0"/>
          <w:color w:val="auto"/>
          <w:kern w:val="0"/>
          <w:sz w:val="24"/>
          <w:szCs w:val="24"/>
          <w:highlight w:val="none"/>
        </w:rPr>
        <w:t>《畜禽养殖业污染物排放标准》（GB18596-2001）、《畜禽粪便贮存设施设计要求》（GB/T27622-2011）、《一般工业固体废物贮存和填埋污染控制标准》（GB18599-20</w:t>
      </w:r>
      <w:r>
        <w:rPr>
          <w:rFonts w:hint="default" w:ascii="Times New Roman" w:hAnsi="Times New Roman" w:eastAsia="宋体" w:cs="Times New Roman"/>
          <w:snapToGrid w:val="0"/>
          <w:color w:val="auto"/>
          <w:kern w:val="0"/>
          <w:sz w:val="24"/>
          <w:szCs w:val="24"/>
          <w:highlight w:val="none"/>
          <w:lang w:val="en-US" w:eastAsia="zh-CN"/>
        </w:rPr>
        <w:t>20</w:t>
      </w:r>
      <w:r>
        <w:rPr>
          <w:rFonts w:hint="default" w:ascii="Times New Roman" w:hAnsi="Times New Roman" w:eastAsia="宋体" w:cs="Times New Roman"/>
          <w:snapToGrid w:val="0"/>
          <w:color w:val="auto"/>
          <w:kern w:val="0"/>
          <w:sz w:val="24"/>
          <w:szCs w:val="24"/>
          <w:highlight w:val="none"/>
        </w:rPr>
        <w:t>）</w:t>
      </w:r>
      <w:r>
        <w:rPr>
          <w:rFonts w:hint="default" w:ascii="Times New Roman" w:hAnsi="Times New Roman" w:eastAsia="宋体" w:cs="Times New Roman"/>
          <w:snapToGrid w:val="0"/>
          <w:color w:val="auto"/>
          <w:kern w:val="0"/>
          <w:sz w:val="24"/>
          <w:szCs w:val="24"/>
          <w:highlight w:val="none"/>
          <w:lang w:val="en-US" w:eastAsia="zh-CN"/>
        </w:rPr>
        <w:t>中</w:t>
      </w:r>
      <w:r>
        <w:rPr>
          <w:rFonts w:hint="default" w:ascii="Times New Roman" w:hAnsi="Times New Roman" w:eastAsia="宋体" w:cs="Times New Roman"/>
          <w:snapToGrid w:val="0"/>
          <w:color w:val="auto"/>
          <w:sz w:val="24"/>
          <w:szCs w:val="24"/>
          <w:highlight w:val="none"/>
        </w:rPr>
        <w:t>相关</w:t>
      </w:r>
      <w:r>
        <w:rPr>
          <w:rFonts w:hint="default" w:ascii="Times New Roman" w:hAnsi="Times New Roman" w:eastAsia="宋体" w:cs="Times New Roman"/>
          <w:snapToGrid w:val="0"/>
          <w:color w:val="auto"/>
          <w:kern w:val="0"/>
          <w:sz w:val="24"/>
          <w:szCs w:val="24"/>
          <w:highlight w:val="none"/>
          <w:lang w:val="en-US" w:eastAsia="zh-CN"/>
        </w:rPr>
        <w:t>规定</w:t>
      </w:r>
      <w:r>
        <w:rPr>
          <w:rFonts w:hint="default" w:ascii="Times New Roman" w:hAnsi="Times New Roman" w:eastAsia="宋体" w:cs="Times New Roman"/>
          <w:snapToGrid w:val="0"/>
          <w:color w:val="auto"/>
          <w:kern w:val="0"/>
          <w:sz w:val="24"/>
          <w:szCs w:val="24"/>
          <w:highlight w:val="none"/>
        </w:rPr>
        <w:t>。</w:t>
      </w:r>
      <w:r>
        <w:rPr>
          <w:rFonts w:hint="default" w:ascii="Times New Roman" w:hAnsi="Times New Roman" w:eastAsia="宋体" w:cs="Times New Roman"/>
          <w:color w:val="auto"/>
          <w:sz w:val="24"/>
          <w:szCs w:val="24"/>
          <w:highlight w:val="none"/>
        </w:rPr>
        <w:t>具体标准值见表</w:t>
      </w:r>
      <w:r>
        <w:rPr>
          <w:rFonts w:hint="default" w:ascii="Times New Roman" w:hAnsi="Times New Roman" w:eastAsia="宋体" w:cs="Times New Roman"/>
          <w:b w:val="0"/>
          <w:bCs w:val="0"/>
          <w:color w:val="auto"/>
          <w:sz w:val="24"/>
          <w:highlight w:val="none"/>
          <w:lang w:val="en-US" w:eastAsia="zh-CN"/>
        </w:rPr>
        <w:t>2.4-12</w:t>
      </w:r>
      <w:r>
        <w:rPr>
          <w:rFonts w:hint="default" w:ascii="Times New Roman" w:hAnsi="Times New Roman" w:eastAsia="宋体" w:cs="Times New Roman"/>
          <w:color w:val="auto"/>
          <w:sz w:val="24"/>
          <w:highlight w:val="none"/>
        </w:rPr>
        <w:t>。</w:t>
      </w:r>
    </w:p>
    <w:p w14:paraId="51C2C4E7">
      <w:pPr>
        <w:keepNext w:val="0"/>
        <w:keepLines w:val="0"/>
        <w:pageBreakBefore w:val="0"/>
        <w:kinsoku/>
        <w:wordWrap w:val="0"/>
        <w:overflowPunct/>
        <w:topLinePunct/>
        <w:autoSpaceDE/>
        <w:autoSpaceDN/>
        <w:bidi w:val="0"/>
        <w:adjustRightInd w:val="0"/>
        <w:snapToGrid w:val="0"/>
        <w:spacing w:before="1" w:line="213" w:lineRule="auto"/>
        <w:ind w:left="2384"/>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2.4-1</w:t>
      </w:r>
      <w:r>
        <w:rPr>
          <w:rFonts w:hint="default" w:ascii="Times New Roman" w:hAnsi="Times New Roman" w:eastAsia="宋体" w:cs="Times New Roman"/>
          <w:b/>
          <w:bCs/>
          <w:color w:val="auto"/>
          <w:spacing w:val="-2"/>
          <w:sz w:val="24"/>
          <w:szCs w:val="24"/>
          <w:highlight w:val="none"/>
          <w:lang w:val="en-US" w:eastAsia="zh-CN"/>
        </w:rPr>
        <w:t>2</w:t>
      </w:r>
      <w:r>
        <w:rPr>
          <w:rFonts w:hint="default" w:ascii="Times New Roman" w:hAnsi="Times New Roman" w:eastAsia="宋体" w:cs="Times New Roman"/>
          <w:b/>
          <w:bCs/>
          <w:color w:val="auto"/>
          <w:spacing w:val="-2"/>
          <w:sz w:val="24"/>
          <w:szCs w:val="24"/>
          <w:highlight w:val="none"/>
        </w:rPr>
        <w:t>《畜禽养殖业污染物排放标准》</w:t>
      </w:r>
    </w:p>
    <w:tbl>
      <w:tblPr>
        <w:tblStyle w:val="34"/>
        <w:tblW w:w="85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40"/>
        <w:gridCol w:w="4310"/>
      </w:tblGrid>
      <w:tr w14:paraId="6C9EC8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4240" w:type="dxa"/>
            <w:tcBorders>
              <w:top w:val="single" w:color="000000" w:sz="10" w:space="0"/>
              <w:left w:val="nil"/>
            </w:tcBorders>
            <w:vAlign w:val="top"/>
          </w:tcPr>
          <w:p w14:paraId="14E5BAF0">
            <w:pPr>
              <w:pStyle w:val="35"/>
              <w:keepNext w:val="0"/>
              <w:keepLines w:val="0"/>
              <w:pageBreakBefore w:val="0"/>
              <w:kinsoku/>
              <w:wordWrap w:val="0"/>
              <w:overflowPunct/>
              <w:topLinePunct/>
              <w:autoSpaceDE/>
              <w:autoSpaceDN/>
              <w:bidi w:val="0"/>
              <w:adjustRightInd w:val="0"/>
              <w:snapToGrid w:val="0"/>
              <w:spacing w:before="77"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控制项目</w:t>
            </w:r>
          </w:p>
        </w:tc>
        <w:tc>
          <w:tcPr>
            <w:tcW w:w="4310" w:type="dxa"/>
            <w:tcBorders>
              <w:top w:val="single" w:color="000000" w:sz="10" w:space="0"/>
              <w:right w:val="nil"/>
            </w:tcBorders>
            <w:vAlign w:val="top"/>
          </w:tcPr>
          <w:p w14:paraId="0338B45E">
            <w:pPr>
              <w:pStyle w:val="35"/>
              <w:keepNext w:val="0"/>
              <w:keepLines w:val="0"/>
              <w:pageBreakBefore w:val="0"/>
              <w:kinsoku/>
              <w:wordWrap w:val="0"/>
              <w:overflowPunct/>
              <w:topLinePunct/>
              <w:autoSpaceDE/>
              <w:autoSpaceDN/>
              <w:bidi w:val="0"/>
              <w:adjustRightInd w:val="0"/>
              <w:snapToGrid w:val="0"/>
              <w:spacing w:before="77"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指标</w:t>
            </w:r>
          </w:p>
        </w:tc>
      </w:tr>
      <w:tr w14:paraId="323927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4240" w:type="dxa"/>
            <w:tcBorders>
              <w:left w:val="nil"/>
            </w:tcBorders>
            <w:vAlign w:val="top"/>
          </w:tcPr>
          <w:p w14:paraId="13AD0817">
            <w:pPr>
              <w:pStyle w:val="35"/>
              <w:keepNext w:val="0"/>
              <w:keepLines w:val="0"/>
              <w:pageBreakBefore w:val="0"/>
              <w:kinsoku/>
              <w:wordWrap w:val="0"/>
              <w:overflowPunct/>
              <w:topLinePunct/>
              <w:autoSpaceDE/>
              <w:autoSpaceDN/>
              <w:bidi w:val="0"/>
              <w:adjustRightInd w:val="0"/>
              <w:snapToGrid w:val="0"/>
              <w:spacing w:before="91"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蛔虫卵</w:t>
            </w:r>
          </w:p>
        </w:tc>
        <w:tc>
          <w:tcPr>
            <w:tcW w:w="4310" w:type="dxa"/>
            <w:tcBorders>
              <w:right w:val="nil"/>
            </w:tcBorders>
            <w:vAlign w:val="top"/>
          </w:tcPr>
          <w:p w14:paraId="6D774D39">
            <w:pPr>
              <w:pStyle w:val="35"/>
              <w:keepNext w:val="0"/>
              <w:keepLines w:val="0"/>
              <w:pageBreakBefore w:val="0"/>
              <w:kinsoku/>
              <w:wordWrap w:val="0"/>
              <w:overflowPunct/>
              <w:topLinePunct/>
              <w:autoSpaceDE/>
              <w:autoSpaceDN/>
              <w:bidi w:val="0"/>
              <w:adjustRightInd w:val="0"/>
              <w:snapToGrid w:val="0"/>
              <w:spacing w:before="91" w:line="234"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
                <w:highlight w:val="none"/>
              </w:rPr>
              <w:t>死亡率</w:t>
            </w:r>
            <w:r>
              <w:rPr>
                <w:rFonts w:hint="default" w:ascii="Times New Roman" w:hAnsi="Times New Roman" w:eastAsia="Times New Roman" w:cs="Times New Roman"/>
                <w:color w:val="auto"/>
                <w:spacing w:val="-1"/>
                <w:highlight w:val="none"/>
              </w:rPr>
              <w:t>≥95</w:t>
            </w:r>
          </w:p>
        </w:tc>
      </w:tr>
      <w:tr w14:paraId="58ADC6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rPr>
        <w:tc>
          <w:tcPr>
            <w:tcW w:w="4240" w:type="dxa"/>
            <w:tcBorders>
              <w:left w:val="nil"/>
              <w:bottom w:val="single" w:color="000000" w:sz="10" w:space="0"/>
            </w:tcBorders>
            <w:vAlign w:val="top"/>
          </w:tcPr>
          <w:p w14:paraId="41F3EF6C">
            <w:pPr>
              <w:pStyle w:val="35"/>
              <w:keepNext w:val="0"/>
              <w:keepLines w:val="0"/>
              <w:pageBreakBefore w:val="0"/>
              <w:kinsoku/>
              <w:wordWrap w:val="0"/>
              <w:overflowPunct/>
              <w:topLinePunct/>
              <w:autoSpaceDE/>
              <w:autoSpaceDN/>
              <w:bidi w:val="0"/>
              <w:adjustRightInd w:val="0"/>
              <w:snapToGrid w:val="0"/>
              <w:spacing w:before="99"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粪大肠菌群数</w:t>
            </w:r>
          </w:p>
        </w:tc>
        <w:tc>
          <w:tcPr>
            <w:tcW w:w="4310" w:type="dxa"/>
            <w:tcBorders>
              <w:bottom w:val="single" w:color="000000" w:sz="10" w:space="0"/>
              <w:right w:val="nil"/>
            </w:tcBorders>
            <w:vAlign w:val="top"/>
          </w:tcPr>
          <w:p w14:paraId="37FA81B5">
            <w:pPr>
              <w:pStyle w:val="35"/>
              <w:keepNext w:val="0"/>
              <w:keepLines w:val="0"/>
              <w:pageBreakBefore w:val="0"/>
              <w:kinsoku/>
              <w:wordWrap w:val="0"/>
              <w:overflowPunct/>
              <w:topLinePunct/>
              <w:autoSpaceDE/>
              <w:autoSpaceDN/>
              <w:bidi w:val="0"/>
              <w:adjustRightInd w:val="0"/>
              <w:snapToGrid w:val="0"/>
              <w:spacing w:before="83" w:line="283" w:lineRule="exact"/>
              <w:jc w:val="center"/>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1"/>
                <w:position w:val="1"/>
                <w:highlight w:val="none"/>
              </w:rPr>
              <w:t>≤10</w:t>
            </w:r>
            <w:r>
              <w:rPr>
                <w:rFonts w:hint="default" w:ascii="Times New Roman" w:hAnsi="Times New Roman" w:eastAsia="Times New Roman" w:cs="Times New Roman"/>
                <w:color w:val="auto"/>
                <w:spacing w:val="-1"/>
                <w:position w:val="10"/>
                <w:sz w:val="13"/>
                <w:szCs w:val="13"/>
                <w:highlight w:val="none"/>
              </w:rPr>
              <w:t>5</w:t>
            </w:r>
            <w:r>
              <w:rPr>
                <w:rFonts w:hint="default" w:ascii="Times New Roman" w:hAnsi="Times New Roman" w:cs="Times New Roman"/>
                <w:color w:val="auto"/>
                <w:spacing w:val="-1"/>
                <w:position w:val="1"/>
                <w:highlight w:val="none"/>
              </w:rPr>
              <w:t>个</w:t>
            </w:r>
            <w:r>
              <w:rPr>
                <w:rFonts w:hint="default" w:ascii="Times New Roman" w:hAnsi="Times New Roman" w:eastAsia="Times New Roman" w:cs="Times New Roman"/>
                <w:color w:val="auto"/>
                <w:spacing w:val="-1"/>
                <w:position w:val="1"/>
                <w:highlight w:val="none"/>
              </w:rPr>
              <w:t>/</w:t>
            </w:r>
            <w:r>
              <w:rPr>
                <w:rFonts w:hint="default" w:ascii="Times New Roman" w:hAnsi="Times New Roman" w:cs="Times New Roman"/>
                <w:color w:val="auto"/>
                <w:spacing w:val="-1"/>
                <w:position w:val="1"/>
                <w:highlight w:val="none"/>
              </w:rPr>
              <w:t>公斤</w:t>
            </w:r>
          </w:p>
        </w:tc>
      </w:tr>
    </w:tbl>
    <w:p w14:paraId="5D810F1B">
      <w:pPr>
        <w:keepNext w:val="0"/>
        <w:keepLines w:val="0"/>
        <w:pageBreakBefore w:val="0"/>
        <w:widowControl/>
        <w:kinsoku/>
        <w:wordWrap w:val="0"/>
        <w:overflowPunct/>
        <w:topLinePunct/>
        <w:autoSpaceDE/>
        <w:autoSpaceDN/>
        <w:bidi w:val="0"/>
        <w:adjustRightInd w:val="0"/>
        <w:snapToGrid w:val="0"/>
        <w:spacing w:before="163" w:line="360" w:lineRule="auto"/>
        <w:ind w:left="130" w:firstLine="476"/>
        <w:textAlignment w:val="baseline"/>
        <w:rPr>
          <w:rFonts w:hint="default" w:ascii="Times New Roman" w:hAnsi="Times New Roman" w:cs="Times New Roman"/>
          <w:color w:val="auto"/>
          <w:highlight w:val="none"/>
        </w:rPr>
      </w:pPr>
      <w:r>
        <w:rPr>
          <w:rFonts w:hint="default" w:ascii="Times New Roman" w:hAnsi="Times New Roman" w:eastAsia="宋体" w:cs="Times New Roman"/>
          <w:color w:val="auto"/>
          <w:spacing w:val="0"/>
          <w:sz w:val="24"/>
          <w:szCs w:val="24"/>
          <w:highlight w:val="none"/>
        </w:rPr>
        <w:t>②危险废物贮存、处置执行</w:t>
      </w:r>
      <w:r>
        <w:rPr>
          <w:rFonts w:hint="default" w:ascii="Times New Roman" w:hAnsi="Times New Roman" w:eastAsia="宋体" w:cs="Times New Roman"/>
          <w:color w:val="auto"/>
          <w:spacing w:val="0"/>
          <w:sz w:val="24"/>
          <w:szCs w:val="24"/>
          <w:highlight w:val="none"/>
          <w:lang w:eastAsia="zh-CN"/>
        </w:rPr>
        <w:t>《危险废物贮存污染控制标准》</w:t>
      </w:r>
      <w:r>
        <w:rPr>
          <w:rFonts w:hint="default" w:ascii="Times New Roman" w:hAnsi="Times New Roman" w:eastAsia="宋体" w:cs="Times New Roman"/>
          <w:color w:val="auto"/>
          <w:spacing w:val="-2"/>
          <w:sz w:val="24"/>
          <w:szCs w:val="24"/>
          <w:highlight w:val="none"/>
          <w:lang w:val="en-US" w:eastAsia="zh-CN"/>
        </w:rPr>
        <w:t>（GB18597-2023）</w:t>
      </w:r>
      <w:r>
        <w:rPr>
          <w:rFonts w:hint="default" w:ascii="Times New Roman" w:hAnsi="Times New Roman" w:eastAsia="宋体" w:cs="Times New Roman"/>
          <w:color w:val="auto"/>
          <w:spacing w:val="0"/>
          <w:sz w:val="24"/>
          <w:szCs w:val="24"/>
          <w:highlight w:val="none"/>
        </w:rPr>
        <w:t>、《危险废物收集、贮存、运输技术规范》（HJ2025-2012）中相关</w:t>
      </w:r>
      <w:r>
        <w:rPr>
          <w:rFonts w:hint="default" w:ascii="Times New Roman" w:hAnsi="Times New Roman" w:eastAsia="宋体" w:cs="Times New Roman"/>
          <w:color w:val="auto"/>
          <w:spacing w:val="0"/>
          <w:sz w:val="24"/>
          <w:szCs w:val="24"/>
          <w:highlight w:val="none"/>
          <w:lang w:val="en-US" w:eastAsia="zh-CN"/>
        </w:rPr>
        <w:t>规定</w:t>
      </w:r>
      <w:r>
        <w:rPr>
          <w:rFonts w:hint="default" w:ascii="Times New Roman" w:hAnsi="Times New Roman" w:eastAsia="宋体" w:cs="Times New Roman"/>
          <w:color w:val="auto"/>
          <w:spacing w:val="0"/>
          <w:sz w:val="24"/>
          <w:szCs w:val="24"/>
          <w:highlight w:val="none"/>
          <w:lang w:eastAsia="zh-CN"/>
        </w:rPr>
        <w:t>；</w:t>
      </w:r>
      <w:r>
        <w:rPr>
          <w:rFonts w:hint="default" w:ascii="Times New Roman" w:hAnsi="Times New Roman" w:eastAsia="宋体" w:cs="Times New Roman"/>
          <w:color w:val="auto"/>
          <w:spacing w:val="0"/>
          <w:sz w:val="24"/>
          <w:szCs w:val="24"/>
          <w:highlight w:val="none"/>
          <w:lang w:val="en-US" w:eastAsia="zh-CN"/>
        </w:rPr>
        <w:t>病死牛委托有资质的单位进行无害化处置，执行</w:t>
      </w:r>
      <w:r>
        <w:rPr>
          <w:rFonts w:hint="default" w:ascii="Times New Roman" w:hAnsi="Times New Roman" w:eastAsia="宋体" w:cs="Times New Roman"/>
          <w:color w:val="auto"/>
          <w:spacing w:val="0"/>
          <w:sz w:val="24"/>
          <w:szCs w:val="24"/>
          <w:highlight w:val="none"/>
        </w:rPr>
        <w:t>《病害动物和病害动物产品生物安全处理规程》（GB16548-2006）</w:t>
      </w:r>
      <w:r>
        <w:rPr>
          <w:rFonts w:hint="default" w:ascii="Times New Roman" w:hAnsi="Times New Roman" w:eastAsia="宋体" w:cs="Times New Roman"/>
          <w:color w:val="auto"/>
          <w:spacing w:val="0"/>
          <w:sz w:val="24"/>
          <w:szCs w:val="24"/>
          <w:highlight w:val="none"/>
          <w:lang w:eastAsia="zh-CN"/>
        </w:rPr>
        <w:t>、《畜禽养殖业污染防治技术规范》（HJ/T81-2001）</w:t>
      </w:r>
      <w:r>
        <w:rPr>
          <w:rFonts w:hint="default" w:ascii="Times New Roman" w:hAnsi="Times New Roman" w:eastAsia="宋体" w:cs="Times New Roman"/>
          <w:color w:val="auto"/>
          <w:spacing w:val="0"/>
          <w:sz w:val="24"/>
          <w:szCs w:val="24"/>
          <w:highlight w:val="none"/>
          <w:lang w:val="en-US" w:eastAsia="zh-CN"/>
        </w:rPr>
        <w:t>、</w:t>
      </w:r>
      <w:r>
        <w:rPr>
          <w:rFonts w:hint="default" w:ascii="Times New Roman" w:hAnsi="Times New Roman" w:eastAsia="宋体" w:cs="Times New Roman"/>
          <w:color w:val="auto"/>
          <w:spacing w:val="0"/>
          <w:sz w:val="24"/>
          <w:szCs w:val="24"/>
          <w:highlight w:val="none"/>
          <w:lang w:eastAsia="zh-CN"/>
        </w:rPr>
        <w:t>《畜禽养殖业污染治理工程技术规范》（HJ497-2009）</w:t>
      </w:r>
      <w:r>
        <w:rPr>
          <w:rFonts w:hint="default" w:ascii="Times New Roman" w:hAnsi="Times New Roman" w:eastAsia="宋体" w:cs="Times New Roman"/>
          <w:color w:val="auto"/>
          <w:spacing w:val="0"/>
          <w:sz w:val="24"/>
          <w:szCs w:val="24"/>
          <w:highlight w:val="none"/>
          <w:lang w:val="en-US" w:eastAsia="zh-CN"/>
        </w:rPr>
        <w:t>及</w:t>
      </w:r>
      <w:r>
        <w:rPr>
          <w:rFonts w:hint="default" w:ascii="Times New Roman" w:hAnsi="Times New Roman" w:eastAsia="宋体" w:cs="Times New Roman"/>
          <w:color w:val="auto"/>
          <w:spacing w:val="0"/>
          <w:sz w:val="24"/>
          <w:szCs w:val="24"/>
          <w:highlight w:val="none"/>
        </w:rPr>
        <w:t>《病死</w:t>
      </w:r>
      <w:r>
        <w:rPr>
          <w:rFonts w:hint="default" w:ascii="Times New Roman" w:hAnsi="Times New Roman" w:eastAsia="宋体" w:cs="Times New Roman"/>
          <w:color w:val="auto"/>
          <w:spacing w:val="0"/>
          <w:sz w:val="24"/>
          <w:szCs w:val="24"/>
          <w:highlight w:val="none"/>
          <w:lang w:val="en-US" w:eastAsia="zh-CN"/>
        </w:rPr>
        <w:t>及</w:t>
      </w:r>
      <w:r>
        <w:rPr>
          <w:rFonts w:hint="default" w:ascii="Times New Roman" w:hAnsi="Times New Roman" w:eastAsia="宋体" w:cs="Times New Roman"/>
          <w:color w:val="auto"/>
          <w:spacing w:val="0"/>
          <w:sz w:val="24"/>
          <w:szCs w:val="24"/>
          <w:highlight w:val="none"/>
        </w:rPr>
        <w:t>病害动物无害化处理技术规范》（农业部，2017年7月3日）中相关</w:t>
      </w:r>
      <w:r>
        <w:rPr>
          <w:rFonts w:hint="default" w:ascii="Times New Roman" w:hAnsi="Times New Roman" w:eastAsia="宋体" w:cs="Times New Roman"/>
          <w:color w:val="auto"/>
          <w:spacing w:val="0"/>
          <w:sz w:val="24"/>
          <w:szCs w:val="24"/>
          <w:highlight w:val="none"/>
          <w:lang w:val="en-US" w:eastAsia="zh-CN"/>
        </w:rPr>
        <w:t>规定</w:t>
      </w:r>
      <w:r>
        <w:rPr>
          <w:rFonts w:hint="default" w:ascii="Times New Roman" w:hAnsi="Times New Roman" w:eastAsia="宋体" w:cs="Times New Roman"/>
          <w:color w:val="auto"/>
          <w:spacing w:val="0"/>
          <w:sz w:val="24"/>
          <w:szCs w:val="24"/>
          <w:highlight w:val="none"/>
          <w:lang w:eastAsia="zh-CN"/>
        </w:rPr>
        <w:t>。</w:t>
      </w:r>
    </w:p>
    <w:p w14:paraId="7DD5C94B">
      <w:pPr>
        <w:keepNext w:val="0"/>
        <w:keepLines w:val="0"/>
        <w:pageBreakBefore w:val="0"/>
        <w:kinsoku/>
        <w:wordWrap w:val="0"/>
        <w:overflowPunct/>
        <w:topLinePunct/>
        <w:autoSpaceDE/>
        <w:autoSpaceDN/>
        <w:bidi w:val="0"/>
        <w:adjustRightInd w:val="0"/>
        <w:snapToGrid w:val="0"/>
        <w:spacing w:before="113" w:line="234" w:lineRule="auto"/>
        <w:ind w:left="612"/>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、卫生防护距离要求</w:t>
      </w:r>
    </w:p>
    <w:p w14:paraId="6A4EB6D5">
      <w:pPr>
        <w:keepNext w:val="0"/>
        <w:keepLines w:val="0"/>
        <w:pageBreakBefore w:val="0"/>
        <w:widowControl/>
        <w:kinsoku/>
        <w:wordWrap w:val="0"/>
        <w:overflowPunct/>
        <w:topLinePunct/>
        <w:autoSpaceDE/>
        <w:autoSpaceDN/>
        <w:bidi w:val="0"/>
        <w:adjustRightInd w:val="0"/>
        <w:snapToGrid w:val="0"/>
        <w:spacing w:before="163" w:line="360" w:lineRule="auto"/>
        <w:ind w:left="130" w:firstLine="476"/>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Times New Roman" w:cs="Times New Roman"/>
          <w:color w:val="auto"/>
          <w:spacing w:val="0"/>
          <w:sz w:val="24"/>
          <w:szCs w:val="24"/>
          <w:highlight w:val="none"/>
        </w:rPr>
        <w:t>2018</w:t>
      </w:r>
      <w:r>
        <w:rPr>
          <w:rFonts w:hint="default" w:ascii="Times New Roman" w:hAnsi="Times New Roman" w:eastAsia="宋体" w:cs="Times New Roman"/>
          <w:color w:val="auto"/>
          <w:spacing w:val="0"/>
          <w:sz w:val="24"/>
          <w:szCs w:val="24"/>
          <w:highlight w:val="none"/>
        </w:rPr>
        <w:t>年</w:t>
      </w:r>
      <w:r>
        <w:rPr>
          <w:rFonts w:hint="default" w:ascii="Times New Roman" w:hAnsi="Times New Roman" w:eastAsia="宋体" w:cs="Times New Roman"/>
          <w:color w:val="auto"/>
          <w:spacing w:val="0"/>
          <w:sz w:val="24"/>
          <w:szCs w:val="24"/>
          <w:highlight w:val="none"/>
          <w:lang w:val="en-US" w:eastAsia="zh-CN"/>
        </w:rPr>
        <w:t>2</w:t>
      </w:r>
      <w:r>
        <w:rPr>
          <w:rFonts w:hint="default" w:ascii="Times New Roman" w:hAnsi="Times New Roman" w:eastAsia="宋体" w:cs="Times New Roman"/>
          <w:color w:val="auto"/>
          <w:spacing w:val="0"/>
          <w:sz w:val="24"/>
          <w:szCs w:val="24"/>
          <w:highlight w:val="none"/>
        </w:rPr>
        <w:t>月</w:t>
      </w:r>
      <w:r>
        <w:rPr>
          <w:rFonts w:hint="default" w:ascii="Times New Roman" w:hAnsi="Times New Roman" w:eastAsia="宋体" w:cs="Times New Roman"/>
          <w:color w:val="auto"/>
          <w:spacing w:val="0"/>
          <w:sz w:val="24"/>
          <w:szCs w:val="24"/>
          <w:highlight w:val="none"/>
          <w:lang w:val="en-US" w:eastAsia="zh-CN"/>
        </w:rPr>
        <w:t>26</w:t>
      </w:r>
      <w:r>
        <w:rPr>
          <w:rFonts w:hint="default" w:ascii="Times New Roman" w:hAnsi="Times New Roman" w:eastAsia="宋体" w:cs="Times New Roman"/>
          <w:color w:val="auto"/>
          <w:spacing w:val="0"/>
          <w:sz w:val="24"/>
          <w:szCs w:val="24"/>
          <w:highlight w:val="none"/>
        </w:rPr>
        <w:t>日中华人</w:t>
      </w:r>
      <w:r>
        <w:rPr>
          <w:rFonts w:hint="default" w:ascii="Times New Roman" w:hAnsi="Times New Roman" w:eastAsia="宋体" w:cs="Times New Roman"/>
          <w:color w:val="auto"/>
          <w:spacing w:val="-2"/>
          <w:sz w:val="24"/>
          <w:szCs w:val="24"/>
          <w:highlight w:val="none"/>
        </w:rPr>
        <w:t>民共和国生态环境部网站生态环境部部长信箱中《关于畜禽养殖业选址问题的回复》，</w:t>
      </w:r>
      <w:r>
        <w:rPr>
          <w:rFonts w:hint="default" w:ascii="Times New Roman" w:hAnsi="Times New Roman" w:eastAsia="宋体" w:cs="Times New Roman"/>
          <w:color w:val="auto"/>
          <w:spacing w:val="-98"/>
          <w:sz w:val="24"/>
          <w:szCs w:val="24"/>
          <w:highlight w:val="none"/>
          <w:lang w:eastAsia="zh-CN"/>
        </w:rPr>
        <w:t>“</w:t>
      </w:r>
      <w:r>
        <w:rPr>
          <w:rFonts w:hint="default" w:ascii="Times New Roman" w:hAnsi="Times New Roman" w:eastAsia="宋体" w:cs="Times New Roman"/>
          <w:color w:val="auto"/>
          <w:spacing w:val="-2"/>
          <w:sz w:val="24"/>
          <w:szCs w:val="24"/>
          <w:highlight w:val="none"/>
        </w:rPr>
        <w:t>《畜禽养殖业污染防治技术规范》（</w:t>
      </w:r>
      <w:r>
        <w:rPr>
          <w:rFonts w:hint="default" w:ascii="Times New Roman" w:hAnsi="Times New Roman" w:eastAsia="Times New Roman" w:cs="Times New Roman"/>
          <w:color w:val="auto"/>
          <w:spacing w:val="-2"/>
          <w:sz w:val="24"/>
          <w:szCs w:val="24"/>
          <w:highlight w:val="none"/>
        </w:rPr>
        <w:t>HJ</w:t>
      </w:r>
      <w:r>
        <w:rPr>
          <w:rFonts w:hint="default" w:ascii="Times New Roman" w:hAnsi="Times New Roman" w:eastAsia="Times New Roman" w:cs="Times New Roman"/>
          <w:color w:val="auto"/>
          <w:spacing w:val="-3"/>
          <w:sz w:val="24"/>
          <w:szCs w:val="24"/>
          <w:highlight w:val="none"/>
        </w:rPr>
        <w:t>/T81-2001</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pacing w:val="-1"/>
          <w:sz w:val="24"/>
          <w:szCs w:val="24"/>
          <w:highlight w:val="none"/>
        </w:rPr>
        <w:t>属于推荐性的环境保护技术规范类标准，该技术规范</w:t>
      </w:r>
      <w:r>
        <w:rPr>
          <w:rFonts w:hint="default" w:ascii="Times New Roman" w:hAnsi="Times New Roman" w:eastAsia="Times New Roman" w:cs="Times New Roman"/>
          <w:color w:val="auto"/>
          <w:spacing w:val="-1"/>
          <w:sz w:val="24"/>
          <w:szCs w:val="24"/>
          <w:highlight w:val="none"/>
        </w:rPr>
        <w:t>3.1.2</w:t>
      </w:r>
      <w:r>
        <w:rPr>
          <w:rFonts w:hint="default" w:ascii="Times New Roman" w:hAnsi="Times New Roman" w:eastAsia="宋体" w:cs="Times New Roman"/>
          <w:color w:val="auto"/>
          <w:spacing w:val="-1"/>
          <w:sz w:val="24"/>
          <w:szCs w:val="24"/>
          <w:highlight w:val="none"/>
        </w:rPr>
        <w:t>规定：禁止在城市和城镇</w:t>
      </w:r>
      <w:r>
        <w:rPr>
          <w:rFonts w:hint="default" w:ascii="Times New Roman" w:hAnsi="Times New Roman" w:eastAsia="宋体" w:cs="Times New Roman"/>
          <w:color w:val="auto"/>
          <w:spacing w:val="-3"/>
          <w:sz w:val="24"/>
          <w:szCs w:val="24"/>
          <w:highlight w:val="none"/>
        </w:rPr>
        <w:t>居民区，包括文教科研区、医疗区、商业区、工业区、游览区等人口集中地区建设畜</w:t>
      </w:r>
      <w:r>
        <w:rPr>
          <w:rFonts w:hint="default" w:ascii="Times New Roman" w:hAnsi="Times New Roman" w:eastAsia="宋体" w:cs="Times New Roman"/>
          <w:color w:val="auto"/>
          <w:spacing w:val="-1"/>
          <w:sz w:val="24"/>
          <w:szCs w:val="24"/>
          <w:highlight w:val="none"/>
        </w:rPr>
        <w:t>禽养殖场。村屯居民区不属于城市和城镇居民区。因此，不属于该技术规范</w:t>
      </w:r>
      <w:r>
        <w:rPr>
          <w:rFonts w:hint="default" w:ascii="Times New Roman" w:hAnsi="Times New Roman" w:eastAsia="Times New Roman" w:cs="Times New Roman"/>
          <w:color w:val="auto"/>
          <w:spacing w:val="-1"/>
          <w:sz w:val="24"/>
          <w:szCs w:val="24"/>
          <w:highlight w:val="none"/>
        </w:rPr>
        <w:t>3.1.2</w:t>
      </w:r>
      <w:r>
        <w:rPr>
          <w:rFonts w:hint="default" w:ascii="Times New Roman" w:hAnsi="Times New Roman" w:eastAsia="宋体" w:cs="Times New Roman"/>
          <w:color w:val="auto"/>
          <w:spacing w:val="-1"/>
          <w:sz w:val="24"/>
          <w:szCs w:val="24"/>
          <w:highlight w:val="none"/>
        </w:rPr>
        <w:t>规</w:t>
      </w:r>
      <w:r>
        <w:rPr>
          <w:rFonts w:hint="default" w:ascii="Times New Roman" w:hAnsi="Times New Roman" w:eastAsia="宋体" w:cs="Times New Roman"/>
          <w:color w:val="auto"/>
          <w:spacing w:val="-5"/>
          <w:sz w:val="24"/>
          <w:szCs w:val="24"/>
          <w:highlight w:val="none"/>
        </w:rPr>
        <w:t>定的人口集中区。对于养殖场与农村居民区之间的距离，养殖场在建设时应开展环境</w:t>
      </w:r>
      <w:r>
        <w:rPr>
          <w:rFonts w:hint="default" w:ascii="Times New Roman" w:hAnsi="Times New Roman" w:eastAsia="宋体" w:cs="Times New Roman"/>
          <w:color w:val="auto"/>
          <w:spacing w:val="-3"/>
          <w:sz w:val="24"/>
          <w:szCs w:val="24"/>
          <w:highlight w:val="none"/>
        </w:rPr>
        <w:t>影响评价，根据当地的地理、环境及气象等因素确定与居民区之间的距离。在确定距</w:t>
      </w:r>
      <w:r>
        <w:rPr>
          <w:rFonts w:hint="default" w:ascii="Times New Roman" w:hAnsi="Times New Roman" w:eastAsia="宋体" w:cs="Times New Roman"/>
          <w:color w:val="auto"/>
          <w:spacing w:val="1"/>
          <w:sz w:val="24"/>
          <w:szCs w:val="24"/>
          <w:highlight w:val="none"/>
        </w:rPr>
        <w:t>离时，该技术规范中的要求可作为一项参考依据。</w:t>
      </w:r>
      <w:r>
        <w:rPr>
          <w:rFonts w:hint="default" w:ascii="Times New Roman" w:hAnsi="Times New Roman" w:eastAsia="宋体" w:cs="Times New Roman"/>
          <w:color w:val="auto"/>
          <w:spacing w:val="1"/>
          <w:sz w:val="24"/>
          <w:szCs w:val="24"/>
          <w:highlight w:val="none"/>
          <w:lang w:eastAsia="zh-CN"/>
        </w:rPr>
        <w:t>”</w:t>
      </w:r>
    </w:p>
    <w:p w14:paraId="172F06C5">
      <w:pPr>
        <w:keepNext w:val="0"/>
        <w:keepLines w:val="0"/>
        <w:pageBreakBefore w:val="0"/>
        <w:widowControl/>
        <w:kinsoku/>
        <w:wordWrap w:val="0"/>
        <w:overflowPunct/>
        <w:topLinePunct/>
        <w:autoSpaceDE/>
        <w:autoSpaceDN/>
        <w:bidi w:val="0"/>
        <w:adjustRightInd w:val="0"/>
        <w:snapToGrid w:val="0"/>
        <w:spacing w:before="9" w:line="360" w:lineRule="auto"/>
        <w:ind w:left="130" w:right="0" w:firstLine="499"/>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因此，参考《禽养殖业污染防治技术规范》（</w:t>
      </w:r>
      <w:r>
        <w:rPr>
          <w:rFonts w:hint="default" w:ascii="Times New Roman" w:hAnsi="Times New Roman" w:eastAsia="Times New Roman" w:cs="Times New Roman"/>
          <w:color w:val="auto"/>
          <w:sz w:val="24"/>
          <w:szCs w:val="24"/>
          <w:highlight w:val="none"/>
        </w:rPr>
        <w:t>HJ</w:t>
      </w:r>
      <w:r>
        <w:rPr>
          <w:rFonts w:hint="default" w:ascii="Times New Roman" w:hAnsi="Times New Roman" w:eastAsia="Times New Roman" w:cs="Times New Roman"/>
          <w:color w:val="auto"/>
          <w:spacing w:val="1"/>
          <w:sz w:val="24"/>
          <w:szCs w:val="24"/>
          <w:highlight w:val="none"/>
        </w:rPr>
        <w:t>/T81-2001</w:t>
      </w:r>
      <w:r>
        <w:rPr>
          <w:rFonts w:hint="default" w:ascii="Times New Roman" w:hAnsi="Times New Roman" w:eastAsia="宋体" w:cs="Times New Roman"/>
          <w:color w:val="auto"/>
          <w:spacing w:val="1"/>
          <w:sz w:val="24"/>
          <w:szCs w:val="24"/>
          <w:highlight w:val="none"/>
        </w:rPr>
        <w:t>）中规定的畜禽养殖</w:t>
      </w:r>
      <w:r>
        <w:rPr>
          <w:rFonts w:hint="default" w:ascii="Times New Roman" w:hAnsi="Times New Roman" w:eastAsia="宋体" w:cs="Times New Roman"/>
          <w:color w:val="auto"/>
          <w:spacing w:val="-3"/>
          <w:sz w:val="24"/>
          <w:szCs w:val="24"/>
          <w:highlight w:val="none"/>
        </w:rPr>
        <w:t>场选址应设在禁建区域常年主导风向下风向或侧风向处，</w:t>
      </w:r>
      <w:r>
        <w:rPr>
          <w:rFonts w:hint="default" w:ascii="Times New Roman" w:hAnsi="Times New Roman" w:eastAsia="宋体" w:cs="Times New Roman"/>
          <w:color w:val="auto"/>
          <w:spacing w:val="-3"/>
          <w:sz w:val="24"/>
          <w:szCs w:val="24"/>
          <w:highlight w:val="none"/>
          <w:lang w:eastAsia="zh-CN"/>
        </w:rPr>
        <w:t>厂界</w:t>
      </w:r>
      <w:r>
        <w:rPr>
          <w:rFonts w:hint="default" w:ascii="Times New Roman" w:hAnsi="Times New Roman" w:eastAsia="宋体" w:cs="Times New Roman"/>
          <w:color w:val="auto"/>
          <w:spacing w:val="-3"/>
          <w:sz w:val="24"/>
          <w:szCs w:val="24"/>
          <w:highlight w:val="none"/>
        </w:rPr>
        <w:t>与禁建区域边界的最小</w:t>
      </w:r>
      <w:r>
        <w:rPr>
          <w:rFonts w:hint="default" w:ascii="Times New Roman" w:hAnsi="Times New Roman" w:eastAsia="宋体" w:cs="Times New Roman"/>
          <w:color w:val="auto"/>
          <w:spacing w:val="-2"/>
          <w:sz w:val="24"/>
          <w:szCs w:val="24"/>
          <w:highlight w:val="none"/>
        </w:rPr>
        <w:t>距离不得小于</w:t>
      </w:r>
      <w:r>
        <w:rPr>
          <w:rFonts w:hint="default" w:ascii="Times New Roman" w:hAnsi="Times New Roman" w:eastAsia="Times New Roman" w:cs="Times New Roman"/>
          <w:color w:val="auto"/>
          <w:spacing w:val="-2"/>
          <w:sz w:val="24"/>
          <w:szCs w:val="24"/>
          <w:highlight w:val="none"/>
        </w:rPr>
        <w:t>500m</w:t>
      </w:r>
      <w:r>
        <w:rPr>
          <w:rFonts w:hint="default" w:ascii="Times New Roman" w:hAnsi="Times New Roman" w:eastAsia="宋体" w:cs="Times New Roman"/>
          <w:color w:val="auto"/>
          <w:spacing w:val="-2"/>
          <w:sz w:val="24"/>
          <w:szCs w:val="24"/>
          <w:highlight w:val="none"/>
        </w:rPr>
        <w:t>要求，本项目以</w:t>
      </w:r>
      <w:r>
        <w:rPr>
          <w:rFonts w:hint="default" w:ascii="Times New Roman" w:hAnsi="Times New Roman" w:eastAsia="宋体" w:cs="Times New Roman"/>
          <w:color w:val="auto"/>
          <w:spacing w:val="-2"/>
          <w:sz w:val="24"/>
          <w:szCs w:val="24"/>
          <w:highlight w:val="none"/>
          <w:lang w:eastAsia="zh-CN"/>
        </w:rPr>
        <w:t>厂界</w:t>
      </w:r>
      <w:r>
        <w:rPr>
          <w:rFonts w:hint="default" w:ascii="Times New Roman" w:hAnsi="Times New Roman" w:eastAsia="宋体" w:cs="Times New Roman"/>
          <w:color w:val="auto"/>
          <w:spacing w:val="-2"/>
          <w:sz w:val="24"/>
          <w:szCs w:val="24"/>
          <w:highlight w:val="none"/>
        </w:rPr>
        <w:t>参考设置</w:t>
      </w:r>
      <w:r>
        <w:rPr>
          <w:rFonts w:hint="default" w:ascii="Times New Roman" w:hAnsi="Times New Roman" w:eastAsia="Times New Roman" w:cs="Times New Roman"/>
          <w:color w:val="auto"/>
          <w:spacing w:val="-2"/>
          <w:sz w:val="24"/>
          <w:szCs w:val="24"/>
          <w:highlight w:val="none"/>
        </w:rPr>
        <w:t>500</w:t>
      </w:r>
      <w:r>
        <w:rPr>
          <w:rFonts w:hint="default" w:ascii="Times New Roman" w:hAnsi="Times New Roman" w:eastAsia="宋体" w:cs="Times New Roman"/>
          <w:color w:val="auto"/>
          <w:spacing w:val="-2"/>
          <w:sz w:val="24"/>
          <w:szCs w:val="24"/>
          <w:highlight w:val="none"/>
        </w:rPr>
        <w:t>米卫生防护距离，在</w:t>
      </w:r>
      <w:r>
        <w:rPr>
          <w:rFonts w:hint="default" w:ascii="Times New Roman" w:hAnsi="Times New Roman" w:eastAsia="Times New Roman" w:cs="Times New Roman"/>
          <w:color w:val="auto"/>
          <w:spacing w:val="-2"/>
          <w:sz w:val="24"/>
          <w:szCs w:val="24"/>
          <w:highlight w:val="none"/>
        </w:rPr>
        <w:t>500</w:t>
      </w:r>
      <w:r>
        <w:rPr>
          <w:rFonts w:hint="default" w:ascii="Times New Roman" w:hAnsi="Times New Roman" w:eastAsia="宋体" w:cs="Times New Roman"/>
          <w:color w:val="auto"/>
          <w:spacing w:val="-2"/>
          <w:sz w:val="24"/>
          <w:szCs w:val="24"/>
          <w:highlight w:val="none"/>
        </w:rPr>
        <w:t>米卫</w:t>
      </w:r>
      <w:r>
        <w:rPr>
          <w:rFonts w:hint="default" w:ascii="Times New Roman" w:hAnsi="Times New Roman" w:eastAsia="宋体" w:cs="Times New Roman"/>
          <w:color w:val="auto"/>
          <w:spacing w:val="-3"/>
          <w:sz w:val="24"/>
          <w:szCs w:val="24"/>
          <w:highlight w:val="none"/>
        </w:rPr>
        <w:t>生防护距离内不得规划建设学校、医院、居民区、办公楼等敏感设施。在本项目</w:t>
      </w:r>
      <w:r>
        <w:rPr>
          <w:rFonts w:hint="default" w:ascii="Times New Roman" w:hAnsi="Times New Roman" w:eastAsia="宋体" w:cs="Times New Roman"/>
          <w:color w:val="auto"/>
          <w:spacing w:val="-3"/>
          <w:sz w:val="24"/>
          <w:szCs w:val="24"/>
          <w:highlight w:val="none"/>
          <w:lang w:eastAsia="zh-CN"/>
        </w:rPr>
        <w:t>厂界</w:t>
      </w:r>
      <w:r>
        <w:rPr>
          <w:rFonts w:hint="default" w:ascii="Times New Roman" w:hAnsi="Times New Roman" w:eastAsia="宋体" w:cs="Times New Roman"/>
          <w:color w:val="auto"/>
          <w:spacing w:val="-3"/>
          <w:sz w:val="24"/>
          <w:szCs w:val="24"/>
          <w:highlight w:val="none"/>
        </w:rPr>
        <w:t>外</w:t>
      </w:r>
      <w:r>
        <w:rPr>
          <w:rFonts w:hint="default" w:ascii="Times New Roman" w:hAnsi="Times New Roman" w:eastAsia="Times New Roman" w:cs="Times New Roman"/>
          <w:color w:val="auto"/>
          <w:spacing w:val="-3"/>
          <w:sz w:val="24"/>
          <w:szCs w:val="24"/>
          <w:highlight w:val="none"/>
        </w:rPr>
        <w:t>500</w:t>
      </w:r>
      <w:r>
        <w:rPr>
          <w:rFonts w:hint="default" w:ascii="Times New Roman" w:hAnsi="Times New Roman" w:eastAsia="宋体" w:cs="Times New Roman"/>
          <w:color w:val="auto"/>
          <w:spacing w:val="-3"/>
          <w:sz w:val="24"/>
          <w:szCs w:val="24"/>
          <w:highlight w:val="none"/>
        </w:rPr>
        <w:t>米范围内，无自然保护区及村庄等环境敏感点，因此，本项目选址符合卫生防</w:t>
      </w:r>
      <w:r>
        <w:rPr>
          <w:rFonts w:hint="default" w:ascii="Times New Roman" w:hAnsi="Times New Roman" w:eastAsia="宋体" w:cs="Times New Roman"/>
          <w:color w:val="auto"/>
          <w:spacing w:val="-6"/>
          <w:sz w:val="24"/>
          <w:szCs w:val="24"/>
          <w:highlight w:val="none"/>
        </w:rPr>
        <w:t>护距离的要求。</w:t>
      </w:r>
    </w:p>
    <w:p w14:paraId="3FE3115E">
      <w:pPr>
        <w:keepNext w:val="0"/>
        <w:keepLines w:val="0"/>
        <w:pageBreakBefore w:val="0"/>
        <w:widowControl/>
        <w:kinsoku/>
        <w:wordWrap w:val="0"/>
        <w:overflowPunct/>
        <w:topLinePunct/>
        <w:autoSpaceDE/>
        <w:autoSpaceDN/>
        <w:bidi w:val="0"/>
        <w:adjustRightInd w:val="0"/>
        <w:snapToGrid w:val="0"/>
        <w:spacing w:before="159" w:line="360" w:lineRule="auto"/>
        <w:ind w:left="11"/>
        <w:textAlignment w:val="baseline"/>
        <w:outlineLvl w:val="1"/>
        <w:rPr>
          <w:rFonts w:hint="default" w:ascii="Times New Roman" w:hAnsi="Times New Roman" w:eastAsia="Times New Roman" w:cs="Times New Roman"/>
          <w:b/>
          <w:bCs/>
          <w:color w:val="auto"/>
          <w:spacing w:val="-5"/>
          <w:sz w:val="28"/>
          <w:szCs w:val="28"/>
          <w:highlight w:val="none"/>
        </w:rPr>
      </w:pPr>
      <w:bookmarkStart w:id="77" w:name="_Toc21080"/>
      <w:bookmarkStart w:id="78" w:name="_Toc14398"/>
      <w:bookmarkStart w:id="79" w:name="_Toc12569"/>
      <w:r>
        <w:rPr>
          <w:rFonts w:hint="default" w:ascii="Times New Roman" w:hAnsi="Times New Roman" w:eastAsia="Times New Roman" w:cs="Times New Roman"/>
          <w:b/>
          <w:bCs/>
          <w:color w:val="auto"/>
          <w:spacing w:val="-5"/>
          <w:sz w:val="28"/>
          <w:szCs w:val="28"/>
          <w:highlight w:val="none"/>
        </w:rPr>
        <w:t>2.5评价工作等级和评价重点</w:t>
      </w:r>
      <w:bookmarkEnd w:id="77"/>
      <w:bookmarkEnd w:id="78"/>
      <w:bookmarkEnd w:id="79"/>
    </w:p>
    <w:p w14:paraId="104941AA">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80" w:name="_Toc19245"/>
      <w:r>
        <w:rPr>
          <w:rFonts w:hint="default" w:ascii="Times New Roman" w:hAnsi="Times New Roman" w:eastAsia="宋体" w:cs="Times New Roman"/>
          <w:b/>
          <w:bCs/>
          <w:color w:val="auto"/>
          <w:spacing w:val="-2"/>
          <w:sz w:val="24"/>
          <w:szCs w:val="24"/>
          <w:highlight w:val="none"/>
          <w:lang w:val="en-US" w:eastAsia="zh-CN"/>
        </w:rPr>
        <w:t>2.5.1评价工作等级</w:t>
      </w:r>
      <w:bookmarkEnd w:id="80"/>
    </w:p>
    <w:p w14:paraId="18AA5BC4">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3"/>
        <w:rPr>
          <w:rFonts w:hint="default" w:ascii="Times New Roman" w:hAnsi="Times New Roman" w:eastAsia="宋体" w:cs="Times New Roman"/>
          <w:b/>
          <w:bCs/>
          <w:color w:val="auto"/>
          <w:spacing w:val="-2"/>
          <w:sz w:val="24"/>
          <w:szCs w:val="24"/>
          <w:highlight w:val="none"/>
          <w:lang w:val="en-US" w:eastAsia="zh-CN"/>
        </w:rPr>
      </w:pPr>
      <w:r>
        <w:rPr>
          <w:rFonts w:hint="default" w:ascii="Times New Roman" w:hAnsi="Times New Roman" w:eastAsia="宋体" w:cs="Times New Roman"/>
          <w:b/>
          <w:bCs/>
          <w:color w:val="auto"/>
          <w:spacing w:val="-2"/>
          <w:sz w:val="24"/>
          <w:szCs w:val="24"/>
          <w:highlight w:val="none"/>
          <w:lang w:val="en-US" w:eastAsia="zh-CN"/>
        </w:rPr>
        <w:t>2.5.1.1地表水</w:t>
      </w:r>
    </w:p>
    <w:p w14:paraId="07671EF3">
      <w:pPr>
        <w:keepNext w:val="0"/>
        <w:keepLines w:val="0"/>
        <w:pageBreakBefore w:val="0"/>
        <w:widowControl/>
        <w:kinsoku/>
        <w:wordWrap w:val="0"/>
        <w:overflowPunct/>
        <w:topLinePunct/>
        <w:autoSpaceDE/>
        <w:autoSpaceDN/>
        <w:bidi w:val="0"/>
        <w:adjustRightInd w:val="0"/>
        <w:snapToGrid w:val="0"/>
        <w:spacing w:before="9" w:line="360" w:lineRule="auto"/>
        <w:ind w:left="130" w:right="0" w:firstLine="499"/>
        <w:textAlignment w:val="baseline"/>
        <w:rPr>
          <w:rFonts w:hint="default" w:ascii="Times New Roman" w:hAnsi="Times New Roman" w:eastAsia="宋体" w:cs="Times New Roman"/>
          <w:color w:val="auto"/>
          <w:spacing w:val="-3"/>
          <w:sz w:val="24"/>
          <w:szCs w:val="24"/>
          <w:highlight w:val="none"/>
          <w:lang w:eastAsia="zh-CN"/>
        </w:rPr>
      </w:pPr>
      <w:r>
        <w:rPr>
          <w:rFonts w:hint="default" w:ascii="Times New Roman" w:hAnsi="Times New Roman" w:eastAsia="宋体" w:cs="Times New Roman"/>
          <w:color w:val="auto"/>
          <w:spacing w:val="-3"/>
          <w:sz w:val="24"/>
          <w:szCs w:val="24"/>
          <w:highlight w:val="none"/>
        </w:rPr>
        <w:t>本次评价参照《环境影响评价技术导则—地表水环境》（HJ2.3-2018）确定地表水环境评价等级。本项目属于畜禽养殖类项目，属于水污染影响型建设项目。表2.5-1水污染型建设项目评价等级判定</w:t>
      </w:r>
      <w:r>
        <w:rPr>
          <w:rFonts w:hint="default" w:ascii="Times New Roman" w:hAnsi="Times New Roman" w:eastAsia="宋体" w:cs="Times New Roman"/>
          <w:color w:val="auto"/>
          <w:spacing w:val="-3"/>
          <w:sz w:val="24"/>
          <w:szCs w:val="24"/>
          <w:highlight w:val="none"/>
          <w:lang w:eastAsia="zh-CN"/>
        </w:rPr>
        <w:t>。</w:t>
      </w:r>
    </w:p>
    <w:p w14:paraId="37253002">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cs="Times New Roman"/>
          <w:b/>
          <w:bCs/>
          <w:color w:val="auto"/>
          <w:highlight w:val="none"/>
        </w:rPr>
      </w:pPr>
      <w:r>
        <w:rPr>
          <w:rFonts w:hint="default" w:ascii="Times New Roman" w:hAnsi="Times New Roman" w:eastAsia="宋体" w:cs="Times New Roman"/>
          <w:b/>
          <w:bCs/>
          <w:snapToGrid w:val="0"/>
          <w:color w:val="auto"/>
          <w:kern w:val="0"/>
          <w:sz w:val="24"/>
          <w:szCs w:val="24"/>
          <w:highlight w:val="none"/>
          <w:lang w:val="en-US" w:eastAsia="zh-CN" w:bidi="ar"/>
        </w:rPr>
        <w:t>表2.5-1水污染型建设项目评价等级判定</w:t>
      </w:r>
    </w:p>
    <w:p w14:paraId="7EF40475">
      <w:pPr>
        <w:keepNext w:val="0"/>
        <w:keepLines w:val="0"/>
        <w:pageBreakBefore w:val="0"/>
        <w:kinsoku/>
        <w:wordWrap w:val="0"/>
        <w:overflowPunct/>
        <w:topLinePunct/>
        <w:autoSpaceDE/>
        <w:autoSpaceDN/>
        <w:bidi w:val="0"/>
        <w:adjustRightInd w:val="0"/>
        <w:snapToGrid w:val="0"/>
        <w:spacing w:line="53" w:lineRule="exact"/>
        <w:textAlignment w:val="baseline"/>
        <w:rPr>
          <w:rFonts w:hint="default" w:ascii="Times New Roman" w:hAnsi="Times New Roman" w:cs="Times New Roman"/>
          <w:color w:val="auto"/>
          <w:highlight w:val="none"/>
        </w:rPr>
      </w:pPr>
    </w:p>
    <w:tbl>
      <w:tblPr>
        <w:tblStyle w:val="34"/>
        <w:tblW w:w="9004" w:type="dxa"/>
        <w:jc w:val="center"/>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Layout w:type="fixed"/>
        <w:tblCellMar>
          <w:top w:w="0" w:type="dxa"/>
          <w:left w:w="0" w:type="dxa"/>
          <w:bottom w:w="0" w:type="dxa"/>
          <w:right w:w="0" w:type="dxa"/>
        </w:tblCellMar>
      </w:tblPr>
      <w:tblGrid>
        <w:gridCol w:w="2547"/>
        <w:gridCol w:w="2779"/>
        <w:gridCol w:w="3678"/>
      </w:tblGrid>
      <w:tr w14:paraId="492441D8">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20" w:hRule="atLeast"/>
          <w:jc w:val="center"/>
        </w:trPr>
        <w:tc>
          <w:tcPr>
            <w:tcW w:w="2547" w:type="dxa"/>
            <w:vMerge w:val="restart"/>
            <w:tcBorders>
              <w:tl2br w:val="nil"/>
              <w:tr2bl w:val="nil"/>
            </w:tcBorders>
            <w:vAlign w:val="center"/>
          </w:tcPr>
          <w:p w14:paraId="109832CD">
            <w:pPr>
              <w:pStyle w:val="35"/>
              <w:keepNext w:val="0"/>
              <w:keepLines w:val="0"/>
              <w:pageBreakBefore w:val="0"/>
              <w:widowControl/>
              <w:kinsoku/>
              <w:wordWrap w:val="0"/>
              <w:overflowPunct/>
              <w:topLinePunct/>
              <w:autoSpaceDE/>
              <w:autoSpaceDN/>
              <w:bidi w:val="0"/>
              <w:adjustRightInd w:val="0"/>
              <w:snapToGrid w:val="0"/>
              <w:spacing w:line="240" w:lineRule="auto"/>
              <w:ind w:left="859"/>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评价等级</w:t>
            </w:r>
          </w:p>
        </w:tc>
        <w:tc>
          <w:tcPr>
            <w:tcW w:w="6457" w:type="dxa"/>
            <w:gridSpan w:val="2"/>
            <w:tcBorders>
              <w:tl2br w:val="nil"/>
              <w:tr2bl w:val="nil"/>
            </w:tcBorders>
            <w:vAlign w:val="center"/>
          </w:tcPr>
          <w:p w14:paraId="1509836E">
            <w:pPr>
              <w:pStyle w:val="35"/>
              <w:keepNext w:val="0"/>
              <w:keepLines w:val="0"/>
              <w:pageBreakBefore w:val="0"/>
              <w:widowControl/>
              <w:kinsoku/>
              <w:wordWrap w:val="0"/>
              <w:overflowPunct/>
              <w:topLinePunct/>
              <w:autoSpaceDE/>
              <w:autoSpaceDN/>
              <w:bidi w:val="0"/>
              <w:adjustRightInd w:val="0"/>
              <w:snapToGrid w:val="0"/>
              <w:spacing w:line="240" w:lineRule="auto"/>
              <w:ind w:left="2811"/>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判定依据</w:t>
            </w:r>
          </w:p>
        </w:tc>
      </w:tr>
      <w:tr w14:paraId="6098215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639" w:hRule="atLeast"/>
          <w:jc w:val="center"/>
        </w:trPr>
        <w:tc>
          <w:tcPr>
            <w:tcW w:w="2547" w:type="dxa"/>
            <w:vMerge w:val="continue"/>
            <w:tcBorders>
              <w:tl2br w:val="nil"/>
              <w:tr2bl w:val="nil"/>
            </w:tcBorders>
            <w:vAlign w:val="center"/>
          </w:tcPr>
          <w:p w14:paraId="285EE4E5">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cs="Times New Roman"/>
                <w:color w:val="auto"/>
                <w:sz w:val="21"/>
                <w:highlight w:val="none"/>
              </w:rPr>
            </w:pPr>
          </w:p>
        </w:tc>
        <w:tc>
          <w:tcPr>
            <w:tcW w:w="2779" w:type="dxa"/>
            <w:tcBorders>
              <w:tl2br w:val="nil"/>
              <w:tr2bl w:val="nil"/>
            </w:tcBorders>
            <w:vAlign w:val="center"/>
          </w:tcPr>
          <w:p w14:paraId="42B35B56">
            <w:pPr>
              <w:pStyle w:val="35"/>
              <w:keepNext w:val="0"/>
              <w:keepLines w:val="0"/>
              <w:pageBreakBefore w:val="0"/>
              <w:widowControl/>
              <w:kinsoku/>
              <w:wordWrap w:val="0"/>
              <w:overflowPunct/>
              <w:topLinePunct/>
              <w:autoSpaceDE/>
              <w:autoSpaceDN/>
              <w:bidi w:val="0"/>
              <w:adjustRightInd w:val="0"/>
              <w:snapToGrid w:val="0"/>
              <w:spacing w:line="240" w:lineRule="auto"/>
              <w:ind w:left="972"/>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排放方式</w:t>
            </w:r>
          </w:p>
        </w:tc>
        <w:tc>
          <w:tcPr>
            <w:tcW w:w="3678" w:type="dxa"/>
            <w:tcBorders>
              <w:tl2br w:val="nil"/>
              <w:tr2bl w:val="nil"/>
            </w:tcBorders>
            <w:vAlign w:val="center"/>
          </w:tcPr>
          <w:p w14:paraId="2C129AFF">
            <w:pPr>
              <w:pStyle w:val="35"/>
              <w:keepNext w:val="0"/>
              <w:keepLines w:val="0"/>
              <w:pageBreakBefore w:val="0"/>
              <w:widowControl/>
              <w:kinsoku/>
              <w:wordWrap w:val="0"/>
              <w:overflowPunct/>
              <w:topLinePunct/>
              <w:autoSpaceDE/>
              <w:autoSpaceDN/>
              <w:bidi w:val="0"/>
              <w:adjustRightInd w:val="0"/>
              <w:snapToGrid w:val="0"/>
              <w:spacing w:line="240" w:lineRule="auto"/>
              <w:ind w:left="672"/>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highlight w:val="none"/>
              </w:rPr>
              <w:t>废水排放量</w:t>
            </w:r>
            <w:r>
              <w:rPr>
                <w:rFonts w:hint="default" w:ascii="Times New Roman" w:hAnsi="Times New Roman" w:eastAsia="Times New Roman" w:cs="Times New Roman"/>
                <w:b/>
                <w:bCs/>
                <w:color w:val="auto"/>
                <w:highlight w:val="none"/>
              </w:rPr>
              <w:t>Q/</w:t>
            </w:r>
            <w:r>
              <w:rPr>
                <w:rFonts w:hint="default" w:ascii="Times New Roman" w:hAnsi="Times New Roman" w:cs="Times New Roman"/>
                <w:b/>
                <w:bCs/>
                <w:color w:val="auto"/>
                <w:highlight w:val="none"/>
              </w:rPr>
              <w:t>（</w:t>
            </w:r>
            <w:r>
              <w:rPr>
                <w:rFonts w:hint="default" w:ascii="Times New Roman" w:hAnsi="Times New Roman" w:eastAsia="Times New Roman" w:cs="Times New Roman"/>
                <w:b/>
                <w:bCs/>
                <w:color w:val="auto"/>
                <w:highlight w:val="none"/>
              </w:rPr>
              <w:t>m</w:t>
            </w:r>
            <w:r>
              <w:rPr>
                <w:rFonts w:hint="default" w:ascii="Times New Roman" w:hAnsi="Times New Roman" w:eastAsia="Times New Roman" w:cs="Times New Roman"/>
                <w:b/>
                <w:bCs/>
                <w:color w:val="auto"/>
                <w:position w:val="15"/>
                <w:sz w:val="13"/>
                <w:szCs w:val="13"/>
                <w:highlight w:val="none"/>
              </w:rPr>
              <w:t>3</w:t>
            </w:r>
            <w:r>
              <w:rPr>
                <w:rFonts w:hint="default" w:ascii="Times New Roman" w:hAnsi="Times New Roman" w:eastAsia="Times New Roman" w:cs="Times New Roman"/>
                <w:b/>
                <w:bCs/>
                <w:color w:val="auto"/>
                <w:highlight w:val="none"/>
              </w:rPr>
              <w:t>/d</w:t>
            </w:r>
            <w:r>
              <w:rPr>
                <w:rFonts w:hint="default" w:ascii="Times New Roman" w:hAnsi="Times New Roman" w:cs="Times New Roman"/>
                <w:b/>
                <w:bCs/>
                <w:color w:val="auto"/>
                <w:spacing w:val="-14"/>
                <w:highlight w:val="none"/>
              </w:rPr>
              <w:t>）；</w:t>
            </w:r>
          </w:p>
          <w:p w14:paraId="38EC83B5">
            <w:pPr>
              <w:pStyle w:val="35"/>
              <w:keepNext w:val="0"/>
              <w:keepLines w:val="0"/>
              <w:pageBreakBefore w:val="0"/>
              <w:widowControl/>
              <w:kinsoku/>
              <w:wordWrap w:val="0"/>
              <w:overflowPunct/>
              <w:topLinePunct/>
              <w:autoSpaceDE/>
              <w:autoSpaceDN/>
              <w:bidi w:val="0"/>
              <w:adjustRightInd w:val="0"/>
              <w:snapToGrid w:val="0"/>
              <w:spacing w:line="240" w:lineRule="auto"/>
              <w:ind w:left="421"/>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水污染物当量数</w:t>
            </w:r>
            <w:r>
              <w:rPr>
                <w:rFonts w:hint="default" w:ascii="Times New Roman" w:hAnsi="Times New Roman" w:eastAsia="Times New Roman" w:cs="Times New Roman"/>
                <w:b/>
                <w:bCs/>
                <w:color w:val="auto"/>
                <w:spacing w:val="-3"/>
                <w:highlight w:val="none"/>
              </w:rPr>
              <w:t>W/</w:t>
            </w:r>
            <w:r>
              <w:rPr>
                <w:rFonts w:hint="default" w:ascii="Times New Roman" w:hAnsi="Times New Roman" w:cs="Times New Roman"/>
                <w:b/>
                <w:bCs/>
                <w:color w:val="auto"/>
                <w:spacing w:val="-3"/>
                <w:highlight w:val="none"/>
              </w:rPr>
              <w:t>（无量纲）</w:t>
            </w:r>
          </w:p>
        </w:tc>
      </w:tr>
      <w:tr w14:paraId="3015A846">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18" w:hRule="atLeast"/>
          <w:jc w:val="center"/>
        </w:trPr>
        <w:tc>
          <w:tcPr>
            <w:tcW w:w="2547" w:type="dxa"/>
            <w:tcBorders>
              <w:tl2br w:val="nil"/>
              <w:tr2bl w:val="nil"/>
            </w:tcBorders>
            <w:vAlign w:val="center"/>
          </w:tcPr>
          <w:p w14:paraId="4CA5B766">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一级</w:t>
            </w:r>
          </w:p>
        </w:tc>
        <w:tc>
          <w:tcPr>
            <w:tcW w:w="2779" w:type="dxa"/>
            <w:tcBorders>
              <w:tl2br w:val="nil"/>
              <w:tr2bl w:val="nil"/>
            </w:tcBorders>
            <w:vAlign w:val="center"/>
          </w:tcPr>
          <w:p w14:paraId="55AF7FE9">
            <w:pPr>
              <w:pStyle w:val="35"/>
              <w:keepNext w:val="0"/>
              <w:keepLines w:val="0"/>
              <w:pageBreakBefore w:val="0"/>
              <w:widowControl/>
              <w:kinsoku/>
              <w:wordWrap w:val="0"/>
              <w:overflowPunct/>
              <w:topLinePunct/>
              <w:autoSpaceDE/>
              <w:autoSpaceDN/>
              <w:bidi w:val="0"/>
              <w:adjustRightInd w:val="0"/>
              <w:snapToGrid w:val="0"/>
              <w:spacing w:line="240" w:lineRule="auto"/>
              <w:ind w:left="97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直接排放</w:t>
            </w:r>
          </w:p>
        </w:tc>
        <w:tc>
          <w:tcPr>
            <w:tcW w:w="3678" w:type="dxa"/>
            <w:tcBorders>
              <w:tl2br w:val="nil"/>
              <w:tr2bl w:val="nil"/>
            </w:tcBorders>
            <w:vAlign w:val="center"/>
          </w:tcPr>
          <w:p w14:paraId="7ACEB1B4">
            <w:pPr>
              <w:pStyle w:val="35"/>
              <w:keepNext w:val="0"/>
              <w:keepLines w:val="0"/>
              <w:pageBreakBefore w:val="0"/>
              <w:widowControl/>
              <w:kinsoku/>
              <w:wordWrap w:val="0"/>
              <w:overflowPunct/>
              <w:topLinePunct/>
              <w:autoSpaceDE/>
              <w:autoSpaceDN/>
              <w:bidi w:val="0"/>
              <w:adjustRightInd w:val="0"/>
              <w:snapToGrid w:val="0"/>
              <w:spacing w:line="240" w:lineRule="auto"/>
              <w:ind w:left="838"/>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i/>
                <w:iCs/>
                <w:color w:val="auto"/>
                <w:spacing w:val="-3"/>
                <w:highlight w:val="none"/>
              </w:rPr>
              <w:t>Q</w:t>
            </w:r>
            <w:r>
              <w:rPr>
                <w:rFonts w:hint="default" w:ascii="Times New Roman" w:hAnsi="Times New Roman" w:eastAsia="Times New Roman" w:cs="Times New Roman"/>
                <w:color w:val="auto"/>
                <w:spacing w:val="-3"/>
                <w:highlight w:val="none"/>
              </w:rPr>
              <w:t>≥20000</w:t>
            </w:r>
            <w:r>
              <w:rPr>
                <w:rFonts w:hint="default" w:ascii="Times New Roman" w:hAnsi="Times New Roman" w:cs="Times New Roman"/>
                <w:color w:val="auto"/>
                <w:spacing w:val="-3"/>
                <w:highlight w:val="none"/>
              </w:rPr>
              <w:t>或</w:t>
            </w:r>
            <w:r>
              <w:rPr>
                <w:rFonts w:hint="default" w:ascii="Times New Roman" w:hAnsi="Times New Roman" w:eastAsia="Times New Roman" w:cs="Times New Roman"/>
                <w:i/>
                <w:iCs/>
                <w:color w:val="auto"/>
                <w:spacing w:val="-3"/>
                <w:highlight w:val="none"/>
              </w:rPr>
              <w:t>W</w:t>
            </w:r>
            <w:r>
              <w:rPr>
                <w:rFonts w:hint="default" w:ascii="Times New Roman" w:hAnsi="Times New Roman" w:eastAsia="Times New Roman" w:cs="Times New Roman"/>
                <w:color w:val="auto"/>
                <w:spacing w:val="-3"/>
                <w:highlight w:val="none"/>
              </w:rPr>
              <w:t>≥600000</w:t>
            </w:r>
          </w:p>
        </w:tc>
      </w:tr>
      <w:tr w14:paraId="478BEAEC">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16" w:hRule="atLeast"/>
          <w:jc w:val="center"/>
        </w:trPr>
        <w:tc>
          <w:tcPr>
            <w:tcW w:w="2547" w:type="dxa"/>
            <w:tcBorders>
              <w:tl2br w:val="nil"/>
              <w:tr2bl w:val="nil"/>
            </w:tcBorders>
            <w:vAlign w:val="center"/>
          </w:tcPr>
          <w:p w14:paraId="13140A8E">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2779" w:type="dxa"/>
            <w:tcBorders>
              <w:tl2br w:val="nil"/>
              <w:tr2bl w:val="nil"/>
            </w:tcBorders>
            <w:vAlign w:val="center"/>
          </w:tcPr>
          <w:p w14:paraId="509D3528">
            <w:pPr>
              <w:pStyle w:val="35"/>
              <w:keepNext w:val="0"/>
              <w:keepLines w:val="0"/>
              <w:pageBreakBefore w:val="0"/>
              <w:widowControl/>
              <w:kinsoku/>
              <w:wordWrap w:val="0"/>
              <w:overflowPunct/>
              <w:topLinePunct/>
              <w:autoSpaceDE/>
              <w:autoSpaceDN/>
              <w:bidi w:val="0"/>
              <w:adjustRightInd w:val="0"/>
              <w:snapToGrid w:val="0"/>
              <w:spacing w:line="240" w:lineRule="auto"/>
              <w:ind w:left="97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直接排放</w:t>
            </w:r>
          </w:p>
        </w:tc>
        <w:tc>
          <w:tcPr>
            <w:tcW w:w="3678" w:type="dxa"/>
            <w:tcBorders>
              <w:tl2br w:val="nil"/>
              <w:tr2bl w:val="nil"/>
            </w:tcBorders>
            <w:vAlign w:val="center"/>
          </w:tcPr>
          <w:p w14:paraId="49C1CADD">
            <w:pPr>
              <w:pStyle w:val="35"/>
              <w:keepNext w:val="0"/>
              <w:keepLines w:val="0"/>
              <w:pageBreakBefore w:val="0"/>
              <w:widowControl/>
              <w:kinsoku/>
              <w:wordWrap w:val="0"/>
              <w:overflowPunct/>
              <w:topLinePunct/>
              <w:autoSpaceDE/>
              <w:autoSpaceDN/>
              <w:bidi w:val="0"/>
              <w:adjustRightInd w:val="0"/>
              <w:snapToGrid w:val="0"/>
              <w:spacing w:line="240" w:lineRule="auto"/>
              <w:ind w:left="163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其他</w:t>
            </w:r>
          </w:p>
        </w:tc>
      </w:tr>
      <w:tr w14:paraId="29062CFD">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16" w:hRule="atLeast"/>
          <w:jc w:val="center"/>
        </w:trPr>
        <w:tc>
          <w:tcPr>
            <w:tcW w:w="2547" w:type="dxa"/>
            <w:tcBorders>
              <w:tl2br w:val="nil"/>
              <w:tr2bl w:val="nil"/>
            </w:tcBorders>
            <w:vAlign w:val="center"/>
          </w:tcPr>
          <w:p w14:paraId="0F0ED76C">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三级</w:t>
            </w:r>
            <w:r>
              <w:rPr>
                <w:rFonts w:hint="default" w:ascii="Times New Roman" w:hAnsi="Times New Roman" w:eastAsia="Times New Roman" w:cs="Times New Roman"/>
                <w:color w:val="auto"/>
                <w:spacing w:val="-2"/>
                <w:highlight w:val="none"/>
              </w:rPr>
              <w:t>A</w:t>
            </w:r>
          </w:p>
        </w:tc>
        <w:tc>
          <w:tcPr>
            <w:tcW w:w="2779" w:type="dxa"/>
            <w:tcBorders>
              <w:tl2br w:val="nil"/>
              <w:tr2bl w:val="nil"/>
            </w:tcBorders>
            <w:vAlign w:val="center"/>
          </w:tcPr>
          <w:p w14:paraId="73D8BD85">
            <w:pPr>
              <w:pStyle w:val="35"/>
              <w:keepNext w:val="0"/>
              <w:keepLines w:val="0"/>
              <w:pageBreakBefore w:val="0"/>
              <w:widowControl/>
              <w:kinsoku/>
              <w:wordWrap w:val="0"/>
              <w:overflowPunct/>
              <w:topLinePunct/>
              <w:autoSpaceDE/>
              <w:autoSpaceDN/>
              <w:bidi w:val="0"/>
              <w:adjustRightInd w:val="0"/>
              <w:snapToGrid w:val="0"/>
              <w:spacing w:line="240" w:lineRule="auto"/>
              <w:ind w:left="97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直接排放</w:t>
            </w:r>
          </w:p>
        </w:tc>
        <w:tc>
          <w:tcPr>
            <w:tcW w:w="3678" w:type="dxa"/>
            <w:tcBorders>
              <w:tl2br w:val="nil"/>
              <w:tr2bl w:val="nil"/>
            </w:tcBorders>
            <w:vAlign w:val="center"/>
          </w:tcPr>
          <w:p w14:paraId="3AA102B4">
            <w:pPr>
              <w:pStyle w:val="35"/>
              <w:keepNext w:val="0"/>
              <w:keepLines w:val="0"/>
              <w:pageBreakBefore w:val="0"/>
              <w:widowControl/>
              <w:kinsoku/>
              <w:wordWrap w:val="0"/>
              <w:overflowPunct/>
              <w:topLinePunct/>
              <w:autoSpaceDE/>
              <w:autoSpaceDN/>
              <w:bidi w:val="0"/>
              <w:adjustRightInd w:val="0"/>
              <w:snapToGrid w:val="0"/>
              <w:spacing w:line="240" w:lineRule="auto"/>
              <w:ind w:left="954"/>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i/>
                <w:iCs/>
                <w:color w:val="auto"/>
                <w:spacing w:val="-4"/>
                <w:highlight w:val="none"/>
              </w:rPr>
              <w:t>Q</w:t>
            </w:r>
            <w:r>
              <w:rPr>
                <w:rFonts w:hint="default" w:ascii="Times New Roman" w:hAnsi="Times New Roman" w:cs="Times New Roman"/>
                <w:color w:val="auto"/>
                <w:spacing w:val="-4"/>
                <w:highlight w:val="none"/>
              </w:rPr>
              <w:t>＜</w:t>
            </w:r>
            <w:r>
              <w:rPr>
                <w:rFonts w:hint="default" w:ascii="Times New Roman" w:hAnsi="Times New Roman" w:eastAsia="Times New Roman" w:cs="Times New Roman"/>
                <w:color w:val="auto"/>
                <w:spacing w:val="-4"/>
                <w:highlight w:val="none"/>
              </w:rPr>
              <w:t>200</w:t>
            </w:r>
            <w:r>
              <w:rPr>
                <w:rFonts w:hint="default" w:ascii="Times New Roman" w:hAnsi="Times New Roman" w:cs="Times New Roman"/>
                <w:color w:val="auto"/>
                <w:spacing w:val="-4"/>
                <w:highlight w:val="none"/>
              </w:rPr>
              <w:t>且</w:t>
            </w:r>
            <w:r>
              <w:rPr>
                <w:rFonts w:hint="default" w:ascii="Times New Roman" w:hAnsi="Times New Roman" w:eastAsia="Times New Roman" w:cs="Times New Roman"/>
                <w:i/>
                <w:iCs/>
                <w:color w:val="auto"/>
                <w:spacing w:val="-4"/>
                <w:highlight w:val="none"/>
              </w:rPr>
              <w:t>W</w:t>
            </w:r>
            <w:r>
              <w:rPr>
                <w:rFonts w:hint="default" w:ascii="Times New Roman" w:hAnsi="Times New Roman" w:cs="Times New Roman"/>
                <w:color w:val="auto"/>
                <w:spacing w:val="-4"/>
                <w:highlight w:val="none"/>
              </w:rPr>
              <w:t>＜</w:t>
            </w:r>
            <w:r>
              <w:rPr>
                <w:rFonts w:hint="default" w:ascii="Times New Roman" w:hAnsi="Times New Roman" w:eastAsia="Times New Roman" w:cs="Times New Roman"/>
                <w:color w:val="auto"/>
                <w:spacing w:val="-4"/>
                <w:highlight w:val="none"/>
              </w:rPr>
              <w:t>6000</w:t>
            </w:r>
          </w:p>
        </w:tc>
      </w:tr>
      <w:tr w14:paraId="5CE2C933">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20" w:hRule="atLeast"/>
          <w:jc w:val="center"/>
        </w:trPr>
        <w:tc>
          <w:tcPr>
            <w:tcW w:w="2547" w:type="dxa"/>
            <w:tcBorders>
              <w:tl2br w:val="nil"/>
              <w:tr2bl w:val="nil"/>
            </w:tcBorders>
            <w:vAlign w:val="center"/>
          </w:tcPr>
          <w:p w14:paraId="2EE1D7D7">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三级</w:t>
            </w:r>
            <w:r>
              <w:rPr>
                <w:rFonts w:hint="default" w:ascii="Times New Roman" w:hAnsi="Times New Roman" w:eastAsia="Times New Roman" w:cs="Times New Roman"/>
                <w:color w:val="auto"/>
                <w:spacing w:val="-2"/>
                <w:highlight w:val="none"/>
              </w:rPr>
              <w:t>B</w:t>
            </w:r>
          </w:p>
        </w:tc>
        <w:tc>
          <w:tcPr>
            <w:tcW w:w="2779" w:type="dxa"/>
            <w:tcBorders>
              <w:tl2br w:val="nil"/>
              <w:tr2bl w:val="nil"/>
            </w:tcBorders>
            <w:vAlign w:val="center"/>
          </w:tcPr>
          <w:p w14:paraId="7C3E6586">
            <w:pPr>
              <w:pStyle w:val="35"/>
              <w:keepNext w:val="0"/>
              <w:keepLines w:val="0"/>
              <w:pageBreakBefore w:val="0"/>
              <w:widowControl/>
              <w:kinsoku/>
              <w:wordWrap w:val="0"/>
              <w:overflowPunct/>
              <w:topLinePunct/>
              <w:autoSpaceDE/>
              <w:autoSpaceDN/>
              <w:bidi w:val="0"/>
              <w:adjustRightInd w:val="0"/>
              <w:snapToGrid w:val="0"/>
              <w:spacing w:line="240" w:lineRule="auto"/>
              <w:ind w:left="99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6"/>
                <w:highlight w:val="none"/>
              </w:rPr>
              <w:t>间接排放</w:t>
            </w:r>
          </w:p>
        </w:tc>
        <w:tc>
          <w:tcPr>
            <w:tcW w:w="3678" w:type="dxa"/>
            <w:tcBorders>
              <w:tl2br w:val="nil"/>
              <w:tr2bl w:val="nil"/>
            </w:tcBorders>
            <w:vAlign w:val="center"/>
          </w:tcPr>
          <w:p w14:paraId="150D397F">
            <w:pPr>
              <w:keepNext w:val="0"/>
              <w:keepLines w:val="0"/>
              <w:pageBreakBefore w:val="0"/>
              <w:widowControl/>
              <w:kinsoku/>
              <w:wordWrap w:val="0"/>
              <w:overflowPunct/>
              <w:topLinePunct/>
              <w:autoSpaceDE/>
              <w:autoSpaceDN/>
              <w:bidi w:val="0"/>
              <w:adjustRightInd w:val="0"/>
              <w:snapToGrid w:val="0"/>
              <w:spacing w:line="240" w:lineRule="auto"/>
              <w:ind w:left="1806"/>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b/>
                <w:bCs/>
                <w:color w:val="auto"/>
                <w:position w:val="-2"/>
                <w:sz w:val="21"/>
                <w:szCs w:val="21"/>
                <w:highlight w:val="none"/>
              </w:rPr>
              <w:t>-</w:t>
            </w:r>
          </w:p>
        </w:tc>
      </w:tr>
      <w:tr w14:paraId="336A68B4">
        <w:tblPrEx>
          <w:tblBorders>
            <w:top w:val="single" w:color="000000" w:sz="12" w:space="0"/>
            <w:left w:val="none" w:color="auto" w:sz="0" w:space="0"/>
            <w:bottom w:val="single" w:color="000000" w:sz="12" w:space="0"/>
            <w:right w:val="none" w:color="auto" w:sz="0" w:space="0"/>
            <w:insideH w:val="single" w:color="000000" w:sz="6" w:space="0"/>
            <w:insideV w:val="single" w:color="000000" w:sz="2" w:space="0"/>
          </w:tblBorders>
          <w:tblCellMar>
            <w:top w:w="0" w:type="dxa"/>
            <w:left w:w="0" w:type="dxa"/>
            <w:bottom w:w="0" w:type="dxa"/>
            <w:right w:w="0" w:type="dxa"/>
          </w:tblCellMar>
        </w:tblPrEx>
        <w:trPr>
          <w:trHeight w:val="320" w:hRule="atLeast"/>
          <w:jc w:val="center"/>
        </w:trPr>
        <w:tc>
          <w:tcPr>
            <w:tcW w:w="9004" w:type="dxa"/>
            <w:gridSpan w:val="3"/>
            <w:tcBorders>
              <w:tl2br w:val="nil"/>
              <w:tr2bl w:val="nil"/>
            </w:tcBorders>
            <w:vAlign w:val="center"/>
          </w:tcPr>
          <w:p w14:paraId="57C03B7F">
            <w:pPr>
              <w:keepNext w:val="0"/>
              <w:keepLines w:val="0"/>
              <w:pageBreakBefore w:val="0"/>
              <w:kinsoku/>
              <w:wordWrap w:val="0"/>
              <w:overflowPunct/>
              <w:topLinePunct/>
              <w:autoSpaceDE/>
              <w:autoSpaceDN/>
              <w:bidi w:val="0"/>
              <w:adjustRightInd w:val="0"/>
              <w:snapToGrid w:val="0"/>
              <w:spacing w:before="53" w:line="274" w:lineRule="auto"/>
              <w:ind w:left="130" w:right="103"/>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注</w:t>
            </w:r>
            <w:r>
              <w:rPr>
                <w:rFonts w:hint="default" w:ascii="Times New Roman" w:hAnsi="Times New Roman" w:eastAsia="Times New Roman" w:cs="Times New Roman"/>
                <w:color w:val="auto"/>
                <w:spacing w:val="-1"/>
                <w:sz w:val="21"/>
                <w:szCs w:val="21"/>
                <w:highlight w:val="none"/>
              </w:rPr>
              <w:t>1</w:t>
            </w:r>
            <w:r>
              <w:rPr>
                <w:rFonts w:hint="default" w:ascii="Times New Roman" w:hAnsi="Times New Roman" w:eastAsia="宋体" w:cs="Times New Roman"/>
                <w:color w:val="auto"/>
                <w:spacing w:val="-1"/>
                <w:sz w:val="21"/>
                <w:szCs w:val="21"/>
                <w:highlight w:val="none"/>
              </w:rPr>
              <w:t>：水污染物当量数等于该污染物的年排放量除以该污染物的污染当量值（见附录</w:t>
            </w:r>
            <w:r>
              <w:rPr>
                <w:rFonts w:hint="default" w:ascii="Times New Roman" w:hAnsi="Times New Roman" w:eastAsia="Times New Roman" w:cs="Times New Roman"/>
                <w:color w:val="auto"/>
                <w:spacing w:val="-1"/>
                <w:sz w:val="21"/>
                <w:szCs w:val="21"/>
                <w:highlight w:val="none"/>
              </w:rPr>
              <w:t>A</w:t>
            </w:r>
            <w:r>
              <w:rPr>
                <w:rFonts w:hint="default" w:ascii="Times New Roman" w:hAnsi="Times New Roman" w:eastAsia="宋体" w:cs="Times New Roman"/>
                <w:color w:val="auto"/>
                <w:spacing w:val="5"/>
                <w:sz w:val="21"/>
                <w:szCs w:val="21"/>
                <w:highlight w:val="none"/>
              </w:rPr>
              <w:t>），</w:t>
            </w:r>
            <w:r>
              <w:rPr>
                <w:rFonts w:hint="default" w:ascii="Times New Roman" w:hAnsi="Times New Roman" w:eastAsia="宋体" w:cs="Times New Roman"/>
                <w:color w:val="auto"/>
                <w:spacing w:val="-1"/>
                <w:sz w:val="21"/>
                <w:szCs w:val="21"/>
                <w:highlight w:val="none"/>
              </w:rPr>
              <w:t>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14:paraId="40957BDA">
            <w:pPr>
              <w:keepNext w:val="0"/>
              <w:keepLines w:val="0"/>
              <w:pageBreakBefore w:val="0"/>
              <w:kinsoku/>
              <w:wordWrap w:val="0"/>
              <w:overflowPunct/>
              <w:topLinePunct/>
              <w:autoSpaceDE/>
              <w:autoSpaceDN/>
              <w:bidi w:val="0"/>
              <w:adjustRightInd w:val="0"/>
              <w:snapToGrid w:val="0"/>
              <w:spacing w:before="1" w:line="273" w:lineRule="auto"/>
              <w:ind w:left="129" w:right="103"/>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Fonts w:hint="default" w:ascii="Times New Roman" w:hAnsi="Times New Roman" w:eastAsia="Times New Roman" w:cs="Times New Roman"/>
                <w:color w:val="auto"/>
                <w:sz w:val="21"/>
                <w:szCs w:val="21"/>
                <w:highlight w:val="none"/>
              </w:rPr>
              <w:t>2</w:t>
            </w:r>
            <w:r>
              <w:rPr>
                <w:rFonts w:hint="default" w:ascii="Times New Roman" w:hAnsi="Times New Roman" w:eastAsia="宋体" w:cs="Times New Roman"/>
                <w:color w:val="auto"/>
                <w:sz w:val="21"/>
                <w:szCs w:val="21"/>
                <w:highlight w:val="none"/>
              </w:rPr>
              <w:t>：废水排放量按行业排放标准中规定的废水种类统计，没有相关行业排放标准要求的通过工</w:t>
            </w:r>
            <w:r>
              <w:rPr>
                <w:rFonts w:hint="default" w:ascii="Times New Roman" w:hAnsi="Times New Roman" w:eastAsia="宋体" w:cs="Times New Roman"/>
                <w:color w:val="auto"/>
                <w:spacing w:val="-1"/>
                <w:sz w:val="21"/>
                <w:szCs w:val="21"/>
                <w:highlight w:val="none"/>
              </w:rPr>
              <w:t>程分析合理确定，应统计含热量大的冷却水的排放量，可不统计间接冷却水、循环水以及其他含污染物极少的清净下水的排放量。</w:t>
            </w:r>
          </w:p>
          <w:p w14:paraId="72D26A00">
            <w:pPr>
              <w:keepNext w:val="0"/>
              <w:keepLines w:val="0"/>
              <w:pageBreakBefore w:val="0"/>
              <w:kinsoku/>
              <w:wordWrap w:val="0"/>
              <w:overflowPunct/>
              <w:topLinePunct/>
              <w:autoSpaceDE/>
              <w:autoSpaceDN/>
              <w:bidi w:val="0"/>
              <w:adjustRightInd w:val="0"/>
              <w:snapToGrid w:val="0"/>
              <w:spacing w:before="2" w:line="269" w:lineRule="auto"/>
              <w:ind w:left="129" w:right="113"/>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Fonts w:hint="default" w:ascii="Times New Roman" w:hAnsi="Times New Roman" w:eastAsia="Times New Roman" w:cs="Times New Roman"/>
                <w:color w:val="auto"/>
                <w:sz w:val="21"/>
                <w:szCs w:val="21"/>
                <w:highlight w:val="none"/>
              </w:rPr>
              <w:t>3</w:t>
            </w:r>
            <w:r>
              <w:rPr>
                <w:rFonts w:hint="default" w:ascii="Times New Roman" w:hAnsi="Times New Roman" w:eastAsia="宋体" w:cs="Times New Roman"/>
                <w:color w:val="auto"/>
                <w:sz w:val="21"/>
                <w:szCs w:val="21"/>
                <w:highlight w:val="none"/>
              </w:rPr>
              <w:t>：厂区存在堆积物（露天堆放的原料、</w:t>
            </w:r>
            <w:r>
              <w:rPr>
                <w:rFonts w:hint="default" w:ascii="Times New Roman" w:hAnsi="Times New Roman" w:eastAsia="宋体" w:cs="Times New Roman"/>
                <w:color w:val="auto"/>
                <w:spacing w:val="-1"/>
                <w:sz w:val="21"/>
                <w:szCs w:val="21"/>
                <w:highlight w:val="none"/>
              </w:rPr>
              <w:t>燃料、废渣等以及垃圾堆放场）、降尘污染的，应将初期雨污水纳入废水排放量，相应的主要污染物纳入水污染当量计算。</w:t>
            </w:r>
          </w:p>
          <w:p w14:paraId="6FB342A0">
            <w:pPr>
              <w:keepNext w:val="0"/>
              <w:keepLines w:val="0"/>
              <w:pageBreakBefore w:val="0"/>
              <w:kinsoku/>
              <w:wordWrap w:val="0"/>
              <w:overflowPunct/>
              <w:topLinePunct/>
              <w:autoSpaceDE/>
              <w:autoSpaceDN/>
              <w:bidi w:val="0"/>
              <w:adjustRightInd w:val="0"/>
              <w:snapToGrid w:val="0"/>
              <w:spacing w:before="13" w:line="268" w:lineRule="auto"/>
              <w:ind w:left="131" w:right="103" w:hanging="1"/>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Fonts w:hint="default" w:ascii="Times New Roman" w:hAnsi="Times New Roman" w:eastAsia="Times New Roman" w:cs="Times New Roman"/>
                <w:color w:val="auto"/>
                <w:sz w:val="21"/>
                <w:szCs w:val="21"/>
                <w:highlight w:val="none"/>
              </w:rPr>
              <w:t>4</w:t>
            </w:r>
            <w:r>
              <w:rPr>
                <w:rFonts w:hint="default" w:ascii="Times New Roman" w:hAnsi="Times New Roman" w:eastAsia="宋体" w:cs="Times New Roman"/>
                <w:color w:val="auto"/>
                <w:sz w:val="21"/>
                <w:szCs w:val="21"/>
                <w:highlight w:val="none"/>
              </w:rPr>
              <w:t>：建设项目直接排放第一类污染物的，其评价等级为一级；建设项目直接</w:t>
            </w:r>
            <w:r>
              <w:rPr>
                <w:rFonts w:hint="default" w:ascii="Times New Roman" w:hAnsi="Times New Roman" w:eastAsia="宋体" w:cs="Times New Roman"/>
                <w:color w:val="auto"/>
                <w:spacing w:val="-1"/>
                <w:sz w:val="21"/>
                <w:szCs w:val="21"/>
                <w:highlight w:val="none"/>
              </w:rPr>
              <w:t>排放的污染物为受纳水体超标因子的，评价等级不低于二级。</w:t>
            </w:r>
          </w:p>
          <w:p w14:paraId="6E2915C7">
            <w:pPr>
              <w:keepNext w:val="0"/>
              <w:keepLines w:val="0"/>
              <w:pageBreakBefore w:val="0"/>
              <w:kinsoku/>
              <w:wordWrap w:val="0"/>
              <w:overflowPunct/>
              <w:topLinePunct/>
              <w:autoSpaceDE/>
              <w:autoSpaceDN/>
              <w:bidi w:val="0"/>
              <w:adjustRightInd w:val="0"/>
              <w:snapToGrid w:val="0"/>
              <w:spacing w:before="14" w:line="268" w:lineRule="auto"/>
              <w:ind w:left="131" w:right="113" w:hanging="1"/>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注</w:t>
            </w:r>
            <w:r>
              <w:rPr>
                <w:rFonts w:hint="default" w:ascii="Times New Roman" w:hAnsi="Times New Roman" w:eastAsia="Times New Roman" w:cs="Times New Roman"/>
                <w:color w:val="auto"/>
                <w:spacing w:val="-1"/>
                <w:sz w:val="21"/>
                <w:szCs w:val="21"/>
                <w:highlight w:val="none"/>
              </w:rPr>
              <w:t>5</w:t>
            </w:r>
            <w:r>
              <w:rPr>
                <w:rFonts w:hint="default" w:ascii="Times New Roman" w:hAnsi="Times New Roman" w:eastAsia="宋体" w:cs="Times New Roman"/>
                <w:color w:val="auto"/>
                <w:spacing w:val="-1"/>
                <w:sz w:val="21"/>
                <w:szCs w:val="21"/>
                <w:highlight w:val="none"/>
              </w:rPr>
              <w:t>：直接排放受纳水体影响范围涉及饮用水水源保护区、饮用水取水口、重点保护与珍稀水生生物的栖息地、重要水生生物的自然产卵场等保护目标时，评价等级不低于二级。</w:t>
            </w:r>
          </w:p>
          <w:p w14:paraId="0A91B99B">
            <w:pPr>
              <w:keepNext w:val="0"/>
              <w:keepLines w:val="0"/>
              <w:pageBreakBefore w:val="0"/>
              <w:kinsoku/>
              <w:wordWrap w:val="0"/>
              <w:overflowPunct/>
              <w:topLinePunct/>
              <w:autoSpaceDE/>
              <w:autoSpaceDN/>
              <w:bidi w:val="0"/>
              <w:adjustRightInd w:val="0"/>
              <w:snapToGrid w:val="0"/>
              <w:spacing w:before="15" w:line="267" w:lineRule="auto"/>
              <w:ind w:left="130" w:right="112"/>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Fonts w:hint="default" w:ascii="Times New Roman" w:hAnsi="Times New Roman" w:eastAsia="Times New Roman" w:cs="Times New Roman"/>
                <w:color w:val="auto"/>
                <w:sz w:val="21"/>
                <w:szCs w:val="21"/>
                <w:highlight w:val="none"/>
              </w:rPr>
              <w:t>6</w:t>
            </w:r>
            <w:r>
              <w:rPr>
                <w:rFonts w:hint="default" w:ascii="Times New Roman" w:hAnsi="Times New Roman" w:eastAsia="宋体" w:cs="Times New Roman"/>
                <w:color w:val="auto"/>
                <w:sz w:val="21"/>
                <w:szCs w:val="21"/>
                <w:highlight w:val="none"/>
              </w:rPr>
              <w:t>：建设项目向河流、湖库排放温排水引起受</w:t>
            </w:r>
            <w:r>
              <w:rPr>
                <w:rFonts w:hint="default" w:ascii="Times New Roman" w:hAnsi="Times New Roman" w:eastAsia="宋体" w:cs="Times New Roman"/>
                <w:color w:val="auto"/>
                <w:spacing w:val="-1"/>
                <w:sz w:val="21"/>
                <w:szCs w:val="21"/>
                <w:highlight w:val="none"/>
              </w:rPr>
              <w:t>纳水体水温变化超过水环境质量标准要求，且评价范围有水温敏感目标时，评价等级为一级。</w:t>
            </w:r>
          </w:p>
          <w:p w14:paraId="7A90B9A3">
            <w:pPr>
              <w:keepNext w:val="0"/>
              <w:keepLines w:val="0"/>
              <w:pageBreakBefore w:val="0"/>
              <w:kinsoku/>
              <w:wordWrap w:val="0"/>
              <w:overflowPunct/>
              <w:topLinePunct/>
              <w:autoSpaceDE/>
              <w:autoSpaceDN/>
              <w:bidi w:val="0"/>
              <w:adjustRightInd w:val="0"/>
              <w:snapToGrid w:val="0"/>
              <w:spacing w:line="273" w:lineRule="auto"/>
              <w:ind w:left="135" w:right="103" w:hanging="5"/>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rPr>
              <w:t>注</w:t>
            </w:r>
            <w:r>
              <w:rPr>
                <w:rFonts w:hint="default" w:ascii="Times New Roman" w:hAnsi="Times New Roman" w:eastAsia="Times New Roman" w:cs="Times New Roman"/>
                <w:color w:val="auto"/>
                <w:spacing w:val="-4"/>
                <w:sz w:val="21"/>
                <w:szCs w:val="21"/>
                <w:highlight w:val="none"/>
              </w:rPr>
              <w:t>7</w:t>
            </w:r>
            <w:r>
              <w:rPr>
                <w:rFonts w:hint="default" w:ascii="Times New Roman" w:hAnsi="Times New Roman" w:eastAsia="宋体" w:cs="Times New Roman"/>
                <w:color w:val="auto"/>
                <w:spacing w:val="-4"/>
                <w:sz w:val="21"/>
                <w:szCs w:val="21"/>
                <w:highlight w:val="none"/>
              </w:rPr>
              <w:t>：建设项目利用海水作为调节温度介质，排水量</w:t>
            </w:r>
            <w:r>
              <w:rPr>
                <w:rFonts w:hint="default" w:ascii="Times New Roman" w:hAnsi="Times New Roman" w:eastAsia="Times New Roman" w:cs="Times New Roman"/>
                <w:color w:val="auto"/>
                <w:spacing w:val="-4"/>
                <w:sz w:val="21"/>
                <w:szCs w:val="21"/>
                <w:highlight w:val="none"/>
              </w:rPr>
              <w:t>≥500</w:t>
            </w:r>
            <w:r>
              <w:rPr>
                <w:rFonts w:hint="default" w:ascii="Times New Roman" w:hAnsi="Times New Roman" w:eastAsia="宋体" w:cs="Times New Roman"/>
                <w:color w:val="auto"/>
                <w:spacing w:val="-4"/>
                <w:sz w:val="21"/>
                <w:szCs w:val="21"/>
                <w:highlight w:val="none"/>
              </w:rPr>
              <w:t>万</w:t>
            </w:r>
            <w:r>
              <w:rPr>
                <w:rFonts w:hint="default" w:ascii="Times New Roman" w:hAnsi="Times New Roman" w:eastAsia="Times New Roman" w:cs="Times New Roman"/>
                <w:color w:val="auto"/>
                <w:spacing w:val="-4"/>
                <w:sz w:val="21"/>
                <w:szCs w:val="21"/>
                <w:highlight w:val="none"/>
              </w:rPr>
              <w:t>m</w:t>
            </w:r>
            <w:r>
              <w:rPr>
                <w:rFonts w:hint="default" w:ascii="Times New Roman" w:hAnsi="Times New Roman" w:eastAsia="Times New Roman" w:cs="Times New Roman"/>
                <w:color w:val="auto"/>
                <w:spacing w:val="-4"/>
                <w:position w:val="9"/>
                <w:sz w:val="13"/>
                <w:szCs w:val="13"/>
                <w:highlight w:val="none"/>
              </w:rPr>
              <w:t>3</w:t>
            </w:r>
            <w:r>
              <w:rPr>
                <w:rFonts w:hint="default" w:ascii="Times New Roman" w:hAnsi="Times New Roman" w:eastAsia="Times New Roman" w:cs="Times New Roman"/>
                <w:color w:val="auto"/>
                <w:spacing w:val="-4"/>
                <w:sz w:val="21"/>
                <w:szCs w:val="21"/>
                <w:highlight w:val="none"/>
              </w:rPr>
              <w:t>/d</w:t>
            </w:r>
            <w:r>
              <w:rPr>
                <w:rFonts w:hint="default" w:ascii="Times New Roman" w:hAnsi="Times New Roman" w:eastAsia="宋体" w:cs="Times New Roman"/>
                <w:color w:val="auto"/>
                <w:spacing w:val="-4"/>
                <w:sz w:val="21"/>
                <w:szCs w:val="21"/>
                <w:highlight w:val="none"/>
              </w:rPr>
              <w:t>，评价等级为一级</w:t>
            </w:r>
            <w:r>
              <w:rPr>
                <w:rFonts w:hint="default" w:ascii="Times New Roman" w:hAnsi="Times New Roman" w:eastAsia="宋体" w:cs="Times New Roman"/>
                <w:color w:val="auto"/>
                <w:spacing w:val="-5"/>
                <w:sz w:val="21"/>
                <w:szCs w:val="21"/>
                <w:highlight w:val="none"/>
              </w:rPr>
              <w:t>；排水量＜</w:t>
            </w:r>
            <w:r>
              <w:rPr>
                <w:rFonts w:hint="default" w:ascii="Times New Roman" w:hAnsi="Times New Roman" w:eastAsia="Times New Roman" w:cs="Times New Roman"/>
                <w:color w:val="auto"/>
                <w:spacing w:val="-5"/>
                <w:sz w:val="21"/>
                <w:szCs w:val="21"/>
                <w:highlight w:val="none"/>
              </w:rPr>
              <w:t>500</w:t>
            </w:r>
            <w:r>
              <w:rPr>
                <w:rFonts w:hint="default" w:ascii="Times New Roman" w:hAnsi="Times New Roman" w:eastAsia="宋体" w:cs="Times New Roman"/>
                <w:color w:val="auto"/>
                <w:spacing w:val="-1"/>
                <w:sz w:val="21"/>
                <w:szCs w:val="21"/>
                <w:highlight w:val="none"/>
              </w:rPr>
              <w:t>万</w:t>
            </w:r>
            <w:r>
              <w:rPr>
                <w:rFonts w:hint="default" w:ascii="Times New Roman" w:hAnsi="Times New Roman" w:eastAsia="Times New Roman" w:cs="Times New Roman"/>
                <w:color w:val="auto"/>
                <w:spacing w:val="-1"/>
                <w:sz w:val="21"/>
                <w:szCs w:val="21"/>
                <w:highlight w:val="none"/>
              </w:rPr>
              <w:t>m</w:t>
            </w:r>
            <w:r>
              <w:rPr>
                <w:rFonts w:hint="default" w:ascii="Times New Roman" w:hAnsi="Times New Roman" w:eastAsia="Times New Roman" w:cs="Times New Roman"/>
                <w:color w:val="auto"/>
                <w:spacing w:val="-1"/>
                <w:position w:val="9"/>
                <w:sz w:val="13"/>
                <w:szCs w:val="13"/>
                <w:highlight w:val="none"/>
              </w:rPr>
              <w:t>3</w:t>
            </w:r>
            <w:r>
              <w:rPr>
                <w:rFonts w:hint="default" w:ascii="Times New Roman" w:hAnsi="Times New Roman" w:eastAsia="Times New Roman" w:cs="Times New Roman"/>
                <w:color w:val="auto"/>
                <w:spacing w:val="-1"/>
                <w:sz w:val="21"/>
                <w:szCs w:val="21"/>
                <w:highlight w:val="none"/>
              </w:rPr>
              <w:t>/d</w:t>
            </w:r>
            <w:r>
              <w:rPr>
                <w:rFonts w:hint="default" w:ascii="Times New Roman" w:hAnsi="Times New Roman" w:eastAsia="宋体" w:cs="Times New Roman"/>
                <w:color w:val="auto"/>
                <w:spacing w:val="-1"/>
                <w:sz w:val="21"/>
                <w:szCs w:val="21"/>
                <w:highlight w:val="none"/>
              </w:rPr>
              <w:t>，评价等级为二级。</w:t>
            </w:r>
          </w:p>
          <w:p w14:paraId="14E9E473">
            <w:pPr>
              <w:keepNext w:val="0"/>
              <w:keepLines w:val="0"/>
              <w:pageBreakBefore w:val="0"/>
              <w:kinsoku/>
              <w:wordWrap w:val="0"/>
              <w:overflowPunct/>
              <w:topLinePunct/>
              <w:autoSpaceDE/>
              <w:autoSpaceDN/>
              <w:bidi w:val="0"/>
              <w:adjustRightInd w:val="0"/>
              <w:snapToGrid w:val="0"/>
              <w:spacing w:before="19" w:line="270" w:lineRule="auto"/>
              <w:ind w:left="130" w:right="114"/>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注</w:t>
            </w:r>
            <w:r>
              <w:rPr>
                <w:rFonts w:hint="default" w:ascii="Times New Roman" w:hAnsi="Times New Roman" w:eastAsia="Times New Roman" w:cs="Times New Roman"/>
                <w:color w:val="auto"/>
                <w:spacing w:val="-1"/>
                <w:sz w:val="21"/>
                <w:szCs w:val="21"/>
                <w:highlight w:val="none"/>
              </w:rPr>
              <w:t>8</w:t>
            </w:r>
            <w:r>
              <w:rPr>
                <w:rFonts w:hint="default" w:ascii="Times New Roman" w:hAnsi="Times New Roman" w:eastAsia="宋体" w:cs="Times New Roman"/>
                <w:color w:val="auto"/>
                <w:spacing w:val="-1"/>
                <w:sz w:val="21"/>
                <w:szCs w:val="21"/>
                <w:highlight w:val="none"/>
              </w:rPr>
              <w:t>：仅涉及清净下水排放的，如其排放水质满足受纳水体水环境质量标准要求的，评价等级为</w:t>
            </w:r>
            <w:r>
              <w:rPr>
                <w:rFonts w:hint="default" w:ascii="Times New Roman" w:hAnsi="Times New Roman" w:eastAsia="宋体" w:cs="Times New Roman"/>
                <w:color w:val="auto"/>
                <w:spacing w:val="-2"/>
                <w:sz w:val="21"/>
                <w:szCs w:val="21"/>
                <w:highlight w:val="none"/>
              </w:rPr>
              <w:t>三级</w:t>
            </w:r>
            <w:r>
              <w:rPr>
                <w:rFonts w:hint="default" w:ascii="Times New Roman" w:hAnsi="Times New Roman" w:eastAsia="Times New Roman" w:cs="Times New Roman"/>
                <w:color w:val="auto"/>
                <w:spacing w:val="-2"/>
                <w:sz w:val="21"/>
                <w:szCs w:val="21"/>
                <w:highlight w:val="none"/>
              </w:rPr>
              <w:t>A</w:t>
            </w:r>
            <w:r>
              <w:rPr>
                <w:rFonts w:hint="default" w:ascii="Times New Roman" w:hAnsi="Times New Roman" w:eastAsia="宋体" w:cs="Times New Roman"/>
                <w:color w:val="auto"/>
                <w:spacing w:val="-2"/>
                <w:sz w:val="21"/>
                <w:szCs w:val="21"/>
                <w:highlight w:val="none"/>
              </w:rPr>
              <w:t>。</w:t>
            </w:r>
          </w:p>
          <w:p w14:paraId="3E9BE517">
            <w:pPr>
              <w:keepNext w:val="0"/>
              <w:keepLines w:val="0"/>
              <w:pageBreakBefore w:val="0"/>
              <w:kinsoku/>
              <w:wordWrap w:val="0"/>
              <w:overflowPunct/>
              <w:topLinePunct/>
              <w:autoSpaceDE/>
              <w:autoSpaceDN/>
              <w:bidi w:val="0"/>
              <w:adjustRightInd w:val="0"/>
              <w:snapToGrid w:val="0"/>
              <w:spacing w:before="10" w:line="269" w:lineRule="auto"/>
              <w:ind w:left="130" w:right="112"/>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Fonts w:hint="default" w:ascii="Times New Roman" w:hAnsi="Times New Roman" w:eastAsia="Times New Roman" w:cs="Times New Roman"/>
                <w:color w:val="auto"/>
                <w:sz w:val="21"/>
                <w:szCs w:val="21"/>
                <w:highlight w:val="none"/>
              </w:rPr>
              <w:t>9</w:t>
            </w:r>
            <w:r>
              <w:rPr>
                <w:rFonts w:hint="default" w:ascii="Times New Roman" w:hAnsi="Times New Roman" w:eastAsia="宋体" w:cs="Times New Roman"/>
                <w:color w:val="auto"/>
                <w:sz w:val="21"/>
                <w:szCs w:val="21"/>
                <w:highlight w:val="none"/>
              </w:rPr>
              <w:t>：依托现有排放口，且对外环境未新增排放</w:t>
            </w:r>
            <w:r>
              <w:rPr>
                <w:rFonts w:hint="default" w:ascii="Times New Roman" w:hAnsi="Times New Roman" w:eastAsia="宋体" w:cs="Times New Roman"/>
                <w:color w:val="auto"/>
                <w:spacing w:val="-1"/>
                <w:sz w:val="21"/>
                <w:szCs w:val="21"/>
                <w:highlight w:val="none"/>
              </w:rPr>
              <w:t>污染物的直接排放建设项目，评价等级参照间接</w:t>
            </w:r>
            <w:r>
              <w:rPr>
                <w:rFonts w:hint="default" w:ascii="Times New Roman" w:hAnsi="Times New Roman" w:eastAsia="宋体" w:cs="Times New Roman"/>
                <w:color w:val="auto"/>
                <w:spacing w:val="-2"/>
                <w:sz w:val="21"/>
                <w:szCs w:val="21"/>
                <w:highlight w:val="none"/>
              </w:rPr>
              <w:t>排放，定为三级</w:t>
            </w:r>
            <w:r>
              <w:rPr>
                <w:rFonts w:hint="default" w:ascii="Times New Roman" w:hAnsi="Times New Roman" w:eastAsia="Times New Roman" w:cs="Times New Roman"/>
                <w:color w:val="auto"/>
                <w:spacing w:val="-2"/>
                <w:sz w:val="21"/>
                <w:szCs w:val="21"/>
                <w:highlight w:val="none"/>
              </w:rPr>
              <w:t>B</w:t>
            </w:r>
            <w:r>
              <w:rPr>
                <w:rFonts w:hint="default" w:ascii="Times New Roman" w:hAnsi="Times New Roman" w:eastAsia="宋体" w:cs="Times New Roman"/>
                <w:color w:val="auto"/>
                <w:spacing w:val="-2"/>
                <w:sz w:val="21"/>
                <w:szCs w:val="21"/>
                <w:highlight w:val="none"/>
              </w:rPr>
              <w:t>。</w:t>
            </w:r>
          </w:p>
          <w:p w14:paraId="2C8A7192">
            <w:pPr>
              <w:keepNext w:val="0"/>
              <w:keepLines w:val="0"/>
              <w:pageBreakBefore w:val="0"/>
              <w:kinsoku/>
              <w:wordWrap w:val="0"/>
              <w:overflowPunct/>
              <w:topLinePunct/>
              <w:autoSpaceDE/>
              <w:autoSpaceDN/>
              <w:bidi w:val="0"/>
              <w:adjustRightInd w:val="0"/>
              <w:snapToGrid w:val="0"/>
              <w:spacing w:before="12" w:line="231" w:lineRule="auto"/>
              <w:ind w:right="17"/>
              <w:jc w:val="center"/>
              <w:textAlignment w:val="baseline"/>
              <w:rPr>
                <w:rFonts w:hint="default" w:ascii="Times New Roman" w:hAnsi="Times New Roman" w:eastAsia="Times New Roman" w:cs="Times New Roman"/>
                <w:b/>
                <w:bCs/>
                <w:color w:val="auto"/>
                <w:position w:val="-2"/>
                <w:sz w:val="21"/>
                <w:szCs w:val="21"/>
                <w:highlight w:val="none"/>
              </w:rPr>
            </w:pPr>
            <w:r>
              <w:rPr>
                <w:rFonts w:hint="default" w:ascii="Times New Roman" w:hAnsi="Times New Roman" w:eastAsia="宋体" w:cs="Times New Roman"/>
                <w:color w:val="auto"/>
                <w:spacing w:val="-1"/>
                <w:sz w:val="21"/>
                <w:szCs w:val="21"/>
                <w:highlight w:val="none"/>
              </w:rPr>
              <w:t>注</w:t>
            </w:r>
            <w:r>
              <w:rPr>
                <w:rFonts w:hint="default" w:ascii="Times New Roman" w:hAnsi="Times New Roman" w:eastAsia="Times New Roman" w:cs="Times New Roman"/>
                <w:color w:val="auto"/>
                <w:spacing w:val="-1"/>
                <w:sz w:val="21"/>
                <w:szCs w:val="21"/>
                <w:highlight w:val="none"/>
              </w:rPr>
              <w:t>10</w:t>
            </w:r>
            <w:r>
              <w:rPr>
                <w:rFonts w:hint="default" w:ascii="Times New Roman" w:hAnsi="Times New Roman" w:eastAsia="宋体" w:cs="Times New Roman"/>
                <w:color w:val="auto"/>
                <w:spacing w:val="-1"/>
                <w:sz w:val="21"/>
                <w:szCs w:val="21"/>
                <w:highlight w:val="none"/>
              </w:rPr>
              <w:t>：建设项目生产工艺中有废水产生，但作为回</w:t>
            </w:r>
            <w:r>
              <w:rPr>
                <w:rFonts w:hint="default" w:ascii="Times New Roman" w:hAnsi="Times New Roman" w:eastAsia="宋体" w:cs="Times New Roman"/>
                <w:color w:val="auto"/>
                <w:spacing w:val="-2"/>
                <w:sz w:val="21"/>
                <w:szCs w:val="21"/>
                <w:highlight w:val="none"/>
              </w:rPr>
              <w:t>水利用，不排放到外环境的，按三级</w:t>
            </w:r>
            <w:r>
              <w:rPr>
                <w:rFonts w:hint="default" w:ascii="Times New Roman" w:hAnsi="Times New Roman" w:eastAsia="Times New Roman" w:cs="Times New Roman"/>
                <w:color w:val="auto"/>
                <w:spacing w:val="-2"/>
                <w:sz w:val="21"/>
                <w:szCs w:val="21"/>
                <w:highlight w:val="none"/>
              </w:rPr>
              <w:t>B</w:t>
            </w:r>
            <w:r>
              <w:rPr>
                <w:rFonts w:hint="default" w:ascii="Times New Roman" w:hAnsi="Times New Roman" w:eastAsia="宋体" w:cs="Times New Roman"/>
                <w:color w:val="auto"/>
                <w:spacing w:val="-2"/>
                <w:sz w:val="21"/>
                <w:szCs w:val="21"/>
                <w:highlight w:val="none"/>
              </w:rPr>
              <w:t>评价。</w:t>
            </w:r>
          </w:p>
        </w:tc>
      </w:tr>
    </w:tbl>
    <w:p w14:paraId="6C71665B">
      <w:pPr>
        <w:keepNext w:val="0"/>
        <w:keepLines w:val="0"/>
        <w:pageBreakBefore w:val="0"/>
        <w:kinsoku/>
        <w:wordWrap w:val="0"/>
        <w:overflowPunct/>
        <w:topLinePunct/>
        <w:autoSpaceDE/>
        <w:autoSpaceDN/>
        <w:bidi w:val="0"/>
        <w:adjustRightInd w:val="0"/>
        <w:snapToGrid w:val="0"/>
        <w:spacing w:line="28" w:lineRule="exact"/>
        <w:textAlignment w:val="baseline"/>
        <w:rPr>
          <w:rFonts w:hint="default" w:ascii="Times New Roman" w:hAnsi="Times New Roman" w:cs="Times New Roman"/>
          <w:color w:val="auto"/>
          <w:highlight w:val="none"/>
        </w:rPr>
      </w:pPr>
    </w:p>
    <w:p w14:paraId="0DC1FD3D">
      <w:pPr>
        <w:keepNext w:val="0"/>
        <w:keepLines w:val="0"/>
        <w:pageBreakBefore w:val="0"/>
        <w:widowControl/>
        <w:kinsoku/>
        <w:wordWrap w:val="0"/>
        <w:overflowPunct/>
        <w:topLinePunct/>
        <w:autoSpaceDE/>
        <w:autoSpaceDN/>
        <w:bidi w:val="0"/>
        <w:adjustRightInd w:val="0"/>
        <w:snapToGrid w:val="0"/>
        <w:spacing w:line="360" w:lineRule="auto"/>
        <w:ind w:left="0" w:right="0" w:firstLine="448" w:firstLineChars="200"/>
        <w:jc w:val="both"/>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auto"/>
          <w:spacing w:val="-8"/>
          <w:sz w:val="24"/>
          <w:szCs w:val="24"/>
          <w:highlight w:val="green"/>
        </w:rPr>
        <w:t>厂区做到雨污分流，</w:t>
      </w:r>
      <w:r>
        <w:rPr>
          <w:rFonts w:hint="default" w:ascii="Times New Roman" w:hAnsi="Times New Roman" w:eastAsia="宋体" w:cs="Times New Roman"/>
          <w:color w:val="auto"/>
          <w:spacing w:val="-8"/>
          <w:sz w:val="24"/>
          <w:szCs w:val="24"/>
          <w:highlight w:val="green"/>
          <w:lang w:eastAsia="zh-CN"/>
        </w:rPr>
        <w:t>厂区</w:t>
      </w:r>
      <w:r>
        <w:rPr>
          <w:rFonts w:hint="default" w:ascii="Times New Roman" w:hAnsi="Times New Roman" w:eastAsia="宋体" w:cs="Times New Roman"/>
          <w:color w:val="auto"/>
          <w:spacing w:val="-8"/>
          <w:sz w:val="24"/>
          <w:szCs w:val="24"/>
          <w:highlight w:val="green"/>
        </w:rPr>
        <w:t>雨水经设计</w:t>
      </w:r>
      <w:r>
        <w:rPr>
          <w:rFonts w:hint="eastAsia" w:ascii="Times New Roman" w:hAnsi="Times New Roman" w:eastAsia="宋体" w:cs="Times New Roman"/>
          <w:color w:val="auto"/>
          <w:spacing w:val="-8"/>
          <w:sz w:val="24"/>
          <w:szCs w:val="24"/>
          <w:highlight w:val="green"/>
          <w:lang w:val="en-US" w:eastAsia="zh-CN"/>
        </w:rPr>
        <w:t>引流沟进入初期雨水收集池后拉运至集贤县碧蓝新环境治理有限责任公司处理，运动场周围设置围堰，围堰高度40cm，运动场上面设置挡雨棚，牛舍与运动场四周设置雨水导流沟，收集的雨水排入雨水管网</w:t>
      </w:r>
      <w:r>
        <w:rPr>
          <w:rFonts w:hint="default" w:ascii="Times New Roman" w:hAnsi="Times New Roman" w:eastAsia="宋体" w:cs="Times New Roman"/>
          <w:color w:val="auto"/>
          <w:spacing w:val="-8"/>
          <w:sz w:val="24"/>
          <w:szCs w:val="24"/>
          <w:highlight w:val="green"/>
        </w:rPr>
        <w:t>。</w:t>
      </w:r>
      <w:r>
        <w:rPr>
          <w:rFonts w:hint="default" w:ascii="Times New Roman" w:hAnsi="Times New Roman" w:eastAsia="宋体" w:cs="Times New Roman"/>
          <w:color w:val="auto"/>
          <w:spacing w:val="-8"/>
          <w:sz w:val="24"/>
          <w:szCs w:val="24"/>
          <w:highlight w:val="none"/>
        </w:rPr>
        <w:t>生活污水排入化粪池，</w:t>
      </w:r>
      <w:r>
        <w:rPr>
          <w:rFonts w:hint="default" w:ascii="Times New Roman" w:hAnsi="Times New Roman" w:eastAsia="宋体" w:cs="Times New Roman"/>
          <w:color w:val="auto"/>
          <w:spacing w:val="-6"/>
          <w:sz w:val="24"/>
          <w:szCs w:val="24"/>
          <w:highlight w:val="none"/>
        </w:rPr>
        <w:t>定期清掏，</w:t>
      </w:r>
      <w:r>
        <w:rPr>
          <w:rFonts w:hint="default" w:ascii="Times New Roman" w:hAnsi="Times New Roman" w:eastAsia="宋体" w:cs="Times New Roman"/>
          <w:color w:val="auto"/>
          <w:spacing w:val="-6"/>
          <w:sz w:val="24"/>
          <w:szCs w:val="24"/>
          <w:highlight w:val="none"/>
          <w:lang w:val="en-US" w:eastAsia="zh-CN"/>
        </w:rPr>
        <w:t>不外排</w:t>
      </w:r>
      <w:r>
        <w:rPr>
          <w:rFonts w:hint="default" w:ascii="Times New Roman" w:hAnsi="Times New Roman" w:eastAsia="宋体" w:cs="Times New Roman"/>
          <w:color w:val="auto"/>
          <w:spacing w:val="-6"/>
          <w:sz w:val="24"/>
          <w:szCs w:val="24"/>
          <w:highlight w:val="none"/>
        </w:rPr>
        <w:t>。本项目</w:t>
      </w:r>
      <w:r>
        <w:rPr>
          <w:rFonts w:hint="default" w:ascii="Times New Roman" w:hAnsi="Times New Roman" w:eastAsia="宋体" w:cs="Times New Roman"/>
          <w:color w:val="auto"/>
          <w:sz w:val="24"/>
          <w:szCs w:val="24"/>
          <w:highlight w:val="none"/>
          <w:lang w:val="en-US" w:eastAsia="zh-CN"/>
        </w:rPr>
        <w:t>干撒式发酵床工艺，其采用的干撒式发酵床发酵菌剂可将牛尿、牛粪一部分降解为水蒸气和二氧化碳，另一部分转化为粗蛋白、菌体蛋白和维生素等营养物质</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FF0000"/>
          <w:spacing w:val="-3"/>
          <w:sz w:val="24"/>
          <w:szCs w:val="24"/>
          <w:highlight w:val="none"/>
          <w:lang w:val="en-US" w:eastAsia="zh-CN"/>
        </w:rPr>
        <w:t>发酵床垫</w:t>
      </w:r>
      <w:r>
        <w:rPr>
          <w:rFonts w:hint="eastAsia" w:ascii="Times New Roman" w:hAnsi="Times New Roman" w:eastAsia="宋体" w:cs="Times New Roman"/>
          <w:color w:val="FF0000"/>
          <w:spacing w:val="-3"/>
          <w:sz w:val="24"/>
          <w:szCs w:val="24"/>
          <w:highlight w:val="none"/>
          <w:lang w:val="en-US" w:eastAsia="zh-CN"/>
        </w:rPr>
        <w:t>每</w:t>
      </w:r>
      <w:r>
        <w:rPr>
          <w:rFonts w:hint="default" w:ascii="Times New Roman" w:hAnsi="Times New Roman" w:eastAsia="宋体" w:cs="Times New Roman"/>
          <w:color w:val="FF0000"/>
          <w:spacing w:val="-3"/>
          <w:sz w:val="24"/>
          <w:szCs w:val="24"/>
          <w:highlight w:val="none"/>
          <w:lang w:val="en-US" w:eastAsia="zh-CN"/>
        </w:rPr>
        <w:t>年清运一次，清运至</w:t>
      </w:r>
      <w:r>
        <w:rPr>
          <w:rFonts w:hint="default" w:ascii="Times New Roman" w:hAnsi="Times New Roman" w:eastAsia="宋体" w:cs="Times New Roman"/>
          <w:color w:val="FF0000"/>
          <w:spacing w:val="-9"/>
          <w:sz w:val="24"/>
          <w:szCs w:val="24"/>
          <w:highlight w:val="none"/>
          <w:lang w:val="en-US" w:eastAsia="zh-CN"/>
        </w:rPr>
        <w:t>粪污储存间</w:t>
      </w:r>
      <w:r>
        <w:rPr>
          <w:rFonts w:hint="default" w:ascii="Times New Roman" w:hAnsi="Times New Roman" w:eastAsia="宋体" w:cs="Times New Roman"/>
          <w:color w:val="FF0000"/>
          <w:spacing w:val="-1"/>
          <w:sz w:val="24"/>
          <w:szCs w:val="24"/>
          <w:highlight w:val="none"/>
        </w:rPr>
        <w:t>，</w:t>
      </w:r>
      <w:r>
        <w:rPr>
          <w:rFonts w:hint="default" w:ascii="Times New Roman" w:hAnsi="Times New Roman" w:eastAsia="宋体" w:cs="Times New Roman"/>
          <w:color w:val="FF0000"/>
          <w:spacing w:val="-1"/>
          <w:sz w:val="24"/>
          <w:szCs w:val="24"/>
          <w:highlight w:val="none"/>
          <w:lang w:val="en-US" w:eastAsia="zh-CN"/>
        </w:rPr>
        <w:t>拉运</w:t>
      </w:r>
      <w:r>
        <w:rPr>
          <w:rFonts w:hint="eastAsia" w:ascii="Times New Roman" w:hAnsi="Times New Roman" w:eastAsia="宋体" w:cs="Times New Roman"/>
          <w:color w:val="FF0000"/>
          <w:spacing w:val="-1"/>
          <w:sz w:val="24"/>
          <w:szCs w:val="24"/>
          <w:highlight w:val="none"/>
          <w:lang w:val="en-US" w:eastAsia="zh-CN"/>
        </w:rPr>
        <w:t>至</w:t>
      </w:r>
      <w:r>
        <w:rPr>
          <w:rFonts w:hint="default" w:ascii="Times New Roman" w:hAnsi="Times New Roman" w:eastAsia="宋体" w:cs="Times New Roman"/>
          <w:color w:val="FF0000"/>
          <w:spacing w:val="-1"/>
          <w:sz w:val="24"/>
          <w:szCs w:val="24"/>
          <w:highlight w:val="none"/>
          <w:lang w:val="en-US" w:eastAsia="zh-CN"/>
        </w:rPr>
        <w:t>有机肥厂，外售</w:t>
      </w:r>
      <w:r>
        <w:rPr>
          <w:rFonts w:hint="default" w:ascii="Times New Roman" w:hAnsi="Times New Roman" w:eastAsia="宋体" w:cs="Times New Roman"/>
          <w:color w:val="FF0000"/>
          <w:spacing w:val="-1"/>
          <w:sz w:val="24"/>
          <w:szCs w:val="24"/>
          <w:highlight w:val="none"/>
        </w:rPr>
        <w:t>制作粪肥，</w:t>
      </w:r>
      <w:r>
        <w:rPr>
          <w:rFonts w:hint="default" w:ascii="Times New Roman" w:hAnsi="Times New Roman" w:eastAsia="宋体" w:cs="Times New Roman"/>
          <w:color w:val="FF0000"/>
          <w:spacing w:val="-2"/>
          <w:sz w:val="24"/>
          <w:szCs w:val="24"/>
          <w:highlight w:val="none"/>
        </w:rPr>
        <w:t>不排入地表水体。</w:t>
      </w:r>
    </w:p>
    <w:p w14:paraId="17F7B22F">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auto"/>
          <w:spacing w:val="-3"/>
          <w:sz w:val="24"/>
          <w:szCs w:val="24"/>
          <w:highlight w:val="none"/>
        </w:rPr>
        <w:t>根</w:t>
      </w:r>
      <w:r>
        <w:rPr>
          <w:rFonts w:hint="default" w:ascii="Times New Roman" w:hAnsi="Times New Roman" w:eastAsia="宋体" w:cs="Times New Roman"/>
          <w:color w:val="FF0000"/>
          <w:spacing w:val="-3"/>
          <w:sz w:val="24"/>
          <w:szCs w:val="24"/>
          <w:highlight w:val="none"/>
        </w:rPr>
        <w:t>据导则中</w:t>
      </w:r>
      <w:r>
        <w:rPr>
          <w:rFonts w:hint="default" w:ascii="Times New Roman" w:hAnsi="Times New Roman" w:eastAsia="宋体" w:cs="Times New Roman"/>
          <w:color w:val="FF0000"/>
          <w:spacing w:val="-3"/>
          <w:sz w:val="24"/>
          <w:szCs w:val="24"/>
          <w:highlight w:val="none"/>
          <w:lang w:eastAsia="zh-CN"/>
        </w:rPr>
        <w:t>“</w:t>
      </w:r>
      <w:r>
        <w:rPr>
          <w:rFonts w:hint="default" w:ascii="Times New Roman" w:hAnsi="Times New Roman" w:eastAsia="宋体" w:cs="Times New Roman"/>
          <w:color w:val="FF0000"/>
          <w:spacing w:val="-3"/>
          <w:sz w:val="24"/>
          <w:szCs w:val="24"/>
          <w:highlight w:val="none"/>
        </w:rPr>
        <w:t>建设项目生产工艺中有废水产生，但作为回用水利用，不</w:t>
      </w:r>
      <w:r>
        <w:rPr>
          <w:rFonts w:hint="default" w:ascii="Times New Roman" w:hAnsi="Times New Roman" w:eastAsia="宋体" w:cs="Times New Roman"/>
          <w:color w:val="FF0000"/>
          <w:spacing w:val="-4"/>
          <w:sz w:val="24"/>
          <w:szCs w:val="24"/>
          <w:highlight w:val="none"/>
        </w:rPr>
        <w:t>排放到外</w:t>
      </w:r>
      <w:r>
        <w:rPr>
          <w:rFonts w:hint="default" w:ascii="Times New Roman" w:hAnsi="Times New Roman" w:eastAsia="宋体" w:cs="Times New Roman"/>
          <w:color w:val="FF0000"/>
          <w:spacing w:val="-2"/>
          <w:sz w:val="24"/>
          <w:szCs w:val="24"/>
          <w:highlight w:val="none"/>
        </w:rPr>
        <w:t>环境的，按三级</w:t>
      </w:r>
      <w:r>
        <w:rPr>
          <w:rFonts w:hint="default" w:ascii="Times New Roman" w:hAnsi="Times New Roman" w:eastAsia="Times New Roman" w:cs="Times New Roman"/>
          <w:color w:val="FF0000"/>
          <w:spacing w:val="-2"/>
          <w:sz w:val="24"/>
          <w:szCs w:val="24"/>
          <w:highlight w:val="none"/>
        </w:rPr>
        <w:t>B</w:t>
      </w:r>
      <w:r>
        <w:rPr>
          <w:rFonts w:hint="default" w:ascii="Times New Roman" w:hAnsi="Times New Roman" w:eastAsia="宋体" w:cs="Times New Roman"/>
          <w:color w:val="FF0000"/>
          <w:spacing w:val="-2"/>
          <w:sz w:val="24"/>
          <w:szCs w:val="24"/>
          <w:highlight w:val="none"/>
        </w:rPr>
        <w:t>评价</w:t>
      </w:r>
      <w:r>
        <w:rPr>
          <w:rFonts w:hint="default" w:ascii="Times New Roman" w:hAnsi="Times New Roman" w:eastAsia="宋体" w:cs="Times New Roman"/>
          <w:color w:val="FF0000"/>
          <w:spacing w:val="-2"/>
          <w:sz w:val="24"/>
          <w:szCs w:val="24"/>
          <w:highlight w:val="none"/>
          <w:lang w:eastAsia="zh-CN"/>
        </w:rPr>
        <w:t>”</w:t>
      </w:r>
      <w:r>
        <w:rPr>
          <w:rFonts w:hint="default" w:ascii="Times New Roman" w:hAnsi="Times New Roman" w:eastAsia="宋体" w:cs="Times New Roman"/>
          <w:color w:val="FF0000"/>
          <w:spacing w:val="-2"/>
          <w:sz w:val="24"/>
          <w:szCs w:val="24"/>
          <w:highlight w:val="none"/>
        </w:rPr>
        <w:t>。因此，本项目地表水环境影响评价等级为</w:t>
      </w:r>
      <w:r>
        <w:rPr>
          <w:rFonts w:hint="default" w:ascii="Times New Roman" w:hAnsi="Times New Roman" w:eastAsia="宋体" w:cs="Times New Roman"/>
          <w:color w:val="FF0000"/>
          <w:spacing w:val="-2"/>
          <w:sz w:val="24"/>
          <w:szCs w:val="24"/>
          <w:highlight w:val="none"/>
          <w:lang w:eastAsia="zh-CN"/>
        </w:rPr>
        <w:t>“</w:t>
      </w:r>
      <w:r>
        <w:rPr>
          <w:rFonts w:hint="default" w:ascii="Times New Roman" w:hAnsi="Times New Roman" w:eastAsia="宋体" w:cs="Times New Roman"/>
          <w:color w:val="FF0000"/>
          <w:spacing w:val="-2"/>
          <w:sz w:val="24"/>
          <w:szCs w:val="24"/>
          <w:highlight w:val="none"/>
        </w:rPr>
        <w:t>三级</w:t>
      </w:r>
      <w:r>
        <w:rPr>
          <w:rFonts w:hint="default" w:ascii="Times New Roman" w:hAnsi="Times New Roman" w:eastAsia="Times New Roman" w:cs="Times New Roman"/>
          <w:color w:val="FF0000"/>
          <w:spacing w:val="-2"/>
          <w:sz w:val="24"/>
          <w:szCs w:val="24"/>
          <w:highlight w:val="none"/>
        </w:rPr>
        <w:t>B</w:t>
      </w:r>
      <w:r>
        <w:rPr>
          <w:rFonts w:hint="default" w:ascii="Times New Roman" w:hAnsi="Times New Roman" w:eastAsia="宋体" w:cs="Times New Roman"/>
          <w:color w:val="FF0000"/>
          <w:spacing w:val="-3"/>
          <w:sz w:val="24"/>
          <w:szCs w:val="24"/>
          <w:highlight w:val="none"/>
          <w:lang w:eastAsia="zh-CN"/>
        </w:rPr>
        <w:t>”</w:t>
      </w:r>
      <w:r>
        <w:rPr>
          <w:rFonts w:hint="default" w:ascii="Times New Roman" w:hAnsi="Times New Roman" w:eastAsia="宋体" w:cs="Times New Roman"/>
          <w:color w:val="FF0000"/>
          <w:spacing w:val="-3"/>
          <w:sz w:val="24"/>
          <w:szCs w:val="24"/>
          <w:highlight w:val="none"/>
        </w:rPr>
        <w:t>。</w:t>
      </w:r>
    </w:p>
    <w:p w14:paraId="624C1878">
      <w:pPr>
        <w:keepNext w:val="0"/>
        <w:keepLines w:val="0"/>
        <w:pageBreakBefore w:val="0"/>
        <w:kinsoku/>
        <w:wordWrap w:val="0"/>
        <w:overflowPunct/>
        <w:topLinePunct/>
        <w:autoSpaceDE/>
        <w:autoSpaceDN/>
        <w:bidi w:val="0"/>
        <w:adjustRightInd w:val="0"/>
        <w:snapToGrid w:val="0"/>
        <w:spacing w:line="234" w:lineRule="auto"/>
        <w:ind w:left="128"/>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2.5.1.2</w:t>
      </w:r>
      <w:r>
        <w:rPr>
          <w:rFonts w:hint="default" w:ascii="Times New Roman" w:hAnsi="Times New Roman" w:eastAsia="宋体" w:cs="Times New Roman"/>
          <w:b/>
          <w:bCs/>
          <w:color w:val="auto"/>
          <w:spacing w:val="-1"/>
          <w:sz w:val="24"/>
          <w:szCs w:val="24"/>
          <w:highlight w:val="none"/>
        </w:rPr>
        <w:t>环境空气</w:t>
      </w:r>
    </w:p>
    <w:p w14:paraId="5C64BD50">
      <w:pPr>
        <w:keepNext w:val="0"/>
        <w:keepLines w:val="0"/>
        <w:pageBreakBefore w:val="0"/>
        <w:kinsoku/>
        <w:wordWrap w:val="0"/>
        <w:overflowPunct/>
        <w:topLinePunct/>
        <w:autoSpaceDE/>
        <w:autoSpaceDN/>
        <w:bidi w:val="0"/>
        <w:adjustRightInd w:val="0"/>
        <w:snapToGrid w:val="0"/>
        <w:spacing w:before="99" w:line="330" w:lineRule="auto"/>
        <w:ind w:left="132" w:right="121" w:firstLine="47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根据《环境影响评价技术导则大气环境》（</w:t>
      </w:r>
      <w:r>
        <w:rPr>
          <w:rFonts w:hint="default" w:ascii="Times New Roman" w:hAnsi="Times New Roman" w:eastAsia="Times New Roman" w:cs="Times New Roman"/>
          <w:color w:val="auto"/>
          <w:sz w:val="24"/>
          <w:szCs w:val="24"/>
          <w:highlight w:val="none"/>
        </w:rPr>
        <w:t>HJ</w:t>
      </w:r>
      <w:r>
        <w:rPr>
          <w:rFonts w:hint="default" w:ascii="Times New Roman" w:hAnsi="Times New Roman" w:eastAsia="Times New Roman" w:cs="Times New Roman"/>
          <w:color w:val="auto"/>
          <w:spacing w:val="2"/>
          <w:sz w:val="24"/>
          <w:szCs w:val="24"/>
          <w:highlight w:val="none"/>
        </w:rPr>
        <w:t>2.2-2018</w:t>
      </w:r>
      <w:r>
        <w:rPr>
          <w:rFonts w:hint="default" w:ascii="Times New Roman" w:hAnsi="Times New Roman" w:eastAsia="宋体" w:cs="Times New Roman"/>
          <w:color w:val="auto"/>
          <w:spacing w:val="2"/>
          <w:sz w:val="24"/>
          <w:szCs w:val="24"/>
          <w:highlight w:val="none"/>
        </w:rPr>
        <w:t>）中的有关规定，将大</w:t>
      </w:r>
      <w:r>
        <w:rPr>
          <w:rFonts w:hint="default" w:ascii="Times New Roman" w:hAnsi="Times New Roman" w:eastAsia="宋体" w:cs="Times New Roman"/>
          <w:color w:val="auto"/>
          <w:spacing w:val="-1"/>
          <w:sz w:val="24"/>
          <w:szCs w:val="24"/>
          <w:highlight w:val="none"/>
        </w:rPr>
        <w:t>气环境影响评价工作等级分为一、二、三级，划分依据见表</w:t>
      </w:r>
      <w:r>
        <w:rPr>
          <w:rFonts w:hint="default" w:ascii="Times New Roman" w:hAnsi="Times New Roman" w:eastAsia="Times New Roman" w:cs="Times New Roman"/>
          <w:color w:val="auto"/>
          <w:spacing w:val="-1"/>
          <w:sz w:val="24"/>
          <w:szCs w:val="24"/>
          <w:highlight w:val="none"/>
        </w:rPr>
        <w:t>2.5-2</w:t>
      </w:r>
      <w:r>
        <w:rPr>
          <w:rFonts w:hint="default" w:ascii="Times New Roman" w:hAnsi="Times New Roman" w:eastAsia="宋体" w:cs="Times New Roman"/>
          <w:color w:val="auto"/>
          <w:spacing w:val="-1"/>
          <w:sz w:val="24"/>
          <w:szCs w:val="24"/>
          <w:highlight w:val="none"/>
        </w:rPr>
        <w:t>。</w:t>
      </w:r>
    </w:p>
    <w:p w14:paraId="7A6190BD">
      <w:pPr>
        <w:keepNext w:val="0"/>
        <w:keepLines w:val="0"/>
        <w:pageBreakBefore w:val="0"/>
        <w:kinsoku/>
        <w:wordWrap w:val="0"/>
        <w:overflowPunct/>
        <w:topLinePunct/>
        <w:autoSpaceDE/>
        <w:autoSpaceDN/>
        <w:bidi w:val="0"/>
        <w:adjustRightInd w:val="0"/>
        <w:snapToGrid w:val="0"/>
        <w:spacing w:before="1" w:line="213" w:lineRule="auto"/>
        <w:ind w:left="2984"/>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2.5-2</w:t>
      </w:r>
      <w:r>
        <w:rPr>
          <w:rFonts w:hint="default" w:ascii="Times New Roman" w:hAnsi="Times New Roman" w:eastAsia="宋体" w:cs="Times New Roman"/>
          <w:b/>
          <w:bCs/>
          <w:color w:val="auto"/>
          <w:spacing w:val="-1"/>
          <w:sz w:val="24"/>
          <w:szCs w:val="24"/>
          <w:highlight w:val="none"/>
        </w:rPr>
        <w:t>大气评价等级确定表</w:t>
      </w:r>
    </w:p>
    <w:tbl>
      <w:tblPr>
        <w:tblStyle w:val="34"/>
        <w:tblW w:w="83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024"/>
        <w:gridCol w:w="4339"/>
      </w:tblGrid>
      <w:tr w14:paraId="676A47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024" w:type="dxa"/>
            <w:tcBorders>
              <w:top w:val="single" w:color="000000" w:sz="10" w:space="0"/>
              <w:left w:val="nil"/>
            </w:tcBorders>
            <w:vAlign w:val="top"/>
          </w:tcPr>
          <w:p w14:paraId="5B50DC09">
            <w:pPr>
              <w:pStyle w:val="35"/>
              <w:keepNext w:val="0"/>
              <w:keepLines w:val="0"/>
              <w:pageBreakBefore w:val="0"/>
              <w:kinsoku/>
              <w:wordWrap w:val="0"/>
              <w:overflowPunct/>
              <w:topLinePunct/>
              <w:autoSpaceDE/>
              <w:autoSpaceDN/>
              <w:bidi w:val="0"/>
              <w:adjustRightInd w:val="0"/>
              <w:snapToGrid w:val="0"/>
              <w:spacing w:before="54" w:line="219"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2"/>
                <w:highlight w:val="none"/>
              </w:rPr>
              <w:t>评价工作等级判据</w:t>
            </w:r>
          </w:p>
        </w:tc>
        <w:tc>
          <w:tcPr>
            <w:tcW w:w="4339" w:type="dxa"/>
            <w:tcBorders>
              <w:top w:val="single" w:color="000000" w:sz="10" w:space="0"/>
              <w:right w:val="nil"/>
            </w:tcBorders>
            <w:vAlign w:val="top"/>
          </w:tcPr>
          <w:p w14:paraId="479532F9">
            <w:pPr>
              <w:pStyle w:val="35"/>
              <w:keepNext w:val="0"/>
              <w:keepLines w:val="0"/>
              <w:pageBreakBefore w:val="0"/>
              <w:kinsoku/>
              <w:wordWrap w:val="0"/>
              <w:overflowPunct/>
              <w:topLinePunct/>
              <w:autoSpaceDE/>
              <w:autoSpaceDN/>
              <w:bidi w:val="0"/>
              <w:adjustRightInd w:val="0"/>
              <w:snapToGrid w:val="0"/>
              <w:spacing w:before="54" w:line="219"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评价工作等级</w:t>
            </w:r>
          </w:p>
        </w:tc>
      </w:tr>
      <w:tr w14:paraId="393A39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4024" w:type="dxa"/>
            <w:tcBorders>
              <w:left w:val="nil"/>
            </w:tcBorders>
            <w:vAlign w:val="top"/>
          </w:tcPr>
          <w:p w14:paraId="385C9248">
            <w:pPr>
              <w:keepNext w:val="0"/>
              <w:keepLines w:val="0"/>
              <w:pageBreakBefore w:val="0"/>
              <w:kinsoku/>
              <w:wordWrap w:val="0"/>
              <w:overflowPunct/>
              <w:topLinePunct/>
              <w:autoSpaceDE/>
              <w:autoSpaceDN/>
              <w:bidi w:val="0"/>
              <w:adjustRightInd w:val="0"/>
              <w:snapToGrid w:val="0"/>
              <w:spacing w:before="90" w:line="206"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P</w:t>
            </w:r>
            <w:r>
              <w:rPr>
                <w:rFonts w:hint="default" w:ascii="Times New Roman" w:hAnsi="Times New Roman" w:eastAsia="Times New Roman" w:cs="Times New Roman"/>
                <w:color w:val="auto"/>
                <w:position w:val="-2"/>
                <w:sz w:val="13"/>
                <w:szCs w:val="13"/>
                <w:highlight w:val="none"/>
              </w:rPr>
              <w:t>max</w:t>
            </w:r>
            <w:r>
              <w:rPr>
                <w:rFonts w:hint="default" w:ascii="Times New Roman" w:hAnsi="Times New Roman" w:eastAsia="Times New Roman" w:cs="Times New Roman"/>
                <w:color w:val="auto"/>
                <w:spacing w:val="3"/>
                <w:sz w:val="21"/>
                <w:szCs w:val="21"/>
                <w:highlight w:val="none"/>
              </w:rPr>
              <w:t>≥10%</w:t>
            </w:r>
          </w:p>
        </w:tc>
        <w:tc>
          <w:tcPr>
            <w:tcW w:w="4339" w:type="dxa"/>
            <w:tcBorders>
              <w:right w:val="nil"/>
            </w:tcBorders>
            <w:vAlign w:val="top"/>
          </w:tcPr>
          <w:p w14:paraId="0B6D6696">
            <w:pPr>
              <w:pStyle w:val="35"/>
              <w:keepNext w:val="0"/>
              <w:keepLines w:val="0"/>
              <w:pageBreakBefore w:val="0"/>
              <w:kinsoku/>
              <w:wordWrap w:val="0"/>
              <w:overflowPunct/>
              <w:topLinePunct/>
              <w:autoSpaceDE/>
              <w:autoSpaceDN/>
              <w:bidi w:val="0"/>
              <w:adjustRightInd w:val="0"/>
              <w:snapToGrid w:val="0"/>
              <w:spacing w:before="57" w:line="213"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一级</w:t>
            </w:r>
          </w:p>
        </w:tc>
      </w:tr>
      <w:tr w14:paraId="4FF99B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4024" w:type="dxa"/>
            <w:tcBorders>
              <w:left w:val="nil"/>
            </w:tcBorders>
            <w:vAlign w:val="top"/>
          </w:tcPr>
          <w:p w14:paraId="6883CDEE">
            <w:pPr>
              <w:pStyle w:val="35"/>
              <w:keepNext w:val="0"/>
              <w:keepLines w:val="0"/>
              <w:pageBreakBefore w:val="0"/>
              <w:kinsoku/>
              <w:wordWrap w:val="0"/>
              <w:overflowPunct/>
              <w:topLinePunct/>
              <w:autoSpaceDE/>
              <w:autoSpaceDN/>
              <w:bidi w:val="0"/>
              <w:adjustRightInd w:val="0"/>
              <w:snapToGrid w:val="0"/>
              <w:spacing w:before="66" w:line="208"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spacing w:val="-1"/>
                <w:highlight w:val="none"/>
              </w:rPr>
              <w:t>1%≤P</w:t>
            </w:r>
            <w:r>
              <w:rPr>
                <w:rFonts w:hint="default" w:ascii="Times New Roman" w:hAnsi="Times New Roman" w:eastAsia="Times New Roman" w:cs="Times New Roman"/>
                <w:color w:val="auto"/>
                <w:spacing w:val="-1"/>
                <w:position w:val="-2"/>
                <w:sz w:val="13"/>
                <w:szCs w:val="13"/>
                <w:highlight w:val="none"/>
              </w:rPr>
              <w:t>max</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10%</w:t>
            </w:r>
          </w:p>
        </w:tc>
        <w:tc>
          <w:tcPr>
            <w:tcW w:w="4339" w:type="dxa"/>
            <w:tcBorders>
              <w:right w:val="nil"/>
            </w:tcBorders>
            <w:vAlign w:val="top"/>
          </w:tcPr>
          <w:p w14:paraId="1BB494A8">
            <w:pPr>
              <w:pStyle w:val="35"/>
              <w:keepNext w:val="0"/>
              <w:keepLines w:val="0"/>
              <w:pageBreakBefore w:val="0"/>
              <w:kinsoku/>
              <w:wordWrap w:val="0"/>
              <w:overflowPunct/>
              <w:topLinePunct/>
              <w:autoSpaceDE/>
              <w:autoSpaceDN/>
              <w:bidi w:val="0"/>
              <w:adjustRightInd w:val="0"/>
              <w:snapToGrid w:val="0"/>
              <w:spacing w:before="66" w:line="208"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r>
      <w:tr w14:paraId="0F0327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4024" w:type="dxa"/>
            <w:tcBorders>
              <w:left w:val="nil"/>
              <w:bottom w:val="single" w:color="000000" w:sz="10" w:space="0"/>
            </w:tcBorders>
            <w:vAlign w:val="top"/>
          </w:tcPr>
          <w:p w14:paraId="4EBE493C">
            <w:pPr>
              <w:pStyle w:val="35"/>
              <w:keepNext w:val="0"/>
              <w:keepLines w:val="0"/>
              <w:pageBreakBefore w:val="0"/>
              <w:kinsoku/>
              <w:wordWrap w:val="0"/>
              <w:overflowPunct/>
              <w:topLinePunct/>
              <w:autoSpaceDE/>
              <w:autoSpaceDN/>
              <w:bidi w:val="0"/>
              <w:adjustRightInd w:val="0"/>
              <w:snapToGrid w:val="0"/>
              <w:spacing w:before="70" w:line="223"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P</w:t>
            </w:r>
            <w:r>
              <w:rPr>
                <w:rFonts w:hint="default" w:ascii="Times New Roman" w:hAnsi="Times New Roman" w:eastAsia="Times New Roman" w:cs="Times New Roman"/>
                <w:color w:val="auto"/>
                <w:position w:val="-2"/>
                <w:sz w:val="13"/>
                <w:szCs w:val="13"/>
                <w:highlight w:val="none"/>
              </w:rPr>
              <w:t>max</w:t>
            </w:r>
            <w:r>
              <w:rPr>
                <w:rFonts w:hint="default" w:ascii="Times New Roman" w:hAnsi="Times New Roman" w:cs="Times New Roman"/>
                <w:color w:val="auto"/>
                <w:spacing w:val="4"/>
                <w:highlight w:val="none"/>
              </w:rPr>
              <w:t>＜</w:t>
            </w:r>
            <w:r>
              <w:rPr>
                <w:rFonts w:hint="default" w:ascii="Times New Roman" w:hAnsi="Times New Roman" w:eastAsia="Times New Roman" w:cs="Times New Roman"/>
                <w:color w:val="auto"/>
                <w:spacing w:val="4"/>
                <w:highlight w:val="none"/>
              </w:rPr>
              <w:t>1%</w:t>
            </w:r>
          </w:p>
        </w:tc>
        <w:tc>
          <w:tcPr>
            <w:tcW w:w="4339" w:type="dxa"/>
            <w:tcBorders>
              <w:bottom w:val="single" w:color="000000" w:sz="10" w:space="0"/>
              <w:right w:val="nil"/>
            </w:tcBorders>
            <w:vAlign w:val="top"/>
          </w:tcPr>
          <w:p w14:paraId="1FDA6E81">
            <w:pPr>
              <w:pStyle w:val="35"/>
              <w:keepNext w:val="0"/>
              <w:keepLines w:val="0"/>
              <w:pageBreakBefore w:val="0"/>
              <w:kinsoku/>
              <w:wordWrap w:val="0"/>
              <w:overflowPunct/>
              <w:topLinePunct/>
              <w:autoSpaceDE/>
              <w:autoSpaceDN/>
              <w:bidi w:val="0"/>
              <w:adjustRightInd w:val="0"/>
              <w:snapToGrid w:val="0"/>
              <w:spacing w:before="70" w:line="223"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r>
    </w:tbl>
    <w:p w14:paraId="32B61D57">
      <w:pPr>
        <w:keepNext w:val="0"/>
        <w:keepLines w:val="0"/>
        <w:pageBreakBefore w:val="0"/>
        <w:kinsoku/>
        <w:wordWrap w:val="0"/>
        <w:overflowPunct/>
        <w:topLinePunct/>
        <w:autoSpaceDE/>
        <w:autoSpaceDN/>
        <w:bidi w:val="0"/>
        <w:adjustRightInd w:val="0"/>
        <w:snapToGrid w:val="0"/>
        <w:spacing w:before="113" w:line="366" w:lineRule="auto"/>
        <w:ind w:left="131" w:right="105" w:firstLine="479"/>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根据项目污染源初步调查结果，分别计算项目排放主要污染物的最大地面空气质</w:t>
      </w:r>
      <w:r>
        <w:rPr>
          <w:rFonts w:hint="default" w:ascii="Times New Roman" w:hAnsi="Times New Roman" w:eastAsia="宋体" w:cs="Times New Roman"/>
          <w:color w:val="auto"/>
          <w:spacing w:val="-4"/>
          <w:sz w:val="24"/>
          <w:szCs w:val="24"/>
          <w:highlight w:val="none"/>
        </w:rPr>
        <w:t>量浓度占标率</w:t>
      </w:r>
      <w:r>
        <w:rPr>
          <w:rFonts w:hint="default" w:ascii="Times New Roman" w:hAnsi="Times New Roman" w:eastAsia="Times New Roman" w:cs="Times New Roman"/>
          <w:color w:val="auto"/>
          <w:spacing w:val="-4"/>
          <w:sz w:val="24"/>
          <w:szCs w:val="24"/>
          <w:highlight w:val="none"/>
        </w:rPr>
        <w:t>P</w:t>
      </w:r>
      <w:r>
        <w:rPr>
          <w:rFonts w:hint="default" w:ascii="Times New Roman" w:hAnsi="Times New Roman" w:eastAsia="Times New Roman" w:cs="Times New Roman"/>
          <w:color w:val="auto"/>
          <w:spacing w:val="-4"/>
          <w:position w:val="-3"/>
          <w:sz w:val="16"/>
          <w:szCs w:val="16"/>
          <w:highlight w:val="none"/>
        </w:rPr>
        <w:t>i</w:t>
      </w:r>
      <w:r>
        <w:rPr>
          <w:rFonts w:hint="default" w:ascii="Times New Roman" w:hAnsi="Times New Roman" w:eastAsia="宋体" w:cs="Times New Roman"/>
          <w:color w:val="auto"/>
          <w:spacing w:val="-4"/>
          <w:sz w:val="24"/>
          <w:szCs w:val="24"/>
          <w:highlight w:val="none"/>
        </w:rPr>
        <w:t>（第</w:t>
      </w:r>
      <w:r>
        <w:rPr>
          <w:rFonts w:hint="default" w:ascii="Times New Roman" w:hAnsi="Times New Roman" w:eastAsia="Times New Roman" w:cs="Times New Roman"/>
          <w:color w:val="auto"/>
          <w:spacing w:val="-4"/>
          <w:sz w:val="24"/>
          <w:szCs w:val="24"/>
          <w:highlight w:val="none"/>
        </w:rPr>
        <w:t>i</w:t>
      </w:r>
      <w:r>
        <w:rPr>
          <w:rFonts w:hint="default" w:ascii="Times New Roman" w:hAnsi="Times New Roman" w:eastAsia="宋体" w:cs="Times New Roman"/>
          <w:color w:val="auto"/>
          <w:spacing w:val="-4"/>
          <w:sz w:val="24"/>
          <w:szCs w:val="24"/>
          <w:highlight w:val="none"/>
        </w:rPr>
        <w:t>个污染物，简称</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5"/>
          <w:sz w:val="24"/>
          <w:szCs w:val="24"/>
          <w:highlight w:val="none"/>
        </w:rPr>
        <w:t>最大浓度占标率</w:t>
      </w:r>
      <w:r>
        <w:rPr>
          <w:rFonts w:hint="default" w:ascii="Times New Roman" w:hAnsi="Times New Roman" w:eastAsia="宋体" w:cs="Times New Roman"/>
          <w:color w:val="auto"/>
          <w:spacing w:val="-5"/>
          <w:sz w:val="24"/>
          <w:szCs w:val="24"/>
          <w:highlight w:val="none"/>
          <w:lang w:eastAsia="zh-CN"/>
        </w:rPr>
        <w:t>”</w:t>
      </w:r>
      <w:r>
        <w:rPr>
          <w:rFonts w:hint="default" w:ascii="Times New Roman" w:hAnsi="Times New Roman" w:eastAsia="宋体" w:cs="Times New Roman"/>
          <w:color w:val="auto"/>
          <w:spacing w:val="-5"/>
          <w:sz w:val="24"/>
          <w:szCs w:val="24"/>
          <w:highlight w:val="none"/>
        </w:rPr>
        <w:t>），及第</w:t>
      </w:r>
      <w:r>
        <w:rPr>
          <w:rFonts w:hint="default" w:ascii="Times New Roman" w:hAnsi="Times New Roman" w:eastAsia="Times New Roman" w:cs="Times New Roman"/>
          <w:color w:val="auto"/>
          <w:spacing w:val="-5"/>
          <w:sz w:val="24"/>
          <w:szCs w:val="24"/>
          <w:highlight w:val="none"/>
        </w:rPr>
        <w:t>i</w:t>
      </w:r>
      <w:r>
        <w:rPr>
          <w:rFonts w:hint="default" w:ascii="Times New Roman" w:hAnsi="Times New Roman" w:eastAsia="宋体" w:cs="Times New Roman"/>
          <w:color w:val="auto"/>
          <w:spacing w:val="-5"/>
          <w:sz w:val="24"/>
          <w:szCs w:val="24"/>
          <w:highlight w:val="none"/>
        </w:rPr>
        <w:t>个污染物的地面</w:t>
      </w:r>
      <w:r>
        <w:rPr>
          <w:rFonts w:hint="default" w:ascii="Times New Roman" w:hAnsi="Times New Roman" w:eastAsia="宋体" w:cs="Times New Roman"/>
          <w:color w:val="auto"/>
          <w:spacing w:val="-4"/>
          <w:sz w:val="24"/>
          <w:szCs w:val="24"/>
          <w:highlight w:val="none"/>
        </w:rPr>
        <w:t>浓度达标准限值</w:t>
      </w:r>
      <w:r>
        <w:rPr>
          <w:rFonts w:hint="default" w:ascii="Times New Roman" w:hAnsi="Times New Roman" w:eastAsia="Times New Roman" w:cs="Times New Roman"/>
          <w:color w:val="auto"/>
          <w:spacing w:val="-4"/>
          <w:sz w:val="24"/>
          <w:szCs w:val="24"/>
          <w:highlight w:val="none"/>
        </w:rPr>
        <w:t>10%</w:t>
      </w:r>
      <w:r>
        <w:rPr>
          <w:rFonts w:hint="default" w:ascii="Times New Roman" w:hAnsi="Times New Roman" w:eastAsia="宋体" w:cs="Times New Roman"/>
          <w:color w:val="auto"/>
          <w:spacing w:val="-4"/>
          <w:sz w:val="24"/>
          <w:szCs w:val="24"/>
          <w:highlight w:val="none"/>
        </w:rPr>
        <w:t>时所对应的最远距离</w:t>
      </w:r>
      <w:r>
        <w:rPr>
          <w:rFonts w:hint="default" w:ascii="Times New Roman" w:hAnsi="Times New Roman" w:eastAsia="Times New Roman" w:cs="Times New Roman"/>
          <w:color w:val="auto"/>
          <w:spacing w:val="-4"/>
          <w:sz w:val="24"/>
          <w:szCs w:val="24"/>
          <w:highlight w:val="none"/>
        </w:rPr>
        <w:t>D</w:t>
      </w:r>
      <w:r>
        <w:rPr>
          <w:rFonts w:hint="default" w:ascii="Times New Roman" w:hAnsi="Times New Roman" w:eastAsia="Times New Roman" w:cs="Times New Roman"/>
          <w:color w:val="auto"/>
          <w:spacing w:val="-4"/>
          <w:position w:val="-2"/>
          <w:sz w:val="16"/>
          <w:szCs w:val="16"/>
          <w:highlight w:val="none"/>
        </w:rPr>
        <w:t>10%</w:t>
      </w:r>
      <w:r>
        <w:rPr>
          <w:rFonts w:hint="default" w:ascii="Times New Roman" w:hAnsi="Times New Roman" w:eastAsia="宋体" w:cs="Times New Roman"/>
          <w:color w:val="auto"/>
          <w:spacing w:val="-4"/>
          <w:sz w:val="24"/>
          <w:szCs w:val="24"/>
          <w:highlight w:val="none"/>
        </w:rPr>
        <w:t>。其中</w:t>
      </w:r>
      <w:r>
        <w:rPr>
          <w:rFonts w:hint="default" w:ascii="Times New Roman" w:hAnsi="Times New Roman" w:eastAsia="Times New Roman" w:cs="Times New Roman"/>
          <w:color w:val="auto"/>
          <w:spacing w:val="-4"/>
          <w:sz w:val="24"/>
          <w:szCs w:val="24"/>
          <w:highlight w:val="none"/>
        </w:rPr>
        <w:t>P</w:t>
      </w:r>
      <w:r>
        <w:rPr>
          <w:rFonts w:hint="default" w:ascii="Times New Roman" w:hAnsi="Times New Roman" w:eastAsia="Times New Roman" w:cs="Times New Roman"/>
          <w:color w:val="auto"/>
          <w:spacing w:val="-4"/>
          <w:position w:val="-2"/>
          <w:sz w:val="16"/>
          <w:szCs w:val="16"/>
          <w:highlight w:val="none"/>
        </w:rPr>
        <w:t>i</w:t>
      </w:r>
      <w:r>
        <w:rPr>
          <w:rFonts w:hint="default" w:ascii="Times New Roman" w:hAnsi="Times New Roman" w:eastAsia="宋体" w:cs="Times New Roman"/>
          <w:color w:val="auto"/>
          <w:spacing w:val="-4"/>
          <w:sz w:val="24"/>
          <w:szCs w:val="24"/>
          <w:highlight w:val="none"/>
        </w:rPr>
        <w:t>定义为：</w:t>
      </w:r>
    </w:p>
    <w:p w14:paraId="0D61ABB4">
      <w:pPr>
        <w:keepNext w:val="0"/>
        <w:keepLines w:val="0"/>
        <w:pageBreakBefore w:val="0"/>
        <w:kinsoku/>
        <w:wordWrap w:val="0"/>
        <w:overflowPunct/>
        <w:topLinePunct/>
        <w:autoSpaceDE/>
        <w:autoSpaceDN/>
        <w:bidi w:val="0"/>
        <w:adjustRightInd w:val="0"/>
        <w:snapToGrid w:val="0"/>
        <w:spacing w:before="14" w:line="228" w:lineRule="auto"/>
        <w:ind w:left="3722"/>
        <w:textAlignment w:val="baseline"/>
        <w:rPr>
          <w:rFonts w:hint="default" w:ascii="Times New Roman" w:hAnsi="Times New Roman" w:eastAsia="Times New Roman" w:cs="Times New Roman"/>
          <w:color w:val="auto"/>
          <w:sz w:val="24"/>
          <w:szCs w:val="24"/>
          <w:highlight w:val="none"/>
        </w:rPr>
      </w:pPr>
      <w:r>
        <w:rPr>
          <w:rFonts w:hint="default" w:ascii="Times New Roman" w:hAnsi="Times New Roman" w:eastAsia="Times New Roman" w:cs="Times New Roman"/>
          <w:i/>
          <w:iCs/>
          <w:color w:val="auto"/>
          <w:sz w:val="24"/>
          <w:szCs w:val="24"/>
          <w:highlight w:val="none"/>
        </w:rPr>
        <w:t>P</w:t>
      </w:r>
      <w:r>
        <w:rPr>
          <w:rFonts w:hint="default" w:ascii="Times New Roman" w:hAnsi="Times New Roman" w:eastAsia="Times New Roman" w:cs="Times New Roman"/>
          <w:i/>
          <w:iCs/>
          <w:color w:val="auto"/>
          <w:position w:val="-2"/>
          <w:sz w:val="16"/>
          <w:szCs w:val="16"/>
          <w:highlight w:val="none"/>
        </w:rPr>
        <w:t>i</w:t>
      </w:r>
      <w:r>
        <w:rPr>
          <w:rFonts w:hint="default" w:ascii="Times New Roman" w:hAnsi="Times New Roman" w:eastAsia="Times New Roman" w:cs="Times New Roman"/>
          <w:color w:val="auto"/>
          <w:sz w:val="24"/>
          <w:szCs w:val="24"/>
          <w:highlight w:val="none"/>
        </w:rPr>
        <w:t>=</w:t>
      </w:r>
      <w:r>
        <w:rPr>
          <w:rFonts w:hint="default" w:ascii="Times New Roman" w:hAnsi="Times New Roman" w:eastAsia="Times New Roman" w:cs="Times New Roman"/>
          <w:i/>
          <w:iCs/>
          <w:color w:val="auto"/>
          <w:sz w:val="24"/>
          <w:szCs w:val="24"/>
          <w:highlight w:val="none"/>
        </w:rPr>
        <w:t>C</w:t>
      </w:r>
      <w:r>
        <w:rPr>
          <w:rFonts w:hint="default" w:ascii="Times New Roman" w:hAnsi="Times New Roman" w:eastAsia="Times New Roman" w:cs="Times New Roman"/>
          <w:i/>
          <w:iCs/>
          <w:color w:val="auto"/>
          <w:position w:val="-2"/>
          <w:sz w:val="16"/>
          <w:szCs w:val="16"/>
          <w:highlight w:val="none"/>
        </w:rPr>
        <w:t>i</w:t>
      </w:r>
      <w:r>
        <w:rPr>
          <w:rFonts w:hint="default" w:ascii="Times New Roman" w:hAnsi="Times New Roman" w:eastAsia="Times New Roman" w:cs="Times New Roman"/>
          <w:color w:val="auto"/>
          <w:sz w:val="24"/>
          <w:szCs w:val="24"/>
          <w:highlight w:val="none"/>
        </w:rPr>
        <w:t>/</w:t>
      </w:r>
      <w:r>
        <w:rPr>
          <w:rFonts w:hint="default" w:ascii="Times New Roman" w:hAnsi="Times New Roman" w:eastAsia="Times New Roman" w:cs="Times New Roman"/>
          <w:i/>
          <w:iCs/>
          <w:color w:val="auto"/>
          <w:sz w:val="24"/>
          <w:szCs w:val="24"/>
          <w:highlight w:val="none"/>
        </w:rPr>
        <w:t>C</w:t>
      </w:r>
      <w:r>
        <w:rPr>
          <w:rFonts w:hint="default" w:ascii="Times New Roman" w:hAnsi="Times New Roman" w:eastAsia="Times New Roman" w:cs="Times New Roman"/>
          <w:i/>
          <w:iCs/>
          <w:color w:val="auto"/>
          <w:position w:val="-2"/>
          <w:sz w:val="16"/>
          <w:szCs w:val="16"/>
          <w:highlight w:val="none"/>
        </w:rPr>
        <w:t>0i</w:t>
      </w:r>
      <w:r>
        <w:rPr>
          <w:rFonts w:hint="default" w:ascii="Times New Roman" w:hAnsi="Times New Roman" w:eastAsia="Times New Roman" w:cs="Times New Roman"/>
          <w:color w:val="auto"/>
          <w:sz w:val="24"/>
          <w:szCs w:val="24"/>
          <w:highlight w:val="none"/>
        </w:rPr>
        <w:t>×100%</w:t>
      </w:r>
    </w:p>
    <w:p w14:paraId="49B4E3AD">
      <w:pPr>
        <w:keepNext w:val="0"/>
        <w:keepLines w:val="0"/>
        <w:pageBreakBefore w:val="0"/>
        <w:kinsoku/>
        <w:wordWrap w:val="0"/>
        <w:overflowPunct/>
        <w:topLinePunct/>
        <w:autoSpaceDE/>
        <w:autoSpaceDN/>
        <w:bidi w:val="0"/>
        <w:adjustRightInd w:val="0"/>
        <w:snapToGrid w:val="0"/>
        <w:spacing w:before="166" w:line="238" w:lineRule="auto"/>
        <w:ind w:left="616"/>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式中：</w:t>
      </w:r>
      <w:r>
        <w:rPr>
          <w:rFonts w:hint="default" w:ascii="Times New Roman" w:hAnsi="Times New Roman" w:eastAsia="Times New Roman" w:cs="Times New Roman"/>
          <w:i/>
          <w:iCs/>
          <w:color w:val="auto"/>
          <w:spacing w:val="-1"/>
          <w:sz w:val="24"/>
          <w:szCs w:val="24"/>
          <w:highlight w:val="none"/>
        </w:rPr>
        <w:t>P</w:t>
      </w:r>
      <w:r>
        <w:rPr>
          <w:rFonts w:hint="default" w:ascii="Times New Roman" w:hAnsi="Times New Roman" w:eastAsia="Times New Roman" w:cs="Times New Roman"/>
          <w:i/>
          <w:iCs/>
          <w:color w:val="auto"/>
          <w:spacing w:val="-1"/>
          <w:position w:val="-3"/>
          <w:sz w:val="16"/>
          <w:szCs w:val="16"/>
          <w:highlight w:val="none"/>
        </w:rPr>
        <w:t>i</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第</w:t>
      </w:r>
      <w:r>
        <w:rPr>
          <w:rFonts w:hint="default" w:ascii="Times New Roman" w:hAnsi="Times New Roman" w:eastAsia="Times New Roman" w:cs="Times New Roman"/>
          <w:color w:val="auto"/>
          <w:spacing w:val="-1"/>
          <w:sz w:val="24"/>
          <w:szCs w:val="24"/>
          <w:highlight w:val="none"/>
        </w:rPr>
        <w:t>i</w:t>
      </w:r>
      <w:r>
        <w:rPr>
          <w:rFonts w:hint="default" w:ascii="Times New Roman" w:hAnsi="Times New Roman" w:eastAsia="宋体" w:cs="Times New Roman"/>
          <w:color w:val="auto"/>
          <w:spacing w:val="-1"/>
          <w:sz w:val="24"/>
          <w:szCs w:val="24"/>
          <w:highlight w:val="none"/>
        </w:rPr>
        <w:t>个污染物的最大地面空气质量浓度占标率，</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w:t>
      </w:r>
    </w:p>
    <w:p w14:paraId="233296F5">
      <w:pPr>
        <w:keepNext w:val="0"/>
        <w:keepLines w:val="0"/>
        <w:pageBreakBefore w:val="0"/>
        <w:widowControl/>
        <w:kinsoku/>
        <w:wordWrap w:val="0"/>
        <w:overflowPunct/>
        <w:topLinePunct/>
        <w:autoSpaceDE/>
        <w:autoSpaceDN/>
        <w:bidi w:val="0"/>
        <w:adjustRightInd w:val="0"/>
        <w:snapToGrid w:val="0"/>
        <w:spacing w:before="40" w:line="336" w:lineRule="auto"/>
        <w:ind w:left="0" w:right="0" w:firstLine="468"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Ci—采用估算模型计算出的第i个污染物的最大1h地面空气质量浓度，μg/m</w:t>
      </w:r>
      <w:r>
        <w:rPr>
          <w:rFonts w:hint="default" w:ascii="Times New Roman" w:hAnsi="Times New Roman" w:eastAsia="宋体" w:cs="Times New Roman"/>
          <w:color w:val="auto"/>
          <w:spacing w:val="-3"/>
          <w:sz w:val="24"/>
          <w:szCs w:val="24"/>
          <w:highlight w:val="none"/>
          <w:vertAlign w:val="superscript"/>
        </w:rPr>
        <w:t>3</w:t>
      </w:r>
      <w:r>
        <w:rPr>
          <w:rFonts w:hint="default" w:ascii="Times New Roman" w:hAnsi="Times New Roman" w:eastAsia="宋体" w:cs="Times New Roman"/>
          <w:color w:val="auto"/>
          <w:spacing w:val="-3"/>
          <w:sz w:val="24"/>
          <w:szCs w:val="24"/>
          <w:highlight w:val="none"/>
        </w:rPr>
        <w:t>；</w:t>
      </w:r>
    </w:p>
    <w:p w14:paraId="3811CED5">
      <w:pPr>
        <w:keepNext w:val="0"/>
        <w:keepLines w:val="0"/>
        <w:pageBreakBefore w:val="0"/>
        <w:widowControl/>
        <w:kinsoku/>
        <w:wordWrap w:val="0"/>
        <w:overflowPunct/>
        <w:topLinePunct/>
        <w:autoSpaceDE/>
        <w:autoSpaceDN/>
        <w:bidi w:val="0"/>
        <w:adjustRightInd w:val="0"/>
        <w:snapToGrid w:val="0"/>
        <w:spacing w:before="40" w:line="336" w:lineRule="auto"/>
        <w:ind w:left="130" w:right="108" w:firstLine="488"/>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3"/>
          <w:sz w:val="24"/>
          <w:szCs w:val="24"/>
          <w:highlight w:val="none"/>
        </w:rPr>
        <w:t>C0i—第i个污染物的环境空气质量标准，μg/m</w:t>
      </w:r>
      <w:r>
        <w:rPr>
          <w:rFonts w:hint="default" w:ascii="Times New Roman" w:hAnsi="Times New Roman" w:eastAsia="宋体" w:cs="Times New Roman"/>
          <w:color w:val="auto"/>
          <w:spacing w:val="-3"/>
          <w:sz w:val="24"/>
          <w:szCs w:val="24"/>
          <w:highlight w:val="none"/>
          <w:vertAlign w:val="superscript"/>
        </w:rPr>
        <w:t>3</w:t>
      </w:r>
      <w:r>
        <w:rPr>
          <w:rFonts w:hint="default" w:ascii="Times New Roman" w:hAnsi="Times New Roman" w:eastAsia="宋体" w:cs="Times New Roman"/>
          <w:color w:val="auto"/>
          <w:spacing w:val="-3"/>
          <w:sz w:val="24"/>
          <w:szCs w:val="24"/>
          <w:highlight w:val="none"/>
        </w:rPr>
        <w:t>。一般选用GB3095中1h平均质量浓度的二级浓度限值，如项目位于一类环境空气功能区，应选择相应的一级浓度限</w:t>
      </w:r>
      <w:r>
        <w:rPr>
          <w:rFonts w:hint="default" w:ascii="Times New Roman" w:hAnsi="Times New Roman" w:eastAsia="宋体" w:cs="Times New Roman"/>
          <w:color w:val="auto"/>
          <w:spacing w:val="-5"/>
          <w:sz w:val="24"/>
          <w:szCs w:val="24"/>
          <w:highlight w:val="none"/>
        </w:rPr>
        <w:t>值；对该标准中未包含的污染物，使用</w:t>
      </w:r>
      <w:r>
        <w:rPr>
          <w:rFonts w:hint="default" w:ascii="Times New Roman" w:hAnsi="Times New Roman" w:eastAsia="Times New Roman" w:cs="Times New Roman"/>
          <w:color w:val="auto"/>
          <w:spacing w:val="-5"/>
          <w:sz w:val="24"/>
          <w:szCs w:val="24"/>
          <w:highlight w:val="none"/>
        </w:rPr>
        <w:t>5.2</w:t>
      </w:r>
      <w:r>
        <w:rPr>
          <w:rFonts w:hint="default" w:ascii="Times New Roman" w:hAnsi="Times New Roman" w:eastAsia="宋体" w:cs="Times New Roman"/>
          <w:color w:val="auto"/>
          <w:spacing w:val="-5"/>
          <w:sz w:val="24"/>
          <w:szCs w:val="24"/>
          <w:highlight w:val="none"/>
        </w:rPr>
        <w:t>确定的各评价因子</w:t>
      </w:r>
      <w:r>
        <w:rPr>
          <w:rFonts w:hint="default" w:ascii="Times New Roman" w:hAnsi="Times New Roman" w:eastAsia="Times New Roman" w:cs="Times New Roman"/>
          <w:color w:val="auto"/>
          <w:spacing w:val="-5"/>
          <w:sz w:val="24"/>
          <w:szCs w:val="24"/>
          <w:highlight w:val="none"/>
        </w:rPr>
        <w:t>1h</w:t>
      </w:r>
      <w:r>
        <w:rPr>
          <w:rFonts w:hint="default" w:ascii="Times New Roman" w:hAnsi="Times New Roman" w:eastAsia="宋体" w:cs="Times New Roman"/>
          <w:color w:val="auto"/>
          <w:spacing w:val="-5"/>
          <w:sz w:val="24"/>
          <w:szCs w:val="24"/>
          <w:highlight w:val="none"/>
        </w:rPr>
        <w:t>平均质量浓度限值。</w:t>
      </w:r>
      <w:r>
        <w:rPr>
          <w:rFonts w:hint="default" w:ascii="Times New Roman" w:hAnsi="Times New Roman" w:eastAsia="宋体" w:cs="Times New Roman"/>
          <w:color w:val="auto"/>
          <w:spacing w:val="-1"/>
          <w:sz w:val="24"/>
          <w:szCs w:val="24"/>
          <w:highlight w:val="none"/>
        </w:rPr>
        <w:t>对仅有</w:t>
      </w:r>
      <w:r>
        <w:rPr>
          <w:rFonts w:hint="default" w:ascii="Times New Roman" w:hAnsi="Times New Roman" w:eastAsia="Times New Roman" w:cs="Times New Roman"/>
          <w:color w:val="auto"/>
          <w:spacing w:val="-1"/>
          <w:sz w:val="24"/>
          <w:szCs w:val="24"/>
          <w:highlight w:val="none"/>
        </w:rPr>
        <w:t>8h</w:t>
      </w:r>
      <w:r>
        <w:rPr>
          <w:rFonts w:hint="default" w:ascii="Times New Roman" w:hAnsi="Times New Roman" w:eastAsia="宋体" w:cs="Times New Roman"/>
          <w:color w:val="auto"/>
          <w:spacing w:val="-1"/>
          <w:sz w:val="24"/>
          <w:szCs w:val="24"/>
          <w:highlight w:val="none"/>
        </w:rPr>
        <w:t>平均质量浓度限值、日平均质量浓度限值或年平均质量浓度限值的，可分</w:t>
      </w:r>
      <w:r>
        <w:rPr>
          <w:rFonts w:hint="default" w:ascii="Times New Roman" w:hAnsi="Times New Roman" w:eastAsia="宋体" w:cs="Times New Roman"/>
          <w:color w:val="auto"/>
          <w:spacing w:val="-3"/>
          <w:sz w:val="24"/>
          <w:szCs w:val="24"/>
          <w:highlight w:val="none"/>
        </w:rPr>
        <w:t>别按</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倍、</w:t>
      </w:r>
      <w:r>
        <w:rPr>
          <w:rFonts w:hint="default" w:ascii="Times New Roman" w:hAnsi="Times New Roman" w:eastAsia="Times New Roman" w:cs="Times New Roman"/>
          <w:color w:val="auto"/>
          <w:spacing w:val="-3"/>
          <w:sz w:val="24"/>
          <w:szCs w:val="24"/>
          <w:highlight w:val="none"/>
        </w:rPr>
        <w:t>3</w:t>
      </w:r>
      <w:r>
        <w:rPr>
          <w:rFonts w:hint="default" w:ascii="Times New Roman" w:hAnsi="Times New Roman" w:eastAsia="宋体" w:cs="Times New Roman"/>
          <w:color w:val="auto"/>
          <w:spacing w:val="-3"/>
          <w:sz w:val="24"/>
          <w:szCs w:val="24"/>
          <w:highlight w:val="none"/>
        </w:rPr>
        <w:t>倍、</w:t>
      </w:r>
      <w:r>
        <w:rPr>
          <w:rFonts w:hint="default" w:ascii="Times New Roman" w:hAnsi="Times New Roman" w:eastAsia="Times New Roman" w:cs="Times New Roman"/>
          <w:color w:val="auto"/>
          <w:spacing w:val="-3"/>
          <w:sz w:val="24"/>
          <w:szCs w:val="24"/>
          <w:highlight w:val="none"/>
        </w:rPr>
        <w:t>6</w:t>
      </w:r>
      <w:r>
        <w:rPr>
          <w:rFonts w:hint="default" w:ascii="Times New Roman" w:hAnsi="Times New Roman" w:eastAsia="宋体" w:cs="Times New Roman"/>
          <w:color w:val="auto"/>
          <w:spacing w:val="-3"/>
          <w:sz w:val="24"/>
          <w:szCs w:val="24"/>
          <w:highlight w:val="none"/>
        </w:rPr>
        <w:t>倍折算为</w:t>
      </w:r>
      <w:r>
        <w:rPr>
          <w:rFonts w:hint="default" w:ascii="Times New Roman" w:hAnsi="Times New Roman" w:eastAsia="Times New Roman" w:cs="Times New Roman"/>
          <w:color w:val="auto"/>
          <w:spacing w:val="-3"/>
          <w:sz w:val="24"/>
          <w:szCs w:val="24"/>
          <w:highlight w:val="none"/>
        </w:rPr>
        <w:t>1h</w:t>
      </w:r>
      <w:r>
        <w:rPr>
          <w:rFonts w:hint="default" w:ascii="Times New Roman" w:hAnsi="Times New Roman" w:eastAsia="宋体" w:cs="Times New Roman"/>
          <w:color w:val="auto"/>
          <w:spacing w:val="-3"/>
          <w:sz w:val="24"/>
          <w:szCs w:val="24"/>
          <w:highlight w:val="none"/>
        </w:rPr>
        <w:t>平均质量浓度限值</w:t>
      </w:r>
      <w:r>
        <w:rPr>
          <w:rFonts w:hint="default" w:ascii="Times New Roman" w:hAnsi="Times New Roman" w:eastAsia="宋体" w:cs="Times New Roman"/>
          <w:color w:val="auto"/>
          <w:spacing w:val="-3"/>
          <w:sz w:val="24"/>
          <w:szCs w:val="24"/>
          <w:highlight w:val="none"/>
          <w:lang w:eastAsia="zh-CN"/>
        </w:rPr>
        <w:t>。</w:t>
      </w:r>
    </w:p>
    <w:p w14:paraId="7E19B4DB">
      <w:pPr>
        <w:keepNext w:val="0"/>
        <w:keepLines w:val="0"/>
        <w:pageBreakBefore w:val="0"/>
        <w:widowControl/>
        <w:kinsoku/>
        <w:wordWrap w:val="0"/>
        <w:overflowPunct/>
        <w:topLinePunct/>
        <w:autoSpaceDE/>
        <w:autoSpaceDN/>
        <w:bidi w:val="0"/>
        <w:adjustRightInd w:val="0"/>
        <w:snapToGrid w:val="0"/>
        <w:spacing w:before="40" w:line="345" w:lineRule="auto"/>
        <w:ind w:left="132" w:right="105" w:firstLine="479"/>
        <w:jc w:val="both"/>
        <w:textAlignment w:val="baseline"/>
        <w:rPr>
          <w:rFonts w:hint="default" w:ascii="Times New Roman" w:hAnsi="Times New Roman" w:eastAsia="宋体" w:cs="Times New Roman"/>
          <w:b/>
          <w:bCs/>
          <w:color w:val="auto"/>
          <w:spacing w:val="-1"/>
          <w:sz w:val="24"/>
          <w:szCs w:val="24"/>
          <w:highlight w:val="none"/>
        </w:rPr>
      </w:pPr>
      <w:r>
        <w:rPr>
          <w:rFonts w:hint="default" w:ascii="Times New Roman" w:hAnsi="Times New Roman" w:eastAsia="宋体" w:cs="Times New Roman"/>
          <w:color w:val="auto"/>
          <w:spacing w:val="-5"/>
          <w:sz w:val="24"/>
          <w:szCs w:val="24"/>
          <w:highlight w:val="none"/>
        </w:rPr>
        <w:t>本项目主要大气污染物为牛舍、</w:t>
      </w:r>
      <w:r>
        <w:rPr>
          <w:rFonts w:hint="default" w:ascii="Times New Roman" w:hAnsi="Times New Roman" w:eastAsia="宋体" w:cs="Times New Roman"/>
          <w:color w:val="auto"/>
          <w:spacing w:val="-5"/>
          <w:sz w:val="24"/>
          <w:szCs w:val="24"/>
          <w:highlight w:val="none"/>
          <w:lang w:val="en-US" w:eastAsia="zh-CN"/>
        </w:rPr>
        <w:t>粪污储存间</w:t>
      </w:r>
      <w:r>
        <w:rPr>
          <w:rFonts w:hint="default" w:ascii="Times New Roman" w:hAnsi="Times New Roman" w:eastAsia="宋体" w:cs="Times New Roman"/>
          <w:color w:val="auto"/>
          <w:spacing w:val="-5"/>
          <w:sz w:val="24"/>
          <w:szCs w:val="24"/>
          <w:highlight w:val="none"/>
        </w:rPr>
        <w:t>产生的氨和</w:t>
      </w:r>
      <w:r>
        <w:rPr>
          <w:rFonts w:hint="default" w:ascii="Times New Roman" w:hAnsi="Times New Roman" w:eastAsia="宋体" w:cs="Times New Roman"/>
          <w:color w:val="auto"/>
          <w:spacing w:val="-6"/>
          <w:sz w:val="24"/>
          <w:szCs w:val="24"/>
          <w:highlight w:val="none"/>
        </w:rPr>
        <w:t>硫化氢</w:t>
      </w:r>
      <w:r>
        <w:rPr>
          <w:rFonts w:hint="eastAsia" w:ascii="Times New Roman" w:hAnsi="Times New Roman" w:eastAsia="宋体" w:cs="Times New Roman"/>
          <w:color w:val="auto"/>
          <w:spacing w:val="-6"/>
          <w:sz w:val="24"/>
          <w:szCs w:val="24"/>
          <w:highlight w:val="none"/>
          <w:lang w:val="en-US" w:eastAsia="zh-CN"/>
        </w:rPr>
        <w:t>等恶臭气体</w:t>
      </w:r>
      <w:r>
        <w:rPr>
          <w:rFonts w:hint="default" w:ascii="Times New Roman" w:hAnsi="Times New Roman" w:eastAsia="宋体" w:cs="Times New Roman"/>
          <w:color w:val="auto"/>
          <w:spacing w:val="-3"/>
          <w:sz w:val="24"/>
          <w:szCs w:val="24"/>
          <w:highlight w:val="none"/>
        </w:rPr>
        <w:t>。采用</w:t>
      </w:r>
      <w:r>
        <w:rPr>
          <w:rFonts w:hint="default" w:ascii="Times New Roman" w:hAnsi="Times New Roman" w:eastAsia="宋体" w:cs="Times New Roman"/>
          <w:color w:val="auto"/>
          <w:spacing w:val="-2"/>
          <w:sz w:val="24"/>
          <w:szCs w:val="24"/>
          <w:highlight w:val="none"/>
        </w:rPr>
        <w:t>《环境影响评价技术导则大气环境》（</w:t>
      </w:r>
      <w:r>
        <w:rPr>
          <w:rFonts w:hint="default" w:ascii="Times New Roman" w:hAnsi="Times New Roman" w:eastAsia="Times New Roman" w:cs="Times New Roman"/>
          <w:color w:val="auto"/>
          <w:spacing w:val="-2"/>
          <w:sz w:val="24"/>
          <w:szCs w:val="24"/>
          <w:highlight w:val="none"/>
        </w:rPr>
        <w:t>HJ2.2-2018</w:t>
      </w:r>
      <w:r>
        <w:rPr>
          <w:rFonts w:hint="default" w:ascii="Times New Roman" w:hAnsi="Times New Roman" w:eastAsia="宋体" w:cs="Times New Roman"/>
          <w:color w:val="auto"/>
          <w:spacing w:val="-2"/>
          <w:sz w:val="24"/>
          <w:szCs w:val="24"/>
          <w:highlight w:val="none"/>
        </w:rPr>
        <w:t>）附录</w:t>
      </w:r>
      <w:r>
        <w:rPr>
          <w:rFonts w:hint="default" w:ascii="Times New Roman" w:hAnsi="Times New Roman" w:eastAsia="Times New Roman" w:cs="Times New Roman"/>
          <w:color w:val="auto"/>
          <w:spacing w:val="-2"/>
          <w:sz w:val="24"/>
          <w:szCs w:val="24"/>
          <w:highlight w:val="none"/>
        </w:rPr>
        <w:t>A</w:t>
      </w:r>
      <w:r>
        <w:rPr>
          <w:rFonts w:hint="default" w:ascii="Times New Roman" w:hAnsi="Times New Roman" w:eastAsia="宋体" w:cs="Times New Roman"/>
          <w:color w:val="auto"/>
          <w:spacing w:val="-2"/>
          <w:sz w:val="24"/>
          <w:szCs w:val="24"/>
          <w:highlight w:val="none"/>
        </w:rPr>
        <w:t>推荐模型中估算模型进</w:t>
      </w:r>
      <w:r>
        <w:rPr>
          <w:rFonts w:hint="default" w:ascii="Times New Roman" w:hAnsi="Times New Roman" w:eastAsia="宋体" w:cs="Times New Roman"/>
          <w:color w:val="auto"/>
          <w:spacing w:val="-9"/>
          <w:sz w:val="24"/>
          <w:szCs w:val="24"/>
          <w:highlight w:val="none"/>
        </w:rPr>
        <w:t>行计算，估算模型参数见表</w:t>
      </w:r>
      <w:r>
        <w:rPr>
          <w:rFonts w:hint="default" w:ascii="Times New Roman" w:hAnsi="Times New Roman" w:eastAsia="Times New Roman" w:cs="Times New Roman"/>
          <w:color w:val="auto"/>
          <w:spacing w:val="-9"/>
          <w:sz w:val="24"/>
          <w:szCs w:val="24"/>
          <w:highlight w:val="none"/>
        </w:rPr>
        <w:t>2.5-</w:t>
      </w:r>
      <w:r>
        <w:rPr>
          <w:rFonts w:hint="default" w:ascii="Times New Roman" w:hAnsi="Times New Roman" w:eastAsia="宋体" w:cs="Times New Roman"/>
          <w:color w:val="auto"/>
          <w:spacing w:val="-9"/>
          <w:sz w:val="24"/>
          <w:szCs w:val="24"/>
          <w:highlight w:val="none"/>
          <w:lang w:val="en-US" w:eastAsia="zh-CN"/>
        </w:rPr>
        <w:t>4</w:t>
      </w:r>
      <w:r>
        <w:rPr>
          <w:rFonts w:hint="default" w:ascii="Times New Roman" w:hAnsi="Times New Roman" w:eastAsia="宋体" w:cs="Times New Roman"/>
          <w:color w:val="auto"/>
          <w:spacing w:val="-9"/>
          <w:sz w:val="24"/>
          <w:szCs w:val="24"/>
          <w:highlight w:val="none"/>
        </w:rPr>
        <w:t>，计算结果见表</w:t>
      </w:r>
      <w:r>
        <w:rPr>
          <w:rFonts w:hint="default" w:ascii="Times New Roman" w:hAnsi="Times New Roman" w:eastAsia="Times New Roman" w:cs="Times New Roman"/>
          <w:color w:val="auto"/>
          <w:spacing w:val="-9"/>
          <w:sz w:val="24"/>
          <w:szCs w:val="24"/>
          <w:highlight w:val="none"/>
        </w:rPr>
        <w:t>2.</w:t>
      </w:r>
      <w:r>
        <w:rPr>
          <w:rFonts w:hint="default" w:ascii="Times New Roman" w:hAnsi="Times New Roman" w:eastAsia="Times New Roman" w:cs="Times New Roman"/>
          <w:color w:val="auto"/>
          <w:spacing w:val="-10"/>
          <w:sz w:val="24"/>
          <w:szCs w:val="24"/>
          <w:highlight w:val="none"/>
        </w:rPr>
        <w:t>5-</w:t>
      </w:r>
      <w:r>
        <w:rPr>
          <w:rFonts w:hint="default" w:ascii="Times New Roman" w:hAnsi="Times New Roman" w:eastAsia="宋体" w:cs="Times New Roman"/>
          <w:color w:val="auto"/>
          <w:spacing w:val="-10"/>
          <w:sz w:val="24"/>
          <w:szCs w:val="24"/>
          <w:highlight w:val="none"/>
          <w:lang w:val="en-US" w:eastAsia="zh-CN"/>
        </w:rPr>
        <w:t>5</w:t>
      </w:r>
      <w:r>
        <w:rPr>
          <w:rFonts w:hint="default" w:ascii="Times New Roman" w:hAnsi="Times New Roman" w:eastAsia="宋体" w:cs="Times New Roman"/>
          <w:color w:val="auto"/>
          <w:spacing w:val="-10"/>
          <w:sz w:val="24"/>
          <w:szCs w:val="24"/>
          <w:highlight w:val="none"/>
        </w:rPr>
        <w:t>。</w:t>
      </w:r>
    </w:p>
    <w:p w14:paraId="62E7C558">
      <w:pPr>
        <w:keepNext w:val="0"/>
        <w:keepLines w:val="0"/>
        <w:pageBreakBefore w:val="0"/>
        <w:kinsoku/>
        <w:wordWrap w:val="0"/>
        <w:overflowPunct/>
        <w:topLinePunct/>
        <w:autoSpaceDE/>
        <w:autoSpaceDN/>
        <w:bidi w:val="0"/>
        <w:adjustRightInd w:val="0"/>
        <w:snapToGrid w:val="0"/>
        <w:spacing w:before="1" w:line="213" w:lineRule="auto"/>
        <w:ind w:left="289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2.5-3</w:t>
      </w:r>
      <w:r>
        <w:rPr>
          <w:rFonts w:hint="default" w:ascii="Times New Roman" w:hAnsi="Times New Roman" w:eastAsia="宋体" w:cs="Times New Roman"/>
          <w:b/>
          <w:bCs/>
          <w:color w:val="auto"/>
          <w:spacing w:val="-1"/>
          <w:sz w:val="24"/>
          <w:szCs w:val="24"/>
          <w:highlight w:val="none"/>
        </w:rPr>
        <w:t>评价因子和评价标准表</w:t>
      </w:r>
    </w:p>
    <w:tbl>
      <w:tblPr>
        <w:tblStyle w:val="34"/>
        <w:tblW w:w="8524"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Layout w:type="fixed"/>
        <w:tblCellMar>
          <w:top w:w="0" w:type="dxa"/>
          <w:left w:w="0" w:type="dxa"/>
          <w:bottom w:w="0" w:type="dxa"/>
          <w:right w:w="0" w:type="dxa"/>
        </w:tblCellMar>
      </w:tblPr>
      <w:tblGrid>
        <w:gridCol w:w="1243"/>
        <w:gridCol w:w="1133"/>
        <w:gridCol w:w="2127"/>
        <w:gridCol w:w="4021"/>
      </w:tblGrid>
      <w:tr w14:paraId="538A2978">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314" w:hRule="atLeast"/>
          <w:jc w:val="center"/>
        </w:trPr>
        <w:tc>
          <w:tcPr>
            <w:tcW w:w="1243" w:type="dxa"/>
            <w:vAlign w:val="center"/>
          </w:tcPr>
          <w:p w14:paraId="3245538D">
            <w:pPr>
              <w:pStyle w:val="35"/>
              <w:keepNext w:val="0"/>
              <w:keepLines w:val="0"/>
              <w:pageBreakBefore w:val="0"/>
              <w:kinsoku/>
              <w:wordWrap w:val="0"/>
              <w:overflowPunct/>
              <w:topLinePunct/>
              <w:autoSpaceDE/>
              <w:autoSpaceDN/>
              <w:bidi w:val="0"/>
              <w:adjustRightInd w:val="0"/>
              <w:snapToGrid w:val="0"/>
              <w:spacing w:before="57" w:line="217" w:lineRule="auto"/>
              <w:ind w:left="20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评价因子</w:t>
            </w:r>
          </w:p>
        </w:tc>
        <w:tc>
          <w:tcPr>
            <w:tcW w:w="1133" w:type="dxa"/>
            <w:vAlign w:val="center"/>
          </w:tcPr>
          <w:p w14:paraId="4C6945F5">
            <w:pPr>
              <w:pStyle w:val="35"/>
              <w:keepNext w:val="0"/>
              <w:keepLines w:val="0"/>
              <w:pageBreakBefore w:val="0"/>
              <w:kinsoku/>
              <w:wordWrap w:val="0"/>
              <w:overflowPunct/>
              <w:topLinePunct/>
              <w:autoSpaceDE/>
              <w:autoSpaceDN/>
              <w:bidi w:val="0"/>
              <w:adjustRightInd w:val="0"/>
              <w:snapToGrid w:val="0"/>
              <w:spacing w:before="57" w:line="217" w:lineRule="auto"/>
              <w:ind w:left="14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评价时段</w:t>
            </w:r>
          </w:p>
        </w:tc>
        <w:tc>
          <w:tcPr>
            <w:tcW w:w="2127" w:type="dxa"/>
            <w:vAlign w:val="center"/>
          </w:tcPr>
          <w:p w14:paraId="0626B068">
            <w:pPr>
              <w:pStyle w:val="35"/>
              <w:keepNext w:val="0"/>
              <w:keepLines w:val="0"/>
              <w:pageBreakBefore w:val="0"/>
              <w:kinsoku/>
              <w:wordWrap w:val="0"/>
              <w:overflowPunct/>
              <w:topLinePunct/>
              <w:autoSpaceDE/>
              <w:autoSpaceDN/>
              <w:bidi w:val="0"/>
              <w:adjustRightInd w:val="0"/>
              <w:snapToGrid w:val="0"/>
              <w:spacing w:before="41" w:line="227" w:lineRule="auto"/>
              <w:ind w:left="29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0"/>
                <w:highlight w:val="none"/>
              </w:rPr>
              <w:t>标准值(</w:t>
            </w:r>
            <w:r>
              <w:rPr>
                <w:rFonts w:hint="default" w:ascii="Times New Roman" w:hAnsi="Times New Roman" w:eastAsia="Times New Roman" w:cs="Times New Roman"/>
                <w:color w:val="auto"/>
                <w:spacing w:val="10"/>
                <w:highlight w:val="none"/>
              </w:rPr>
              <w:t>μg/m</w:t>
            </w:r>
            <w:r>
              <w:rPr>
                <w:rFonts w:hint="default" w:ascii="Times New Roman" w:hAnsi="Times New Roman" w:eastAsia="Times New Roman" w:cs="Times New Roman"/>
                <w:color w:val="auto"/>
                <w:spacing w:val="10"/>
                <w:position w:val="9"/>
                <w:sz w:val="13"/>
                <w:szCs w:val="13"/>
                <w:highlight w:val="none"/>
              </w:rPr>
              <w:t>3</w:t>
            </w:r>
            <w:r>
              <w:rPr>
                <w:rFonts w:hint="default" w:ascii="Times New Roman" w:hAnsi="Times New Roman" w:cs="Times New Roman"/>
                <w:color w:val="auto"/>
                <w:spacing w:val="10"/>
                <w:highlight w:val="none"/>
              </w:rPr>
              <w:t>）</w:t>
            </w:r>
          </w:p>
        </w:tc>
        <w:tc>
          <w:tcPr>
            <w:tcW w:w="4021" w:type="dxa"/>
            <w:vAlign w:val="center"/>
          </w:tcPr>
          <w:p w14:paraId="580378E7">
            <w:pPr>
              <w:pStyle w:val="35"/>
              <w:keepNext w:val="0"/>
              <w:keepLines w:val="0"/>
              <w:pageBreakBefore w:val="0"/>
              <w:kinsoku/>
              <w:wordWrap w:val="0"/>
              <w:overflowPunct/>
              <w:topLinePunct/>
              <w:autoSpaceDE/>
              <w:autoSpaceDN/>
              <w:bidi w:val="0"/>
              <w:adjustRightInd w:val="0"/>
              <w:snapToGrid w:val="0"/>
              <w:spacing w:before="57" w:line="217" w:lineRule="auto"/>
              <w:ind w:left="159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标准来源</w:t>
            </w:r>
          </w:p>
        </w:tc>
      </w:tr>
      <w:tr w14:paraId="618BFEBF">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309" w:hRule="atLeast"/>
          <w:jc w:val="center"/>
        </w:trPr>
        <w:tc>
          <w:tcPr>
            <w:tcW w:w="1243" w:type="dxa"/>
            <w:tcBorders>
              <w:bottom w:val="single" w:color="000000" w:sz="12" w:space="0"/>
            </w:tcBorders>
            <w:vAlign w:val="center"/>
          </w:tcPr>
          <w:p w14:paraId="5923FF4E">
            <w:pPr>
              <w:keepNext w:val="0"/>
              <w:keepLines w:val="0"/>
              <w:pageBreakBefore w:val="0"/>
              <w:kinsoku/>
              <w:wordWrap w:val="0"/>
              <w:overflowPunct/>
              <w:topLinePunct/>
              <w:autoSpaceDE/>
              <w:autoSpaceDN/>
              <w:bidi w:val="0"/>
              <w:adjustRightInd w:val="0"/>
              <w:snapToGrid w:val="0"/>
              <w:spacing w:before="99" w:line="196" w:lineRule="auto"/>
              <w:ind w:left="431"/>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NH</w:t>
            </w:r>
            <w:r>
              <w:rPr>
                <w:rFonts w:hint="default" w:ascii="Times New Roman" w:hAnsi="Times New Roman" w:eastAsia="Times New Roman" w:cs="Times New Roman"/>
                <w:color w:val="auto"/>
                <w:spacing w:val="8"/>
                <w:position w:val="-2"/>
                <w:sz w:val="13"/>
                <w:szCs w:val="13"/>
                <w:highlight w:val="none"/>
              </w:rPr>
              <w:t>3</w:t>
            </w:r>
          </w:p>
        </w:tc>
        <w:tc>
          <w:tcPr>
            <w:tcW w:w="1133" w:type="dxa"/>
            <w:vMerge w:val="restart"/>
            <w:tcBorders>
              <w:bottom w:val="single" w:color="000000" w:sz="12" w:space="0"/>
            </w:tcBorders>
            <w:vAlign w:val="center"/>
          </w:tcPr>
          <w:p w14:paraId="190B3C68">
            <w:pPr>
              <w:pStyle w:val="35"/>
              <w:keepNext w:val="0"/>
              <w:keepLines w:val="0"/>
              <w:pageBreakBefore w:val="0"/>
              <w:kinsoku/>
              <w:wordWrap w:val="0"/>
              <w:overflowPunct/>
              <w:topLinePunct/>
              <w:autoSpaceDE/>
              <w:autoSpaceDN/>
              <w:bidi w:val="0"/>
              <w:adjustRightInd w:val="0"/>
              <w:snapToGrid w:val="0"/>
              <w:spacing w:before="221"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运营期</w:t>
            </w:r>
          </w:p>
        </w:tc>
        <w:tc>
          <w:tcPr>
            <w:tcW w:w="2127" w:type="dxa"/>
            <w:tcBorders>
              <w:bottom w:val="single" w:color="000000" w:sz="12" w:space="0"/>
            </w:tcBorders>
            <w:vAlign w:val="center"/>
          </w:tcPr>
          <w:p w14:paraId="1FE2A6DD">
            <w:pPr>
              <w:pStyle w:val="35"/>
              <w:keepNext w:val="0"/>
              <w:keepLines w:val="0"/>
              <w:pageBreakBefore w:val="0"/>
              <w:kinsoku/>
              <w:wordWrap w:val="0"/>
              <w:overflowPunct/>
              <w:topLinePunct/>
              <w:autoSpaceDE/>
              <w:autoSpaceDN/>
              <w:bidi w:val="0"/>
              <w:adjustRightInd w:val="0"/>
              <w:snapToGrid w:val="0"/>
              <w:spacing w:before="60" w:line="210" w:lineRule="auto"/>
              <w:ind w:left="199"/>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3"/>
                <w:highlight w:val="none"/>
              </w:rPr>
              <w:t>200</w:t>
            </w:r>
            <w:r>
              <w:rPr>
                <w:rFonts w:hint="default" w:ascii="Times New Roman" w:hAnsi="Times New Roman" w:cs="Times New Roman"/>
                <w:color w:val="auto"/>
                <w:spacing w:val="-3"/>
                <w:highlight w:val="none"/>
              </w:rPr>
              <w:t>（</w:t>
            </w:r>
            <w:r>
              <w:rPr>
                <w:rFonts w:hint="default" w:ascii="Times New Roman" w:hAnsi="Times New Roman" w:eastAsia="Times New Roman" w:cs="Times New Roman"/>
                <w:color w:val="auto"/>
                <w:spacing w:val="-3"/>
                <w:highlight w:val="none"/>
              </w:rPr>
              <w:t>1</w:t>
            </w:r>
            <w:r>
              <w:rPr>
                <w:rFonts w:hint="default" w:ascii="Times New Roman" w:hAnsi="Times New Roman" w:cs="Times New Roman"/>
                <w:color w:val="auto"/>
                <w:spacing w:val="-3"/>
                <w:highlight w:val="none"/>
              </w:rPr>
              <w:t>小时平均）</w:t>
            </w:r>
          </w:p>
        </w:tc>
        <w:tc>
          <w:tcPr>
            <w:tcW w:w="4021" w:type="dxa"/>
            <w:vMerge w:val="restart"/>
            <w:tcBorders>
              <w:bottom w:val="single" w:color="000000" w:sz="12" w:space="0"/>
            </w:tcBorders>
            <w:vAlign w:val="center"/>
          </w:tcPr>
          <w:p w14:paraId="28D90B32">
            <w:pPr>
              <w:pStyle w:val="35"/>
              <w:keepNext w:val="0"/>
              <w:keepLines w:val="0"/>
              <w:pageBreakBefore w:val="0"/>
              <w:kinsoku/>
              <w:wordWrap w:val="0"/>
              <w:overflowPunct/>
              <w:topLinePunct/>
              <w:autoSpaceDE/>
              <w:autoSpaceDN/>
              <w:bidi w:val="0"/>
              <w:adjustRightInd w:val="0"/>
              <w:snapToGrid w:val="0"/>
              <w:spacing w:before="65" w:line="252" w:lineRule="auto"/>
              <w:ind w:left="350" w:right="284" w:hanging="6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《环境影响评价技术导则大气环境》（</w:t>
            </w:r>
            <w:r>
              <w:rPr>
                <w:rFonts w:hint="default" w:ascii="Times New Roman" w:hAnsi="Times New Roman" w:eastAsia="Times New Roman" w:cs="Times New Roman"/>
                <w:color w:val="auto"/>
                <w:spacing w:val="-1"/>
                <w:highlight w:val="none"/>
              </w:rPr>
              <w:t>HJ2.2-2018</w:t>
            </w:r>
            <w:r>
              <w:rPr>
                <w:rFonts w:hint="default" w:ascii="Times New Roman" w:hAnsi="Times New Roman" w:cs="Times New Roman"/>
                <w:color w:val="auto"/>
                <w:spacing w:val="-1"/>
                <w:highlight w:val="none"/>
              </w:rPr>
              <w:t>）附录</w:t>
            </w:r>
            <w:r>
              <w:rPr>
                <w:rFonts w:hint="default" w:ascii="Times New Roman" w:hAnsi="Times New Roman" w:eastAsia="Times New Roman" w:cs="Times New Roman"/>
                <w:color w:val="auto"/>
                <w:spacing w:val="-1"/>
                <w:highlight w:val="none"/>
              </w:rPr>
              <w:t>D</w:t>
            </w:r>
            <w:r>
              <w:rPr>
                <w:rFonts w:hint="default" w:ascii="Times New Roman" w:hAnsi="Times New Roman" w:cs="Times New Roman"/>
                <w:color w:val="auto"/>
                <w:spacing w:val="-1"/>
                <w:highlight w:val="none"/>
              </w:rPr>
              <w:t>相应标准要求</w:t>
            </w:r>
          </w:p>
        </w:tc>
      </w:tr>
      <w:tr w14:paraId="76435141">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335" w:hRule="atLeast"/>
          <w:jc w:val="center"/>
        </w:trPr>
        <w:tc>
          <w:tcPr>
            <w:tcW w:w="1243" w:type="dxa"/>
            <w:tcBorders>
              <w:top w:val="single" w:color="000000" w:sz="12" w:space="0"/>
              <w:tl2br w:val="nil"/>
              <w:tr2bl w:val="nil"/>
            </w:tcBorders>
            <w:vAlign w:val="center"/>
          </w:tcPr>
          <w:p w14:paraId="30BEF981">
            <w:pPr>
              <w:keepNext w:val="0"/>
              <w:keepLines w:val="0"/>
              <w:pageBreakBefore w:val="0"/>
              <w:kinsoku/>
              <w:wordWrap w:val="0"/>
              <w:overflowPunct/>
              <w:topLinePunct/>
              <w:autoSpaceDE/>
              <w:autoSpaceDN/>
              <w:bidi w:val="0"/>
              <w:adjustRightInd w:val="0"/>
              <w:snapToGrid w:val="0"/>
              <w:spacing w:before="103" w:line="217" w:lineRule="auto"/>
              <w:ind w:left="45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H</w:t>
            </w:r>
            <w:r>
              <w:rPr>
                <w:rFonts w:hint="default" w:ascii="Times New Roman" w:hAnsi="Times New Roman" w:eastAsia="Times New Roman" w:cs="Times New Roman"/>
                <w:color w:val="auto"/>
                <w:spacing w:val="1"/>
                <w:position w:val="-2"/>
                <w:sz w:val="13"/>
                <w:szCs w:val="13"/>
                <w:highlight w:val="none"/>
              </w:rPr>
              <w:t>2</w:t>
            </w:r>
            <w:r>
              <w:rPr>
                <w:rFonts w:hint="default" w:ascii="Times New Roman" w:hAnsi="Times New Roman" w:eastAsia="Times New Roman" w:cs="Times New Roman"/>
                <w:color w:val="auto"/>
                <w:spacing w:val="1"/>
                <w:sz w:val="21"/>
                <w:szCs w:val="21"/>
                <w:highlight w:val="none"/>
              </w:rPr>
              <w:t>S</w:t>
            </w:r>
          </w:p>
        </w:tc>
        <w:tc>
          <w:tcPr>
            <w:tcW w:w="1133" w:type="dxa"/>
            <w:vMerge w:val="continue"/>
            <w:tcBorders>
              <w:top w:val="single" w:color="000000" w:sz="12" w:space="0"/>
              <w:tl2br w:val="nil"/>
              <w:tr2bl w:val="nil"/>
            </w:tcBorders>
            <w:vAlign w:val="center"/>
          </w:tcPr>
          <w:p w14:paraId="0964D923">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127" w:type="dxa"/>
            <w:tcBorders>
              <w:top w:val="single" w:color="000000" w:sz="12" w:space="0"/>
              <w:tl2br w:val="nil"/>
              <w:tr2bl w:val="nil"/>
            </w:tcBorders>
            <w:vAlign w:val="center"/>
          </w:tcPr>
          <w:p w14:paraId="53507382">
            <w:pPr>
              <w:pStyle w:val="35"/>
              <w:keepNext w:val="0"/>
              <w:keepLines w:val="0"/>
              <w:pageBreakBefore w:val="0"/>
              <w:kinsoku/>
              <w:wordWrap w:val="0"/>
              <w:overflowPunct/>
              <w:topLinePunct/>
              <w:autoSpaceDE/>
              <w:autoSpaceDN/>
              <w:bidi w:val="0"/>
              <w:adjustRightInd w:val="0"/>
              <w:snapToGrid w:val="0"/>
              <w:spacing w:before="67" w:line="226" w:lineRule="auto"/>
              <w:ind w:left="272"/>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3"/>
                <w:highlight w:val="none"/>
              </w:rPr>
              <w:t>10</w:t>
            </w:r>
            <w:r>
              <w:rPr>
                <w:rFonts w:hint="default" w:ascii="Times New Roman" w:hAnsi="Times New Roman" w:cs="Times New Roman"/>
                <w:color w:val="auto"/>
                <w:spacing w:val="-3"/>
                <w:highlight w:val="none"/>
              </w:rPr>
              <w:t>（</w:t>
            </w:r>
            <w:r>
              <w:rPr>
                <w:rFonts w:hint="default" w:ascii="Times New Roman" w:hAnsi="Times New Roman" w:eastAsia="Times New Roman" w:cs="Times New Roman"/>
                <w:color w:val="auto"/>
                <w:spacing w:val="-3"/>
                <w:highlight w:val="none"/>
              </w:rPr>
              <w:t>1</w:t>
            </w:r>
            <w:r>
              <w:rPr>
                <w:rFonts w:hint="default" w:ascii="Times New Roman" w:hAnsi="Times New Roman" w:cs="Times New Roman"/>
                <w:color w:val="auto"/>
                <w:spacing w:val="-3"/>
                <w:highlight w:val="none"/>
              </w:rPr>
              <w:t>小时平均）</w:t>
            </w:r>
          </w:p>
        </w:tc>
        <w:tc>
          <w:tcPr>
            <w:tcW w:w="4021" w:type="dxa"/>
            <w:vMerge w:val="continue"/>
            <w:tcBorders>
              <w:top w:val="single" w:color="000000" w:sz="12" w:space="0"/>
              <w:tl2br w:val="nil"/>
              <w:tr2bl w:val="nil"/>
            </w:tcBorders>
            <w:vAlign w:val="center"/>
          </w:tcPr>
          <w:p w14:paraId="38C3F9D2">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r>
    </w:tbl>
    <w:p w14:paraId="3F5E0BFA">
      <w:pPr>
        <w:keepNext w:val="0"/>
        <w:keepLines w:val="0"/>
        <w:pageBreakBefore w:val="0"/>
        <w:kinsoku/>
        <w:wordWrap w:val="0"/>
        <w:overflowPunct/>
        <w:topLinePunct/>
        <w:autoSpaceDE/>
        <w:autoSpaceDN/>
        <w:bidi w:val="0"/>
        <w:adjustRightInd w:val="0"/>
        <w:snapToGrid w:val="0"/>
        <w:spacing w:before="34" w:line="214" w:lineRule="auto"/>
        <w:ind w:left="325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2.5-4</w:t>
      </w:r>
      <w:r>
        <w:rPr>
          <w:rFonts w:hint="default" w:ascii="Times New Roman" w:hAnsi="Times New Roman" w:eastAsia="宋体" w:cs="Times New Roman"/>
          <w:b/>
          <w:bCs/>
          <w:color w:val="auto"/>
          <w:spacing w:val="-1"/>
          <w:sz w:val="24"/>
          <w:szCs w:val="24"/>
          <w:highlight w:val="none"/>
        </w:rPr>
        <w:t>估算模型参数表</w:t>
      </w:r>
    </w:p>
    <w:tbl>
      <w:tblPr>
        <w:tblStyle w:val="34"/>
        <w:tblW w:w="8524"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2842"/>
        <w:gridCol w:w="2839"/>
        <w:gridCol w:w="2843"/>
      </w:tblGrid>
      <w:tr w14:paraId="0C715AA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681" w:type="dxa"/>
            <w:gridSpan w:val="2"/>
            <w:tcBorders>
              <w:tl2br w:val="nil"/>
              <w:tr2bl w:val="nil"/>
            </w:tcBorders>
            <w:vAlign w:val="center"/>
          </w:tcPr>
          <w:p w14:paraId="30E82DF5">
            <w:pPr>
              <w:pStyle w:val="35"/>
              <w:keepNext w:val="0"/>
              <w:keepLines w:val="0"/>
              <w:pageBreakBefore w:val="0"/>
              <w:kinsoku/>
              <w:wordWrap w:val="0"/>
              <w:overflowPunct/>
              <w:topLinePunct/>
              <w:autoSpaceDE/>
              <w:autoSpaceDN/>
              <w:bidi w:val="0"/>
              <w:adjustRightInd w:val="0"/>
              <w:snapToGrid w:val="0"/>
              <w:spacing w:before="54" w:line="221" w:lineRule="auto"/>
              <w:ind w:left="264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参数</w:t>
            </w:r>
          </w:p>
        </w:tc>
        <w:tc>
          <w:tcPr>
            <w:tcW w:w="2843" w:type="dxa"/>
            <w:tcBorders>
              <w:tl2br w:val="nil"/>
              <w:tr2bl w:val="nil"/>
            </w:tcBorders>
            <w:vAlign w:val="center"/>
          </w:tcPr>
          <w:p w14:paraId="2DBA2758">
            <w:pPr>
              <w:pStyle w:val="35"/>
              <w:keepNext w:val="0"/>
              <w:keepLines w:val="0"/>
              <w:pageBreakBefore w:val="0"/>
              <w:kinsoku/>
              <w:wordWrap w:val="0"/>
              <w:overflowPunct/>
              <w:topLinePunct/>
              <w:autoSpaceDE/>
              <w:autoSpaceDN/>
              <w:bidi w:val="0"/>
              <w:adjustRightInd w:val="0"/>
              <w:snapToGrid w:val="0"/>
              <w:spacing w:before="54" w:line="221" w:lineRule="auto"/>
              <w:ind w:left="121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取值</w:t>
            </w:r>
          </w:p>
        </w:tc>
      </w:tr>
      <w:tr w14:paraId="40EEC6E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842" w:type="dxa"/>
            <w:vMerge w:val="restart"/>
            <w:tcBorders>
              <w:tl2br w:val="nil"/>
              <w:tr2bl w:val="nil"/>
            </w:tcBorders>
            <w:vAlign w:val="center"/>
          </w:tcPr>
          <w:p w14:paraId="1316F994">
            <w:pPr>
              <w:pStyle w:val="35"/>
              <w:keepNext w:val="0"/>
              <w:keepLines w:val="0"/>
              <w:pageBreakBefore w:val="0"/>
              <w:kinsoku/>
              <w:wordWrap w:val="0"/>
              <w:overflowPunct/>
              <w:topLinePunct/>
              <w:autoSpaceDE/>
              <w:autoSpaceDN/>
              <w:bidi w:val="0"/>
              <w:adjustRightInd w:val="0"/>
              <w:snapToGrid w:val="0"/>
              <w:spacing w:before="215" w:line="234" w:lineRule="auto"/>
              <w:ind w:left="76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城市</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1"/>
                <w:highlight w:val="none"/>
              </w:rPr>
              <w:t>农村选项</w:t>
            </w:r>
          </w:p>
        </w:tc>
        <w:tc>
          <w:tcPr>
            <w:tcW w:w="2839" w:type="dxa"/>
            <w:tcBorders>
              <w:tl2br w:val="nil"/>
              <w:tr2bl w:val="nil"/>
            </w:tcBorders>
            <w:vAlign w:val="center"/>
          </w:tcPr>
          <w:p w14:paraId="09F7B595">
            <w:pPr>
              <w:pStyle w:val="35"/>
              <w:keepNext w:val="0"/>
              <w:keepLines w:val="0"/>
              <w:pageBreakBefore w:val="0"/>
              <w:kinsoku/>
              <w:wordWrap w:val="0"/>
              <w:overflowPunct/>
              <w:topLinePunct/>
              <w:autoSpaceDE/>
              <w:autoSpaceDN/>
              <w:bidi w:val="0"/>
              <w:adjustRightInd w:val="0"/>
              <w:snapToGrid w:val="0"/>
              <w:spacing w:before="55" w:line="218" w:lineRule="auto"/>
              <w:ind w:left="97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城市</w:t>
            </w:r>
            <w:r>
              <w:rPr>
                <w:rFonts w:hint="default" w:ascii="Times New Roman" w:hAnsi="Times New Roman" w:eastAsia="Times New Roman" w:cs="Times New Roman"/>
                <w:color w:val="auto"/>
                <w:spacing w:val="-2"/>
                <w:highlight w:val="none"/>
              </w:rPr>
              <w:t>/</w:t>
            </w:r>
            <w:r>
              <w:rPr>
                <w:rFonts w:hint="default" w:ascii="Times New Roman" w:hAnsi="Times New Roman" w:cs="Times New Roman"/>
                <w:color w:val="auto"/>
                <w:spacing w:val="-2"/>
                <w:highlight w:val="none"/>
              </w:rPr>
              <w:t>农村</w:t>
            </w:r>
          </w:p>
        </w:tc>
        <w:tc>
          <w:tcPr>
            <w:tcW w:w="2843" w:type="dxa"/>
            <w:tcBorders>
              <w:tl2br w:val="nil"/>
              <w:tr2bl w:val="nil"/>
            </w:tcBorders>
            <w:vAlign w:val="center"/>
          </w:tcPr>
          <w:p w14:paraId="39DB4AEE">
            <w:pPr>
              <w:pStyle w:val="35"/>
              <w:keepNext w:val="0"/>
              <w:keepLines w:val="0"/>
              <w:pageBreakBefore w:val="0"/>
              <w:kinsoku/>
              <w:wordWrap w:val="0"/>
              <w:overflowPunct/>
              <w:topLinePunct/>
              <w:autoSpaceDE/>
              <w:autoSpaceDN/>
              <w:bidi w:val="0"/>
              <w:adjustRightInd w:val="0"/>
              <w:snapToGrid w:val="0"/>
              <w:spacing w:before="55" w:line="218" w:lineRule="auto"/>
              <w:ind w:left="121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农村</w:t>
            </w:r>
          </w:p>
        </w:tc>
      </w:tr>
      <w:tr w14:paraId="1AD1B36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842" w:type="dxa"/>
            <w:vMerge w:val="continue"/>
            <w:tcBorders>
              <w:tl2br w:val="nil"/>
              <w:tr2bl w:val="nil"/>
            </w:tcBorders>
            <w:vAlign w:val="center"/>
          </w:tcPr>
          <w:p w14:paraId="27672601">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2839" w:type="dxa"/>
            <w:tcBorders>
              <w:tl2br w:val="nil"/>
              <w:tr2bl w:val="nil"/>
            </w:tcBorders>
            <w:vAlign w:val="center"/>
          </w:tcPr>
          <w:p w14:paraId="605F3023">
            <w:pPr>
              <w:pStyle w:val="35"/>
              <w:keepNext w:val="0"/>
              <w:keepLines w:val="0"/>
              <w:pageBreakBefore w:val="0"/>
              <w:kinsoku/>
              <w:wordWrap w:val="0"/>
              <w:overflowPunct/>
              <w:topLinePunct/>
              <w:autoSpaceDE/>
              <w:autoSpaceDN/>
              <w:bidi w:val="0"/>
              <w:adjustRightInd w:val="0"/>
              <w:snapToGrid w:val="0"/>
              <w:spacing w:before="58" w:line="216" w:lineRule="auto"/>
              <w:ind w:left="37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人口数（城市选项时）</w:t>
            </w:r>
          </w:p>
        </w:tc>
        <w:tc>
          <w:tcPr>
            <w:tcW w:w="2843" w:type="dxa"/>
            <w:tcBorders>
              <w:tl2br w:val="nil"/>
              <w:tr2bl w:val="nil"/>
            </w:tcBorders>
            <w:vAlign w:val="center"/>
          </w:tcPr>
          <w:p w14:paraId="720DEAFA">
            <w:pPr>
              <w:keepNext w:val="0"/>
              <w:keepLines w:val="0"/>
              <w:pageBreakBefore w:val="0"/>
              <w:kinsoku/>
              <w:wordWrap w:val="0"/>
              <w:overflowPunct/>
              <w:topLinePunct/>
              <w:autoSpaceDE/>
              <w:autoSpaceDN/>
              <w:bidi w:val="0"/>
              <w:adjustRightInd w:val="0"/>
              <w:snapToGrid w:val="0"/>
              <w:spacing w:before="90" w:line="212" w:lineRule="auto"/>
              <w:ind w:left="1391"/>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53490B7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681" w:type="dxa"/>
            <w:gridSpan w:val="2"/>
            <w:tcBorders>
              <w:tl2br w:val="nil"/>
              <w:tr2bl w:val="nil"/>
            </w:tcBorders>
            <w:vAlign w:val="center"/>
          </w:tcPr>
          <w:p w14:paraId="7688836F">
            <w:pPr>
              <w:pStyle w:val="35"/>
              <w:keepNext w:val="0"/>
              <w:keepLines w:val="0"/>
              <w:pageBreakBefore w:val="0"/>
              <w:kinsoku/>
              <w:wordWrap w:val="0"/>
              <w:overflowPunct/>
              <w:topLinePunct/>
              <w:autoSpaceDE/>
              <w:autoSpaceDN/>
              <w:bidi w:val="0"/>
              <w:adjustRightInd w:val="0"/>
              <w:snapToGrid w:val="0"/>
              <w:spacing w:before="63" w:line="213" w:lineRule="auto"/>
              <w:ind w:left="208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最高环境温度</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1"/>
                <w:highlight w:val="none"/>
              </w:rPr>
              <w:t>℃</w:t>
            </w:r>
          </w:p>
        </w:tc>
        <w:tc>
          <w:tcPr>
            <w:tcW w:w="2843" w:type="dxa"/>
            <w:tcBorders>
              <w:tl2br w:val="nil"/>
              <w:tr2bl w:val="nil"/>
            </w:tcBorders>
            <w:vAlign w:val="center"/>
          </w:tcPr>
          <w:p w14:paraId="30C184DC">
            <w:pPr>
              <w:keepNext w:val="0"/>
              <w:keepLines w:val="0"/>
              <w:pageBreakBefore w:val="0"/>
              <w:kinsoku/>
              <w:wordWrap w:val="0"/>
              <w:overflowPunct/>
              <w:topLinePunct/>
              <w:autoSpaceDE/>
              <w:autoSpaceDN/>
              <w:bidi w:val="0"/>
              <w:adjustRightInd w:val="0"/>
              <w:snapToGrid w:val="0"/>
              <w:spacing w:before="95" w:line="209" w:lineRule="auto"/>
              <w:ind w:left="1243"/>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36.7</w:t>
            </w:r>
          </w:p>
        </w:tc>
      </w:tr>
      <w:tr w14:paraId="327FCA8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681" w:type="dxa"/>
            <w:gridSpan w:val="2"/>
            <w:tcBorders>
              <w:tl2br w:val="nil"/>
              <w:tr2bl w:val="nil"/>
            </w:tcBorders>
            <w:vAlign w:val="center"/>
          </w:tcPr>
          <w:p w14:paraId="0CE6983F">
            <w:pPr>
              <w:pStyle w:val="35"/>
              <w:keepNext w:val="0"/>
              <w:keepLines w:val="0"/>
              <w:pageBreakBefore w:val="0"/>
              <w:kinsoku/>
              <w:wordWrap w:val="0"/>
              <w:overflowPunct/>
              <w:topLinePunct/>
              <w:autoSpaceDE/>
              <w:autoSpaceDN/>
              <w:bidi w:val="0"/>
              <w:adjustRightInd w:val="0"/>
              <w:snapToGrid w:val="0"/>
              <w:spacing w:before="64" w:line="210" w:lineRule="auto"/>
              <w:ind w:left="208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最低环境温度</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1"/>
                <w:highlight w:val="none"/>
              </w:rPr>
              <w:t>℃</w:t>
            </w:r>
          </w:p>
        </w:tc>
        <w:tc>
          <w:tcPr>
            <w:tcW w:w="2843" w:type="dxa"/>
            <w:tcBorders>
              <w:tl2br w:val="nil"/>
              <w:tr2bl w:val="nil"/>
            </w:tcBorders>
            <w:vAlign w:val="center"/>
          </w:tcPr>
          <w:p w14:paraId="27F20665">
            <w:pPr>
              <w:keepNext w:val="0"/>
              <w:keepLines w:val="0"/>
              <w:pageBreakBefore w:val="0"/>
              <w:kinsoku/>
              <w:wordWrap w:val="0"/>
              <w:overflowPunct/>
              <w:topLinePunct/>
              <w:autoSpaceDE/>
              <w:autoSpaceDN/>
              <w:bidi w:val="0"/>
              <w:adjustRightInd w:val="0"/>
              <w:snapToGrid w:val="0"/>
              <w:spacing w:before="96" w:line="205" w:lineRule="auto"/>
              <w:ind w:left="120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-37.7</w:t>
            </w:r>
          </w:p>
        </w:tc>
      </w:tr>
      <w:tr w14:paraId="4D9DD68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681" w:type="dxa"/>
            <w:gridSpan w:val="2"/>
            <w:tcBorders>
              <w:tl2br w:val="nil"/>
              <w:tr2bl w:val="nil"/>
            </w:tcBorders>
            <w:vAlign w:val="center"/>
          </w:tcPr>
          <w:p w14:paraId="4F24F88D">
            <w:pPr>
              <w:pStyle w:val="35"/>
              <w:keepNext w:val="0"/>
              <w:keepLines w:val="0"/>
              <w:pageBreakBefore w:val="0"/>
              <w:kinsoku/>
              <w:wordWrap w:val="0"/>
              <w:overflowPunct/>
              <w:topLinePunct/>
              <w:autoSpaceDE/>
              <w:autoSpaceDN/>
              <w:bidi w:val="0"/>
              <w:adjustRightInd w:val="0"/>
              <w:snapToGrid w:val="0"/>
              <w:spacing w:before="67" w:line="208" w:lineRule="auto"/>
              <w:ind w:left="222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土地利用类型</w:t>
            </w:r>
          </w:p>
        </w:tc>
        <w:tc>
          <w:tcPr>
            <w:tcW w:w="2843" w:type="dxa"/>
            <w:tcBorders>
              <w:tl2br w:val="nil"/>
              <w:tr2bl w:val="nil"/>
            </w:tcBorders>
            <w:vAlign w:val="center"/>
          </w:tcPr>
          <w:p w14:paraId="0322F31B">
            <w:pPr>
              <w:pStyle w:val="35"/>
              <w:keepNext w:val="0"/>
              <w:keepLines w:val="0"/>
              <w:pageBreakBefore w:val="0"/>
              <w:kinsoku/>
              <w:wordWrap w:val="0"/>
              <w:overflowPunct/>
              <w:topLinePunct/>
              <w:autoSpaceDE/>
              <w:autoSpaceDN/>
              <w:bidi w:val="0"/>
              <w:adjustRightInd w:val="0"/>
              <w:snapToGrid w:val="0"/>
              <w:spacing w:before="67" w:line="208"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农田</w:t>
            </w:r>
          </w:p>
        </w:tc>
      </w:tr>
      <w:tr w14:paraId="0504102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681" w:type="dxa"/>
            <w:gridSpan w:val="2"/>
            <w:tcBorders>
              <w:tl2br w:val="nil"/>
              <w:tr2bl w:val="nil"/>
            </w:tcBorders>
            <w:vAlign w:val="center"/>
          </w:tcPr>
          <w:p w14:paraId="5EDD0361">
            <w:pPr>
              <w:pStyle w:val="35"/>
              <w:keepNext w:val="0"/>
              <w:keepLines w:val="0"/>
              <w:pageBreakBefore w:val="0"/>
              <w:kinsoku/>
              <w:wordWrap w:val="0"/>
              <w:overflowPunct/>
              <w:topLinePunct/>
              <w:autoSpaceDE/>
              <w:autoSpaceDN/>
              <w:bidi w:val="0"/>
              <w:adjustRightInd w:val="0"/>
              <w:snapToGrid w:val="0"/>
              <w:spacing w:before="69" w:line="205" w:lineRule="auto"/>
              <w:ind w:left="223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区域湿度条件</w:t>
            </w:r>
          </w:p>
        </w:tc>
        <w:tc>
          <w:tcPr>
            <w:tcW w:w="2843" w:type="dxa"/>
            <w:tcBorders>
              <w:tl2br w:val="nil"/>
              <w:tr2bl w:val="nil"/>
            </w:tcBorders>
            <w:vAlign w:val="center"/>
          </w:tcPr>
          <w:p w14:paraId="5B1CED0F">
            <w:pPr>
              <w:pStyle w:val="35"/>
              <w:keepNext w:val="0"/>
              <w:keepLines w:val="0"/>
              <w:pageBreakBefore w:val="0"/>
              <w:kinsoku/>
              <w:wordWrap w:val="0"/>
              <w:overflowPunct/>
              <w:topLinePunct/>
              <w:autoSpaceDE/>
              <w:autoSpaceDN/>
              <w:bidi w:val="0"/>
              <w:adjustRightInd w:val="0"/>
              <w:snapToGrid w:val="0"/>
              <w:spacing w:before="69" w:line="205" w:lineRule="auto"/>
              <w:jc w:val="center"/>
              <w:textAlignment w:val="baseline"/>
              <w:rPr>
                <w:rFonts w:hint="default" w:ascii="Times New Roman" w:hAnsi="Times New Roman" w:eastAsia="宋体" w:cs="Times New Roman"/>
                <w:color w:val="auto"/>
                <w:highlight w:val="none"/>
                <w:lang w:eastAsia="zh-CN"/>
              </w:rPr>
            </w:pPr>
            <w:r>
              <w:rPr>
                <w:rFonts w:hint="default" w:ascii="Times New Roman" w:hAnsi="Times New Roman" w:cs="Times New Roman"/>
                <w:color w:val="FF0000"/>
                <w:spacing w:val="-7"/>
                <w:highlight w:val="none"/>
                <w:lang w:val="en-US" w:eastAsia="zh-CN"/>
              </w:rPr>
              <w:t>潮湿</w:t>
            </w:r>
          </w:p>
        </w:tc>
      </w:tr>
      <w:tr w14:paraId="68881CC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842" w:type="dxa"/>
            <w:vMerge w:val="restart"/>
            <w:tcBorders>
              <w:tl2br w:val="nil"/>
              <w:tr2bl w:val="nil"/>
            </w:tcBorders>
            <w:vAlign w:val="center"/>
          </w:tcPr>
          <w:p w14:paraId="3B1629E8">
            <w:pPr>
              <w:pStyle w:val="35"/>
              <w:keepNext w:val="0"/>
              <w:keepLines w:val="0"/>
              <w:pageBreakBefore w:val="0"/>
              <w:kinsoku/>
              <w:wordWrap w:val="0"/>
              <w:overflowPunct/>
              <w:topLinePunct/>
              <w:autoSpaceDE/>
              <w:autoSpaceDN/>
              <w:bidi w:val="0"/>
              <w:adjustRightInd w:val="0"/>
              <w:snapToGrid w:val="0"/>
              <w:spacing w:before="73" w:line="22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是否考虑地形</w:t>
            </w:r>
          </w:p>
        </w:tc>
        <w:tc>
          <w:tcPr>
            <w:tcW w:w="2839" w:type="dxa"/>
            <w:tcBorders>
              <w:tl2br w:val="nil"/>
              <w:tr2bl w:val="nil"/>
            </w:tcBorders>
            <w:vAlign w:val="center"/>
          </w:tcPr>
          <w:p w14:paraId="60F36E36">
            <w:pPr>
              <w:pStyle w:val="35"/>
              <w:keepNext w:val="0"/>
              <w:keepLines w:val="0"/>
              <w:pageBreakBefore w:val="0"/>
              <w:kinsoku/>
              <w:wordWrap w:val="0"/>
              <w:overflowPunct/>
              <w:topLinePunct/>
              <w:autoSpaceDE/>
              <w:autoSpaceDN/>
              <w:bidi w:val="0"/>
              <w:adjustRightInd w:val="0"/>
              <w:snapToGrid w:val="0"/>
              <w:spacing w:before="73" w:line="22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考虑地形</w:t>
            </w:r>
          </w:p>
        </w:tc>
        <w:tc>
          <w:tcPr>
            <w:tcW w:w="2843" w:type="dxa"/>
            <w:tcBorders>
              <w:tl2br w:val="nil"/>
              <w:tr2bl w:val="nil"/>
            </w:tcBorders>
            <w:vAlign w:val="center"/>
          </w:tcPr>
          <w:p w14:paraId="40223058">
            <w:pPr>
              <w:pStyle w:val="35"/>
              <w:keepNext w:val="0"/>
              <w:keepLines w:val="0"/>
              <w:pageBreakBefore w:val="0"/>
              <w:kinsoku/>
              <w:wordWrap w:val="0"/>
              <w:overflowPunct/>
              <w:topLinePunct/>
              <w:autoSpaceDE/>
              <w:autoSpaceDN/>
              <w:bidi w:val="0"/>
              <w:adjustRightInd w:val="0"/>
              <w:snapToGrid w:val="0"/>
              <w:spacing w:before="59" w:line="238" w:lineRule="auto"/>
              <w:ind w:left="1044"/>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6"/>
                <w:highlight w:val="none"/>
              </w:rPr>
              <w:t>√</w:t>
            </w:r>
            <w:r>
              <w:rPr>
                <w:rFonts w:hint="default" w:ascii="Times New Roman" w:hAnsi="Times New Roman" w:cs="Times New Roman"/>
                <w:color w:val="auto"/>
                <w:spacing w:val="-6"/>
                <w:highlight w:val="none"/>
              </w:rPr>
              <w:t>是</w:t>
            </w:r>
            <w:r>
              <w:rPr>
                <w:rFonts w:hint="default" w:ascii="Times New Roman" w:hAnsi="Times New Roman" w:eastAsia="Times New Roman" w:cs="Times New Roman"/>
                <w:color w:val="auto"/>
                <w:spacing w:val="-6"/>
                <w:highlight w:val="none"/>
              </w:rPr>
              <w:t>□</w:t>
            </w:r>
            <w:r>
              <w:rPr>
                <w:rFonts w:hint="default" w:ascii="Times New Roman" w:hAnsi="Times New Roman" w:cs="Times New Roman"/>
                <w:color w:val="auto"/>
                <w:spacing w:val="-6"/>
                <w:highlight w:val="none"/>
              </w:rPr>
              <w:t>否</w:t>
            </w:r>
          </w:p>
        </w:tc>
      </w:tr>
      <w:tr w14:paraId="63DD343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842" w:type="dxa"/>
            <w:vMerge w:val="continue"/>
            <w:tcBorders>
              <w:tl2br w:val="nil"/>
              <w:tr2bl w:val="nil"/>
            </w:tcBorders>
            <w:vAlign w:val="center"/>
          </w:tcPr>
          <w:p w14:paraId="5792A35F">
            <w:pPr>
              <w:pStyle w:val="35"/>
              <w:keepNext w:val="0"/>
              <w:keepLines w:val="0"/>
              <w:pageBreakBefore w:val="0"/>
              <w:kinsoku/>
              <w:wordWrap w:val="0"/>
              <w:overflowPunct/>
              <w:topLinePunct/>
              <w:autoSpaceDE/>
              <w:autoSpaceDN/>
              <w:bidi w:val="0"/>
              <w:adjustRightInd w:val="0"/>
              <w:snapToGrid w:val="0"/>
              <w:spacing w:before="73" w:line="220" w:lineRule="auto"/>
              <w:ind w:left="801"/>
              <w:jc w:val="center"/>
              <w:textAlignment w:val="baseline"/>
              <w:rPr>
                <w:rFonts w:hint="default" w:ascii="Times New Roman" w:hAnsi="Times New Roman" w:cs="Times New Roman"/>
                <w:color w:val="auto"/>
                <w:spacing w:val="-2"/>
                <w:highlight w:val="none"/>
              </w:rPr>
            </w:pPr>
          </w:p>
        </w:tc>
        <w:tc>
          <w:tcPr>
            <w:tcW w:w="2839" w:type="dxa"/>
            <w:tcBorders>
              <w:tl2br w:val="nil"/>
              <w:tr2bl w:val="nil"/>
            </w:tcBorders>
            <w:vAlign w:val="center"/>
          </w:tcPr>
          <w:p w14:paraId="0208AA87">
            <w:pPr>
              <w:pStyle w:val="35"/>
              <w:keepNext w:val="0"/>
              <w:keepLines w:val="0"/>
              <w:pageBreakBefore w:val="0"/>
              <w:kinsoku/>
              <w:wordWrap w:val="0"/>
              <w:overflowPunct/>
              <w:topLinePunct/>
              <w:autoSpaceDE/>
              <w:autoSpaceDN/>
              <w:bidi w:val="0"/>
              <w:adjustRightInd w:val="0"/>
              <w:snapToGrid w:val="0"/>
              <w:spacing w:before="73" w:line="220" w:lineRule="auto"/>
              <w:jc w:val="center"/>
              <w:textAlignment w:val="baseline"/>
              <w:rPr>
                <w:rFonts w:hint="default" w:ascii="Times New Roman" w:hAnsi="Times New Roman" w:cs="Times New Roman"/>
                <w:color w:val="auto"/>
                <w:spacing w:val="-2"/>
                <w:highlight w:val="none"/>
              </w:rPr>
            </w:pPr>
            <w:r>
              <w:rPr>
                <w:rFonts w:hint="default" w:ascii="Times New Roman" w:hAnsi="Times New Roman" w:cs="Times New Roman"/>
                <w:color w:val="auto"/>
                <w:spacing w:val="-1"/>
                <w:highlight w:val="none"/>
              </w:rPr>
              <w:t>地形数据分辨率</w:t>
            </w:r>
            <w:r>
              <w:rPr>
                <w:rFonts w:hint="default" w:ascii="Times New Roman" w:hAnsi="Times New Roman" w:eastAsia="Times New Roman" w:cs="Times New Roman"/>
                <w:color w:val="auto"/>
                <w:spacing w:val="-1"/>
                <w:highlight w:val="none"/>
              </w:rPr>
              <w:t>/m</w:t>
            </w:r>
          </w:p>
        </w:tc>
        <w:tc>
          <w:tcPr>
            <w:tcW w:w="2843" w:type="dxa"/>
            <w:tcBorders>
              <w:tl2br w:val="nil"/>
              <w:tr2bl w:val="nil"/>
            </w:tcBorders>
            <w:vAlign w:val="center"/>
          </w:tcPr>
          <w:p w14:paraId="2CE03641">
            <w:pPr>
              <w:pStyle w:val="35"/>
              <w:keepNext w:val="0"/>
              <w:keepLines w:val="0"/>
              <w:pageBreakBefore w:val="0"/>
              <w:kinsoku/>
              <w:wordWrap w:val="0"/>
              <w:overflowPunct/>
              <w:topLinePunct/>
              <w:autoSpaceDE/>
              <w:autoSpaceDN/>
              <w:bidi w:val="0"/>
              <w:adjustRightInd w:val="0"/>
              <w:snapToGrid w:val="0"/>
              <w:spacing w:before="59" w:line="238" w:lineRule="auto"/>
              <w:jc w:val="center"/>
              <w:textAlignment w:val="baseline"/>
              <w:rPr>
                <w:rFonts w:hint="default" w:ascii="Times New Roman" w:hAnsi="Times New Roman" w:eastAsia="Times New Roman" w:cs="Times New Roman"/>
                <w:color w:val="auto"/>
                <w:spacing w:val="-6"/>
                <w:highlight w:val="none"/>
              </w:rPr>
            </w:pPr>
            <w:r>
              <w:rPr>
                <w:rFonts w:hint="default" w:ascii="Times New Roman" w:hAnsi="Times New Roman" w:eastAsia="Times New Roman" w:cs="Times New Roman"/>
                <w:color w:val="auto"/>
                <w:sz w:val="21"/>
                <w:szCs w:val="21"/>
                <w:highlight w:val="none"/>
              </w:rPr>
              <w:t>/</w:t>
            </w:r>
          </w:p>
        </w:tc>
      </w:tr>
      <w:tr w14:paraId="1A0823E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842" w:type="dxa"/>
            <w:vMerge w:val="restart"/>
            <w:tcBorders>
              <w:tl2br w:val="nil"/>
              <w:tr2bl w:val="nil"/>
            </w:tcBorders>
            <w:vAlign w:val="center"/>
          </w:tcPr>
          <w:p w14:paraId="4DC0C4B2">
            <w:pPr>
              <w:pStyle w:val="35"/>
              <w:keepNext w:val="0"/>
              <w:keepLines w:val="0"/>
              <w:pageBreakBefore w:val="0"/>
              <w:kinsoku/>
              <w:wordWrap w:val="0"/>
              <w:overflowPunct/>
              <w:topLinePunct/>
              <w:autoSpaceDE/>
              <w:autoSpaceDN/>
              <w:bidi w:val="0"/>
              <w:adjustRightInd w:val="0"/>
              <w:snapToGrid w:val="0"/>
              <w:spacing w:before="73" w:line="220" w:lineRule="auto"/>
              <w:jc w:val="center"/>
              <w:textAlignment w:val="baseline"/>
              <w:rPr>
                <w:rFonts w:hint="default" w:ascii="Times New Roman" w:hAnsi="Times New Roman" w:cs="Times New Roman"/>
                <w:color w:val="auto"/>
                <w:spacing w:val="-2"/>
                <w:highlight w:val="none"/>
              </w:rPr>
            </w:pPr>
            <w:r>
              <w:rPr>
                <w:rFonts w:hint="default" w:ascii="Times New Roman" w:hAnsi="Times New Roman" w:cs="Times New Roman"/>
                <w:color w:val="auto"/>
                <w:spacing w:val="-1"/>
                <w:highlight w:val="none"/>
              </w:rPr>
              <w:t>是否考虑岸线熏烟</w:t>
            </w:r>
          </w:p>
        </w:tc>
        <w:tc>
          <w:tcPr>
            <w:tcW w:w="2839" w:type="dxa"/>
            <w:tcBorders>
              <w:tl2br w:val="nil"/>
              <w:tr2bl w:val="nil"/>
            </w:tcBorders>
            <w:vAlign w:val="center"/>
          </w:tcPr>
          <w:p w14:paraId="3BA99542">
            <w:pPr>
              <w:pStyle w:val="35"/>
              <w:keepNext w:val="0"/>
              <w:keepLines w:val="0"/>
              <w:pageBreakBefore w:val="0"/>
              <w:kinsoku/>
              <w:wordWrap w:val="0"/>
              <w:overflowPunct/>
              <w:topLinePunct/>
              <w:autoSpaceDE/>
              <w:autoSpaceDN/>
              <w:bidi w:val="0"/>
              <w:adjustRightInd w:val="0"/>
              <w:snapToGrid w:val="0"/>
              <w:spacing w:before="73" w:line="220" w:lineRule="auto"/>
              <w:jc w:val="center"/>
              <w:textAlignment w:val="baseline"/>
              <w:rPr>
                <w:rFonts w:hint="default" w:ascii="Times New Roman" w:hAnsi="Times New Roman" w:cs="Times New Roman"/>
                <w:color w:val="auto"/>
                <w:spacing w:val="-1"/>
                <w:highlight w:val="none"/>
              </w:rPr>
            </w:pPr>
            <w:r>
              <w:rPr>
                <w:rFonts w:hint="default" w:ascii="Times New Roman" w:hAnsi="Times New Roman" w:cs="Times New Roman"/>
                <w:color w:val="auto"/>
                <w:spacing w:val="-1"/>
                <w:highlight w:val="none"/>
              </w:rPr>
              <w:t>考虑岸线熏烟</w:t>
            </w:r>
          </w:p>
        </w:tc>
        <w:tc>
          <w:tcPr>
            <w:tcW w:w="2843" w:type="dxa"/>
            <w:tcBorders>
              <w:tl2br w:val="nil"/>
              <w:tr2bl w:val="nil"/>
            </w:tcBorders>
            <w:vAlign w:val="center"/>
          </w:tcPr>
          <w:p w14:paraId="38C3C792">
            <w:pPr>
              <w:pStyle w:val="35"/>
              <w:keepNext w:val="0"/>
              <w:keepLines w:val="0"/>
              <w:pageBreakBefore w:val="0"/>
              <w:kinsoku/>
              <w:wordWrap w:val="0"/>
              <w:overflowPunct/>
              <w:topLinePunct/>
              <w:autoSpaceDE/>
              <w:autoSpaceDN/>
              <w:bidi w:val="0"/>
              <w:adjustRightInd w:val="0"/>
              <w:snapToGrid w:val="0"/>
              <w:spacing w:before="59" w:line="238" w:lineRule="auto"/>
              <w:ind w:left="104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highlight w:val="none"/>
              </w:rPr>
              <w:t>□</w:t>
            </w:r>
            <w:r>
              <w:rPr>
                <w:rFonts w:hint="default" w:ascii="Times New Roman" w:hAnsi="Times New Roman" w:cs="Times New Roman"/>
                <w:color w:val="auto"/>
                <w:spacing w:val="-6"/>
                <w:highlight w:val="none"/>
              </w:rPr>
              <w:t>是</w:t>
            </w:r>
            <w:r>
              <w:rPr>
                <w:rFonts w:hint="default" w:ascii="Times New Roman" w:hAnsi="Times New Roman" w:eastAsia="Times New Roman" w:cs="Times New Roman"/>
                <w:color w:val="auto"/>
                <w:spacing w:val="-6"/>
                <w:highlight w:val="none"/>
              </w:rPr>
              <w:t>√</w:t>
            </w:r>
            <w:r>
              <w:rPr>
                <w:rFonts w:hint="default" w:ascii="Times New Roman" w:hAnsi="Times New Roman" w:cs="Times New Roman"/>
                <w:color w:val="auto"/>
                <w:spacing w:val="-6"/>
                <w:highlight w:val="none"/>
              </w:rPr>
              <w:t>否</w:t>
            </w:r>
          </w:p>
        </w:tc>
      </w:tr>
      <w:tr w14:paraId="395A470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842" w:type="dxa"/>
            <w:vMerge w:val="continue"/>
            <w:tcBorders>
              <w:tl2br w:val="nil"/>
              <w:tr2bl w:val="nil"/>
            </w:tcBorders>
            <w:vAlign w:val="center"/>
          </w:tcPr>
          <w:p w14:paraId="3A149E82">
            <w:pPr>
              <w:pStyle w:val="35"/>
              <w:keepNext w:val="0"/>
              <w:keepLines w:val="0"/>
              <w:pageBreakBefore w:val="0"/>
              <w:kinsoku/>
              <w:wordWrap w:val="0"/>
              <w:overflowPunct/>
              <w:topLinePunct/>
              <w:autoSpaceDE/>
              <w:autoSpaceDN/>
              <w:bidi w:val="0"/>
              <w:adjustRightInd w:val="0"/>
              <w:snapToGrid w:val="0"/>
              <w:spacing w:before="73" w:line="220" w:lineRule="auto"/>
              <w:ind w:left="801"/>
              <w:textAlignment w:val="baseline"/>
              <w:rPr>
                <w:rFonts w:hint="default" w:ascii="Times New Roman" w:hAnsi="Times New Roman" w:cs="Times New Roman"/>
                <w:color w:val="auto"/>
                <w:spacing w:val="-2"/>
                <w:highlight w:val="none"/>
              </w:rPr>
            </w:pPr>
          </w:p>
        </w:tc>
        <w:tc>
          <w:tcPr>
            <w:tcW w:w="2839" w:type="dxa"/>
            <w:tcBorders>
              <w:tl2br w:val="nil"/>
              <w:tr2bl w:val="nil"/>
            </w:tcBorders>
            <w:vAlign w:val="center"/>
          </w:tcPr>
          <w:p w14:paraId="5C82DB8B">
            <w:pPr>
              <w:pStyle w:val="35"/>
              <w:keepNext w:val="0"/>
              <w:keepLines w:val="0"/>
              <w:pageBreakBefore w:val="0"/>
              <w:kinsoku/>
              <w:wordWrap w:val="0"/>
              <w:overflowPunct/>
              <w:topLinePunct/>
              <w:autoSpaceDE/>
              <w:autoSpaceDN/>
              <w:bidi w:val="0"/>
              <w:adjustRightInd w:val="0"/>
              <w:snapToGrid w:val="0"/>
              <w:spacing w:before="73" w:line="220" w:lineRule="auto"/>
              <w:jc w:val="center"/>
              <w:textAlignment w:val="baseline"/>
              <w:rPr>
                <w:rFonts w:hint="default" w:ascii="Times New Roman" w:hAnsi="Times New Roman" w:cs="Times New Roman"/>
                <w:color w:val="auto"/>
                <w:spacing w:val="-1"/>
                <w:highlight w:val="none"/>
              </w:rPr>
            </w:pPr>
            <w:r>
              <w:rPr>
                <w:rFonts w:hint="default" w:ascii="Times New Roman" w:hAnsi="Times New Roman" w:cs="Times New Roman"/>
                <w:color w:val="auto"/>
                <w:spacing w:val="-1"/>
                <w:highlight w:val="none"/>
              </w:rPr>
              <w:t>岸线距离</w:t>
            </w:r>
            <w:r>
              <w:rPr>
                <w:rFonts w:hint="default" w:ascii="Times New Roman" w:hAnsi="Times New Roman" w:eastAsia="Times New Roman" w:cs="Times New Roman"/>
                <w:color w:val="auto"/>
                <w:spacing w:val="-1"/>
                <w:highlight w:val="none"/>
              </w:rPr>
              <w:t>/km</w:t>
            </w:r>
          </w:p>
        </w:tc>
        <w:tc>
          <w:tcPr>
            <w:tcW w:w="2843" w:type="dxa"/>
            <w:tcBorders>
              <w:tl2br w:val="nil"/>
              <w:tr2bl w:val="nil"/>
            </w:tcBorders>
            <w:vAlign w:val="center"/>
          </w:tcPr>
          <w:p w14:paraId="1D441D08">
            <w:pPr>
              <w:pStyle w:val="35"/>
              <w:keepNext w:val="0"/>
              <w:keepLines w:val="0"/>
              <w:pageBreakBefore w:val="0"/>
              <w:kinsoku/>
              <w:wordWrap w:val="0"/>
              <w:overflowPunct/>
              <w:topLinePunct/>
              <w:autoSpaceDE/>
              <w:autoSpaceDN/>
              <w:bidi w:val="0"/>
              <w:adjustRightInd w:val="0"/>
              <w:snapToGrid w:val="0"/>
              <w:spacing w:before="59" w:line="238"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r>
      <w:tr w14:paraId="19FADFD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842" w:type="dxa"/>
            <w:vMerge w:val="continue"/>
            <w:tcBorders>
              <w:tl2br w:val="nil"/>
              <w:tr2bl w:val="nil"/>
            </w:tcBorders>
            <w:vAlign w:val="center"/>
          </w:tcPr>
          <w:p w14:paraId="6CF82D7B">
            <w:pPr>
              <w:pStyle w:val="35"/>
              <w:keepNext w:val="0"/>
              <w:keepLines w:val="0"/>
              <w:pageBreakBefore w:val="0"/>
              <w:kinsoku/>
              <w:wordWrap w:val="0"/>
              <w:overflowPunct/>
              <w:topLinePunct/>
              <w:autoSpaceDE/>
              <w:autoSpaceDN/>
              <w:bidi w:val="0"/>
              <w:adjustRightInd w:val="0"/>
              <w:snapToGrid w:val="0"/>
              <w:spacing w:before="73" w:line="220" w:lineRule="auto"/>
              <w:ind w:left="801"/>
              <w:textAlignment w:val="baseline"/>
              <w:rPr>
                <w:rFonts w:hint="default" w:ascii="Times New Roman" w:hAnsi="Times New Roman" w:cs="Times New Roman"/>
                <w:color w:val="auto"/>
                <w:spacing w:val="-2"/>
                <w:highlight w:val="none"/>
              </w:rPr>
            </w:pPr>
          </w:p>
        </w:tc>
        <w:tc>
          <w:tcPr>
            <w:tcW w:w="2839" w:type="dxa"/>
            <w:tcBorders>
              <w:tl2br w:val="nil"/>
              <w:tr2bl w:val="nil"/>
            </w:tcBorders>
            <w:vAlign w:val="center"/>
          </w:tcPr>
          <w:p w14:paraId="6B915A68">
            <w:pPr>
              <w:pStyle w:val="35"/>
              <w:keepNext w:val="0"/>
              <w:keepLines w:val="0"/>
              <w:pageBreakBefore w:val="0"/>
              <w:kinsoku/>
              <w:wordWrap w:val="0"/>
              <w:overflowPunct/>
              <w:topLinePunct/>
              <w:autoSpaceDE/>
              <w:autoSpaceDN/>
              <w:bidi w:val="0"/>
              <w:adjustRightInd w:val="0"/>
              <w:snapToGrid w:val="0"/>
              <w:spacing w:before="73" w:line="220" w:lineRule="auto"/>
              <w:jc w:val="center"/>
              <w:textAlignment w:val="baseline"/>
              <w:rPr>
                <w:rFonts w:hint="default" w:ascii="Times New Roman" w:hAnsi="Times New Roman" w:cs="Times New Roman"/>
                <w:color w:val="auto"/>
                <w:spacing w:val="-1"/>
                <w:highlight w:val="none"/>
              </w:rPr>
            </w:pPr>
            <w:r>
              <w:rPr>
                <w:rFonts w:hint="default" w:ascii="Times New Roman" w:hAnsi="Times New Roman" w:cs="Times New Roman"/>
                <w:color w:val="auto"/>
                <w:spacing w:val="12"/>
                <w:highlight w:val="none"/>
              </w:rPr>
              <w:t>岸线方向</w:t>
            </w:r>
            <w:r>
              <w:rPr>
                <w:rFonts w:hint="default" w:ascii="Times New Roman" w:hAnsi="Times New Roman" w:eastAsia="Times New Roman" w:cs="Times New Roman"/>
                <w:color w:val="auto"/>
                <w:spacing w:val="12"/>
                <w:highlight w:val="none"/>
              </w:rPr>
              <w:t>/°</w:t>
            </w:r>
          </w:p>
        </w:tc>
        <w:tc>
          <w:tcPr>
            <w:tcW w:w="2843" w:type="dxa"/>
            <w:tcBorders>
              <w:tl2br w:val="nil"/>
              <w:tr2bl w:val="nil"/>
            </w:tcBorders>
            <w:vAlign w:val="center"/>
          </w:tcPr>
          <w:p w14:paraId="462CDFF6">
            <w:pPr>
              <w:pStyle w:val="35"/>
              <w:keepNext w:val="0"/>
              <w:keepLines w:val="0"/>
              <w:pageBreakBefore w:val="0"/>
              <w:kinsoku/>
              <w:wordWrap w:val="0"/>
              <w:overflowPunct/>
              <w:topLinePunct/>
              <w:autoSpaceDE/>
              <w:autoSpaceDN/>
              <w:bidi w:val="0"/>
              <w:adjustRightInd w:val="0"/>
              <w:snapToGrid w:val="0"/>
              <w:spacing w:before="59" w:line="238"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r>
    </w:tbl>
    <w:p w14:paraId="47CF938F">
      <w:pPr>
        <w:adjustRightInd w:val="0"/>
        <w:snapToGrid w:val="0"/>
        <w:spacing w:after="0" w:line="360" w:lineRule="auto"/>
        <w:ind w:firstLine="480" w:firstLineChars="200"/>
        <w:jc w:val="both"/>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估算模型参数选取如下：</w:t>
      </w:r>
    </w:p>
    <w:p w14:paraId="4EF7C89D">
      <w:pPr>
        <w:tabs>
          <w:tab w:val="left" w:pos="0"/>
        </w:tabs>
        <w:adjustRightInd w:val="0"/>
        <w:snapToGrid w:val="0"/>
        <w:spacing w:after="0" w:line="360" w:lineRule="auto"/>
        <w:ind w:firstLine="480" w:firstLineChars="200"/>
        <w:jc w:val="both"/>
        <w:rPr>
          <w:rStyle w:val="31"/>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①根据《环境影响评价技术导则  大气环境》(HJ2.2-2018)附录B的B.6.1城市/农村选项，“当项目周边3km半径范围内一半以上属于城市建成区或者规划区时选择城市，否则选择农村”。本项目周边3km半径范围内</w:t>
      </w:r>
      <w:r>
        <w:rPr>
          <w:rFonts w:hint="default" w:ascii="Times New Roman" w:hAnsi="Times New Roman" w:eastAsia="宋体" w:cs="Times New Roman"/>
          <w:color w:val="auto"/>
          <w:sz w:val="24"/>
          <w:szCs w:val="24"/>
          <w:highlight w:val="none"/>
          <w:lang w:val="en-US" w:eastAsia="zh-CN"/>
        </w:rPr>
        <w:t>全部</w:t>
      </w:r>
      <w:r>
        <w:rPr>
          <w:rFonts w:hint="default" w:ascii="Times New Roman" w:hAnsi="Times New Roman" w:cs="Times New Roman"/>
          <w:color w:val="auto"/>
          <w:sz w:val="24"/>
          <w:szCs w:val="24"/>
          <w:highlight w:val="none"/>
        </w:rPr>
        <w:t>属于农村，故选取农村选项。</w:t>
      </w:r>
    </w:p>
    <w:p w14:paraId="2038E2F9">
      <w:pPr>
        <w:widowControl w:val="0"/>
        <w:tabs>
          <w:tab w:val="left" w:pos="0"/>
        </w:tabs>
        <w:adjustRightInd w:val="0"/>
        <w:snapToGrid w:val="0"/>
        <w:spacing w:after="0" w:line="360" w:lineRule="auto"/>
        <w:ind w:firstLine="480" w:firstLineChars="200"/>
        <w:jc w:val="both"/>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②环境温度取值来源于</w:t>
      </w:r>
      <w:r>
        <w:rPr>
          <w:rFonts w:hint="default" w:ascii="Times New Roman" w:hAnsi="Times New Roman" w:cs="Times New Roman"/>
          <w:color w:val="auto"/>
          <w:sz w:val="24"/>
          <w:szCs w:val="24"/>
          <w:highlight w:val="none"/>
          <w:lang w:val="en-US" w:eastAsia="zh-CN"/>
        </w:rPr>
        <w:t>双鸭山市集贤县</w:t>
      </w:r>
      <w:r>
        <w:rPr>
          <w:rFonts w:hint="default" w:ascii="Times New Roman" w:hAnsi="Times New Roman" w:cs="Times New Roman"/>
          <w:color w:val="auto"/>
          <w:sz w:val="24"/>
          <w:szCs w:val="24"/>
          <w:highlight w:val="none"/>
        </w:rPr>
        <w:t>二十年气象数据统计。</w:t>
      </w:r>
    </w:p>
    <w:p w14:paraId="062FFAA1">
      <w:pPr>
        <w:widowControl w:val="0"/>
        <w:tabs>
          <w:tab w:val="left" w:pos="0"/>
        </w:tabs>
        <w:adjustRightInd w:val="0"/>
        <w:snapToGrid w:val="0"/>
        <w:spacing w:after="0" w:line="360" w:lineRule="auto"/>
        <w:ind w:firstLine="480" w:firstLineChars="200"/>
        <w:jc w:val="both"/>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③拟建项目周边3km范围内占地面积最大的为</w:t>
      </w:r>
      <w:r>
        <w:rPr>
          <w:rFonts w:hint="default" w:ascii="Times New Roman" w:hAnsi="Times New Roman" w:cs="Times New Roman"/>
          <w:color w:val="auto"/>
          <w:sz w:val="24"/>
          <w:szCs w:val="24"/>
          <w:highlight w:val="none"/>
          <w:lang w:val="en-US" w:eastAsia="zh-CN"/>
        </w:rPr>
        <w:t>农田</w:t>
      </w:r>
      <w:r>
        <w:rPr>
          <w:rFonts w:hint="default" w:ascii="Times New Roman" w:hAnsi="Times New Roman" w:cs="Times New Roman"/>
          <w:color w:val="auto"/>
          <w:sz w:val="24"/>
          <w:szCs w:val="24"/>
          <w:highlight w:val="none"/>
        </w:rPr>
        <w:t>，本次评价的土地利用类型选取</w:t>
      </w:r>
      <w:r>
        <w:rPr>
          <w:rFonts w:hint="default" w:ascii="Times New Roman" w:hAnsi="Times New Roman" w:cs="Times New Roman"/>
          <w:color w:val="auto"/>
          <w:sz w:val="24"/>
          <w:szCs w:val="24"/>
          <w:highlight w:val="none"/>
          <w:lang w:val="en-US" w:eastAsia="zh-CN"/>
        </w:rPr>
        <w:t>农田</w:t>
      </w:r>
      <w:r>
        <w:rPr>
          <w:rFonts w:hint="default" w:ascii="Times New Roman" w:hAnsi="Times New Roman" w:cs="Times New Roman"/>
          <w:color w:val="auto"/>
          <w:sz w:val="24"/>
          <w:szCs w:val="24"/>
          <w:highlight w:val="none"/>
        </w:rPr>
        <w:t>。</w:t>
      </w:r>
    </w:p>
    <w:p w14:paraId="2D3F3B5F">
      <w:pPr>
        <w:widowControl w:val="0"/>
        <w:spacing w:after="0" w:line="360" w:lineRule="auto"/>
        <w:ind w:firstLine="480" w:firstLineChars="200"/>
        <w:jc w:val="both"/>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fldChar w:fldCharType="begin"/>
      </w:r>
      <w:r>
        <w:rPr>
          <w:rFonts w:hint="default" w:ascii="Times New Roman" w:hAnsi="Times New Roman" w:cs="Times New Roman"/>
          <w:color w:val="auto"/>
          <w:sz w:val="24"/>
          <w:szCs w:val="24"/>
          <w:highlight w:val="none"/>
        </w:rPr>
        <w:instrText xml:space="preserve"> = 4 \* GB3 \* MERGEFORMAT </w:instrText>
      </w:r>
      <w:r>
        <w:rPr>
          <w:rFonts w:hint="default" w:ascii="Times New Roman" w:hAnsi="Times New Roman" w:cs="Times New Roman"/>
          <w:color w:val="auto"/>
          <w:sz w:val="24"/>
          <w:szCs w:val="24"/>
          <w:highlight w:val="none"/>
        </w:rPr>
        <w:fldChar w:fldCharType="separate"/>
      </w:r>
      <w:r>
        <w:rPr>
          <w:rFonts w:hint="default" w:ascii="Times New Roman" w:hAnsi="Times New Roman" w:cs="Times New Roman"/>
          <w:color w:val="auto"/>
          <w:highlight w:val="none"/>
        </w:rPr>
        <w:t>④</w:t>
      </w:r>
      <w:r>
        <w:rPr>
          <w:rFonts w:hint="default" w:ascii="Times New Roman" w:hAnsi="Times New Roman" w:cs="Times New Roman"/>
          <w:color w:val="auto"/>
          <w:sz w:val="24"/>
          <w:szCs w:val="24"/>
          <w:highlight w:val="none"/>
        </w:rPr>
        <w:fldChar w:fldCharType="end"/>
      </w:r>
      <w:r>
        <w:rPr>
          <w:rFonts w:hint="default" w:ascii="Times New Roman" w:hAnsi="Times New Roman" w:cs="Times New Roman"/>
          <w:color w:val="auto"/>
          <w:sz w:val="24"/>
          <w:szCs w:val="24"/>
          <w:highlight w:val="none"/>
        </w:rPr>
        <w:t>根据中国干湿度分布图判断，项目地区属</w:t>
      </w:r>
      <w:r>
        <w:rPr>
          <w:rFonts w:hint="default" w:ascii="Times New Roman" w:hAnsi="Times New Roman" w:cs="Times New Roman"/>
          <w:color w:val="FF0000"/>
          <w:sz w:val="24"/>
          <w:szCs w:val="24"/>
          <w:highlight w:val="none"/>
        </w:rPr>
        <w:t>于</w:t>
      </w:r>
      <w:r>
        <w:rPr>
          <w:rFonts w:hint="default" w:ascii="Times New Roman" w:hAnsi="Times New Roman" w:eastAsia="宋体" w:cs="Times New Roman"/>
          <w:color w:val="FF0000"/>
          <w:sz w:val="24"/>
          <w:szCs w:val="24"/>
          <w:highlight w:val="none"/>
          <w:lang w:val="en-US" w:eastAsia="zh-CN"/>
        </w:rPr>
        <w:t>潮湿</w:t>
      </w:r>
      <w:r>
        <w:rPr>
          <w:rFonts w:hint="default" w:ascii="Times New Roman" w:hAnsi="Times New Roman" w:cs="Times New Roman"/>
          <w:color w:val="FF0000"/>
          <w:sz w:val="24"/>
          <w:szCs w:val="24"/>
          <w:highlight w:val="none"/>
        </w:rPr>
        <w:t>气候</w:t>
      </w:r>
      <w:r>
        <w:rPr>
          <w:rFonts w:hint="default" w:ascii="Times New Roman" w:hAnsi="Times New Roman" w:cs="Times New Roman"/>
          <w:color w:val="auto"/>
          <w:sz w:val="24"/>
          <w:szCs w:val="24"/>
          <w:highlight w:val="none"/>
        </w:rPr>
        <w:t>。</w:t>
      </w:r>
    </w:p>
    <w:p w14:paraId="7D47E4AA">
      <w:pPr>
        <w:widowControl w:val="0"/>
        <w:spacing w:after="0" w:line="360" w:lineRule="auto"/>
        <w:ind w:firstLine="480" w:firstLineChars="200"/>
        <w:jc w:val="both"/>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fldChar w:fldCharType="begin"/>
      </w:r>
      <w:r>
        <w:rPr>
          <w:rFonts w:hint="default" w:ascii="Times New Roman" w:hAnsi="Times New Roman" w:cs="Times New Roman"/>
          <w:color w:val="auto"/>
          <w:sz w:val="24"/>
          <w:szCs w:val="24"/>
          <w:highlight w:val="none"/>
        </w:rPr>
        <w:instrText xml:space="preserve"> = 5 \* GB3 \* MERGEFORMAT </w:instrText>
      </w:r>
      <w:r>
        <w:rPr>
          <w:rFonts w:hint="default" w:ascii="Times New Roman" w:hAnsi="Times New Roman" w:cs="Times New Roman"/>
          <w:color w:val="auto"/>
          <w:sz w:val="24"/>
          <w:szCs w:val="24"/>
          <w:highlight w:val="none"/>
        </w:rPr>
        <w:fldChar w:fldCharType="separate"/>
      </w:r>
      <w:r>
        <w:rPr>
          <w:rFonts w:hint="default" w:ascii="Times New Roman" w:hAnsi="Times New Roman" w:cs="Times New Roman"/>
          <w:color w:val="auto"/>
          <w:highlight w:val="none"/>
        </w:rPr>
        <w:t>⑤</w:t>
      </w:r>
      <w:r>
        <w:rPr>
          <w:rFonts w:hint="default" w:ascii="Times New Roman" w:hAnsi="Times New Roman" w:cs="Times New Roman"/>
          <w:color w:val="auto"/>
          <w:sz w:val="24"/>
          <w:szCs w:val="24"/>
          <w:highlight w:val="none"/>
        </w:rPr>
        <w:fldChar w:fldCharType="end"/>
      </w:r>
      <w:r>
        <w:rPr>
          <w:rFonts w:hint="default" w:ascii="Times New Roman" w:hAnsi="Times New Roman" w:cs="Times New Roman"/>
          <w:color w:val="auto"/>
          <w:sz w:val="24"/>
          <w:szCs w:val="24"/>
          <w:highlight w:val="none"/>
        </w:rPr>
        <w:t>根据EIA2018大气预测软件的DEM地形文件，地形数据分辨率90m。</w:t>
      </w:r>
    </w:p>
    <w:p w14:paraId="75672D23">
      <w:pPr>
        <w:pStyle w:val="24"/>
        <w:spacing w:line="360" w:lineRule="auto"/>
        <w:ind w:left="0" w:leftChars="0" w:firstLine="0" w:firstLineChars="0"/>
        <w:jc w:val="center"/>
        <w:rPr>
          <w:rFonts w:hint="default" w:ascii="Times New Roman" w:hAnsi="Times New Roman" w:eastAsia="宋体" w:cs="Times New Roman"/>
          <w:b/>
          <w:iCs/>
          <w:color w:val="auto"/>
          <w:sz w:val="24"/>
          <w:highlight w:val="none"/>
          <w:lang w:eastAsia="zh-CN"/>
        </w:rPr>
      </w:pPr>
      <w:r>
        <w:rPr>
          <w:rFonts w:hint="default" w:ascii="Times New Roman" w:hAnsi="Times New Roman" w:cs="Times New Roman"/>
          <w:color w:val="auto"/>
          <w:sz w:val="24"/>
          <w:highlight w:val="none"/>
        </w:rPr>
        <mc:AlternateContent>
          <mc:Choice Requires="wps">
            <w:drawing>
              <wp:anchor distT="0" distB="0" distL="114300" distR="114300" simplePos="0" relativeHeight="251678720" behindDoc="0" locked="0" layoutInCell="1" allowOverlap="1">
                <wp:simplePos x="0" y="0"/>
                <wp:positionH relativeFrom="column">
                  <wp:posOffset>1480185</wp:posOffset>
                </wp:positionH>
                <wp:positionV relativeFrom="paragraph">
                  <wp:posOffset>1207770</wp:posOffset>
                </wp:positionV>
                <wp:extent cx="1038860" cy="330200"/>
                <wp:effectExtent l="4445" t="5080" r="23495" b="7620"/>
                <wp:wrapNone/>
                <wp:docPr id="81" name="文本框 81"/>
                <wp:cNvGraphicFramePr/>
                <a:graphic xmlns:a="http://schemas.openxmlformats.org/drawingml/2006/main">
                  <a:graphicData uri="http://schemas.microsoft.com/office/word/2010/wordprocessingShape">
                    <wps:wsp>
                      <wps:cNvSpPr txBox="1"/>
                      <wps:spPr>
                        <a:xfrm>
                          <a:off x="0" y="0"/>
                          <a:ext cx="1038860" cy="330200"/>
                        </a:xfrm>
                        <a:prstGeom prst="rect">
                          <a:avLst/>
                        </a:prstGeom>
                        <a:noFill/>
                        <a:ln w="9525" cap="flat" cmpd="sng">
                          <a:solidFill>
                            <a:srgbClr val="000000"/>
                          </a:solidFill>
                          <a:prstDash val="solid"/>
                          <a:miter/>
                          <a:headEnd type="none" w="med" len="med"/>
                          <a:tailEnd type="none" w="med" len="med"/>
                        </a:ln>
                      </wps:spPr>
                      <wps:txbx>
                        <w:txbxContent>
                          <w:p w14:paraId="5555AF1E">
                            <w:pPr>
                              <w:rPr>
                                <w:rFonts w:hint="default" w:eastAsia="宋体"/>
                                <w:lang w:val="en-US" w:eastAsia="zh-CN"/>
                              </w:rPr>
                            </w:pPr>
                            <w:r>
                              <w:rPr>
                                <w:rFonts w:hint="eastAsia"/>
                                <w:lang w:val="en-US" w:eastAsia="zh-CN"/>
                              </w:rPr>
                              <w:t>本项目位置</w:t>
                            </w:r>
                          </w:p>
                        </w:txbxContent>
                      </wps:txbx>
                      <wps:bodyPr upright="1"/>
                    </wps:wsp>
                  </a:graphicData>
                </a:graphic>
              </wp:anchor>
            </w:drawing>
          </mc:Choice>
          <mc:Fallback>
            <w:pict>
              <v:shape id="_x0000_s1026" o:spid="_x0000_s1026" o:spt="202" type="#_x0000_t202" style="position:absolute;left:0pt;margin-left:116.55pt;margin-top:95.1pt;height:26pt;width:81.8pt;z-index:251678720;mso-width-relative:page;mso-height-relative:page;" filled="f" stroked="t" coordsize="21600,21600" o:gfxdata="UEsDBAoAAAAAAIdO4kAAAAAAAAAAAAAAAAAEAAAAZHJzL1BLAwQUAAAACACHTuJAdYC2lNYAAAAL&#10;AQAADwAAAGRycy9kb3ducmV2LnhtbE2PTU+EMBCG7yb+h2ZMvLktrVkEKXtw9a646rXQWSDSltDu&#10;h/56x5MeJ+8z7zxTbc5uYkdc4hi8hmwlgKHvgh19r2H3+nRzBywm462ZgkcNXxhhU19eVKa04eRf&#10;8NiknlGJj6XRMKQ0l5zHbkBn4irM6Cnbh8WZROPSc7uYE5W7iUsh1tyZ0dOFwcz4MGD32RwcaciP&#10;ndo+N5jnplXbx++3Yv8+aX19lYl7YAnP6Q+GX33agZqc2nDwNrJJg1QqI5SCQkhgRKhinQNrKbqV&#10;Enhd8f8/1D9QSwMEFAAAAAgAh07iQIMHXK8FAgAADwQAAA4AAABkcnMvZTJvRG9jLnhtbK1TzY7T&#10;MBC+I/EOlu80aatdlajpSlCWCwKkXR7A9U9iyX/yuE36AvAGnLhw57n2ORg73S4slx7IIZl4Pn+e&#10;75vx+ma0hhxkBO1dS+ezmhLpuBfadS39cn/7akUJJOYEM97Jlh4l0JvNyxfrITRy4XtvhIwESRw0&#10;Q2hpn1Joqgp4Ly2DmQ/SYVL5aFnC39hVIrIB2a2pFnV9XQ0+ihA9lwC4up2S9MQYLyH0Smkut57v&#10;rXRpYo3SsISSoNcB6KZUq5Tk6ZNSIBMxLUWlqbzxEIx3+V1t1qzpIgu95qcS2CUlPNNkmXZ46Jlq&#10;yxIj+6j/obKaRw9epRn3tpqEFEdQxbx+5s1dz4IsWtBqCGfT4f/R8o+Hz5Fo0dLVnBLHLHb84fu3&#10;hx+/Hn5+JbiGBg0BGsTdBUSm8Y0fcWwe1wEXs+5RRZu/qIhgHu09nu2VYyI8b6qXq9U1pjjmlssa&#10;pyHTVE+7Q4T0XnpLctDSiO0rrrLDB0gT9BGSD3P+VhtTWmgcGVr6+mpxhfQMx1LhOGBoA0oD1xUa&#10;8EaLvCVvhtjt3ppIDiyPRnlO1fwFy+dtGfQTrqQyjDVWJxlL1Esm3jlB0jGgew5vDc3FWCkoMRIv&#10;WY4KMjFtLkGiJcahM9n5yeEcpXE3Ik0Od14csRv7EHXXo1OlHwWOc1IsPc10HsQ//wvp0z3e/A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1gLaU1gAAAAsBAAAPAAAAAAAAAAEAIAAAACIAAABkcnMv&#10;ZG93bnJldi54bWxQSwECFAAUAAAACACHTuJAgwdcrwUCAAAPBAAADgAAAAAAAAABACAAAAAlAQAA&#10;ZHJzL2Uyb0RvYy54bWxQSwUGAAAAAAYABgBZAQAAnAUAAAAA&#10;">
                <v:fill on="f" focussize="0,0"/>
                <v:stroke color="#000000" joinstyle="miter"/>
                <v:imagedata o:title=""/>
                <o:lock v:ext="edit" aspectratio="f"/>
                <v:textbox>
                  <w:txbxContent>
                    <w:p w14:paraId="5555AF1E">
                      <w:pPr>
                        <w:rPr>
                          <w:rFonts w:hint="default" w:eastAsia="宋体"/>
                          <w:lang w:val="en-US" w:eastAsia="zh-CN"/>
                        </w:rPr>
                      </w:pPr>
                      <w:r>
                        <w:rPr>
                          <w:rFonts w:hint="eastAsia"/>
                          <w:lang w:val="en-US" w:eastAsia="zh-CN"/>
                        </w:rPr>
                        <w:t>本项目位置</w:t>
                      </w:r>
                    </w:p>
                  </w:txbxContent>
                </v:textbox>
              </v:shape>
            </w:pict>
          </mc:Fallback>
        </mc:AlternateContent>
      </w:r>
      <w:r>
        <w:rPr>
          <w:rFonts w:hint="default" w:ascii="Times New Roman" w:hAnsi="Times New Roman" w:cs="Times New Roman"/>
          <w:color w:val="auto"/>
          <w:sz w:val="24"/>
          <w:highlight w:val="none"/>
        </w:rPr>
        <mc:AlternateContent>
          <mc:Choice Requires="wps">
            <w:drawing>
              <wp:anchor distT="0" distB="0" distL="114300" distR="114300" simplePos="0" relativeHeight="251677696" behindDoc="0" locked="0" layoutInCell="1" allowOverlap="1">
                <wp:simplePos x="0" y="0"/>
                <wp:positionH relativeFrom="column">
                  <wp:posOffset>1297940</wp:posOffset>
                </wp:positionH>
                <wp:positionV relativeFrom="paragraph">
                  <wp:posOffset>1355090</wp:posOffset>
                </wp:positionV>
                <wp:extent cx="156210" cy="181610"/>
                <wp:effectExtent l="19685" t="26035" r="33655" b="40005"/>
                <wp:wrapNone/>
                <wp:docPr id="7" name="十字星 7"/>
                <wp:cNvGraphicFramePr/>
                <a:graphic xmlns:a="http://schemas.openxmlformats.org/drawingml/2006/main">
                  <a:graphicData uri="http://schemas.microsoft.com/office/word/2010/wordprocessingShape">
                    <wps:wsp>
                      <wps:cNvSpPr/>
                      <wps:spPr>
                        <a:xfrm>
                          <a:off x="0" y="0"/>
                          <a:ext cx="156210" cy="181610"/>
                        </a:xfrm>
                        <a:prstGeom prst="star4">
                          <a:avLst>
                            <a:gd name="adj" fmla="val 12500"/>
                          </a:avLst>
                        </a:prstGeom>
                        <a:solidFill>
                          <a:srgbClr val="FFFF00"/>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87" type="#_x0000_t187" style="position:absolute;left:0pt;margin-left:102.2pt;margin-top:106.7pt;height:14.3pt;width:12.3pt;z-index:251677696;mso-width-relative:page;mso-height-relative:page;" fillcolor="#FFFF00" filled="t" stroked="t" coordsize="21600,21600" o:gfxdata="UEsDBAoAAAAAAIdO4kAAAAAAAAAAAAAAAAAEAAAAZHJzL1BLAwQUAAAACACHTuJAG+ND5tkAAAAL&#10;AQAADwAAAGRycy9kb3ducmV2LnhtbE2PQUvEMBCF74L/IYzgzU0ai2htuqAggsqybYVlb9lmbItN&#10;Uppst/vvHU96e495vPlevl7swGacQu+dgmQlgKFrvOldq+Czfrm5BxaidkYP3qGCMwZYF5cXuc6M&#10;P7kS5yq2jEpcyLSCLsYx4zw0HVodVn5ER7cvP1kdyU4tN5M+UbkduBTijlvdO/rQ6RGfO2y+q6NV&#10;UG377mM5z++vb3W92WFTPm32pVLXV4l4BBZxiX9h+MUndCiI6eCPzgQ2KJAiTSlKIrklQQkpH2jd&#10;gUQqBfAi5/83FD9QSwMEFAAAAAgAh07iQOcgxesYAgAATQQAAA4AAABkcnMvZTJvRG9jLnhtbK1U&#10;S5LTMBDdU8UdVNoT2ymSGVxxZkEIGwqmauAAHUm2RelXkhInSw7AGnacgGMN56CleDKTYZMFWtgt&#10;dffz69ctL272WpGd8EFa09BqUlIiDLNcmq6hXz6vX11TEiIYDsoa0dCDCPRm+fLFYnC1mNreKi48&#10;QRAT6sE1tI/R1UURWC80hIl1wqCztV5DxK3vCu5hQHStimlZzovBeu68ZSIEPF0dnXRE9JcA2raV&#10;TKws22ph4hHVCwURSwq9dIEuM9u2FSx+atsgIlENxUpjfuJH0N6kZ7FcQN15cL1kIwW4hMKzmjRI&#10;gx89Qa0gAtl6+Q+UlszbYNs4YVYXx0KyIlhFVT7T5q4HJ3ItKHVwJ9HD/4NlH3e3nkje0CtKDGhs&#10;+P33b/e/f/z5+YtcJXkGF2qMunO3ftwFNFOt+9br9MYqyD5LejhJKvaRMDysZvNphWIzdFXX1Rxt&#10;RCkek50P8b2wmiSjoTh5/nVWEnYfQsyS8pEY8K+UtFphg3agSDWdlQ9oYzDiPuClzGCV5GupVN74&#10;bvNWeYKpDV3jOiWfhSlDhoa+mU1nSBpwvlucKzS1Q42C6TK3s4zwFLjMa6zxLCwRW0HojwSyK4VB&#10;rWUUSVqoewH8neEkHhz2weD1o4mMFpwSJfC2JitHRpDqkkgURBnUOzXx2LZkbSw/YNe3zsuuR9Gr&#10;zDd5cMpyd8Ybkcb46T4jPf4Fl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G+ND5tkAAAALAQAA&#10;DwAAAAAAAAABACAAAAAiAAAAZHJzL2Rvd25yZXYueG1sUEsBAhQAFAAAAAgAh07iQOcgxesYAgAA&#10;TQQAAA4AAAAAAAAAAQAgAAAAKAEAAGRycy9lMm9Eb2MueG1sUEsFBgAAAAAGAAYAWQEAALIFAAAA&#10;AA==&#10;" adj="8100">
                <v:fill on="t" focussize="0,0"/>
                <v:stroke color="#000000" joinstyle="miter"/>
                <v:imagedata o:title=""/>
                <o:lock v:ext="edit" aspectratio="f"/>
              </v:shape>
            </w:pict>
          </mc:Fallback>
        </mc:AlternateContent>
      </w:r>
      <w:r>
        <w:rPr>
          <w:rFonts w:hint="default" w:ascii="Times New Roman" w:hAnsi="Times New Roman" w:eastAsia="宋体" w:cs="Times New Roman"/>
          <w:b/>
          <w:iCs/>
          <w:color w:val="auto"/>
          <w:sz w:val="24"/>
          <w:highlight w:val="none"/>
          <w:lang w:eastAsia="zh-CN"/>
        </w:rPr>
        <w:drawing>
          <wp:inline distT="0" distB="0" distL="114300" distR="114300">
            <wp:extent cx="4518025" cy="2585720"/>
            <wp:effectExtent l="0" t="0" r="15875" b="5080"/>
            <wp:docPr id="85" name="图片 85" descr="0d4a2b1db8138ef54656fa75bdc3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0d4a2b1db8138ef54656fa75bdc38976"/>
                    <pic:cNvPicPr>
                      <a:picLocks noChangeAspect="1"/>
                    </pic:cNvPicPr>
                  </pic:nvPicPr>
                  <pic:blipFill>
                    <a:blip r:embed="rId59"/>
                    <a:stretch>
                      <a:fillRect/>
                    </a:stretch>
                  </pic:blipFill>
                  <pic:spPr>
                    <a:xfrm>
                      <a:off x="0" y="0"/>
                      <a:ext cx="4518025" cy="2585720"/>
                    </a:xfrm>
                    <a:prstGeom prst="rect">
                      <a:avLst/>
                    </a:prstGeom>
                  </pic:spPr>
                </pic:pic>
              </a:graphicData>
            </a:graphic>
          </wp:inline>
        </w:drawing>
      </w:r>
    </w:p>
    <w:p w14:paraId="2BEB2063">
      <w:pPr>
        <w:pStyle w:val="24"/>
        <w:spacing w:line="360" w:lineRule="auto"/>
        <w:ind w:left="0" w:leftChars="0" w:firstLine="0" w:firstLineChars="0"/>
        <w:jc w:val="center"/>
        <w:rPr>
          <w:rFonts w:hint="default" w:ascii="Times New Roman" w:hAnsi="Times New Roman" w:cs="Times New Roman"/>
          <w:color w:val="auto"/>
          <w:highlight w:val="none"/>
        </w:rPr>
      </w:pPr>
      <w:r>
        <w:rPr>
          <w:rFonts w:hint="default" w:ascii="Times New Roman" w:hAnsi="Times New Roman" w:cs="Times New Roman"/>
          <w:b/>
          <w:iCs/>
          <w:color w:val="auto"/>
          <w:sz w:val="24"/>
          <w:highlight w:val="none"/>
        </w:rPr>
        <w:t>图2.4-1  地面地形高程图</w:t>
      </w:r>
    </w:p>
    <w:p w14:paraId="14681E8A">
      <w:pPr>
        <w:pStyle w:val="11"/>
        <w:keepNext w:val="0"/>
        <w:keepLines w:val="0"/>
        <w:pageBreakBefore w:val="0"/>
        <w:kinsoku/>
        <w:wordWrap w:val="0"/>
        <w:overflowPunct/>
        <w:topLinePunct/>
        <w:autoSpaceDE/>
        <w:autoSpaceDN/>
        <w:bidi w:val="0"/>
        <w:adjustRightInd w:val="0"/>
        <w:snapToGrid w:val="0"/>
        <w:spacing w:line="320" w:lineRule="auto"/>
        <w:textAlignment w:val="baseline"/>
        <w:rPr>
          <w:rFonts w:hint="default" w:ascii="Times New Roman" w:hAnsi="Times New Roman" w:cs="Times New Roman"/>
          <w:color w:val="auto"/>
          <w:highlight w:val="none"/>
        </w:rPr>
        <w:sectPr>
          <w:footerReference r:id="rId10"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1D18A2A2">
      <w:pPr>
        <w:keepNext w:val="0"/>
        <w:keepLines w:val="0"/>
        <w:pageBreakBefore w:val="0"/>
        <w:kinsoku/>
        <w:wordWrap w:val="0"/>
        <w:overflowPunct/>
        <w:topLinePunct/>
        <w:autoSpaceDE/>
        <w:autoSpaceDN/>
        <w:bidi w:val="0"/>
        <w:adjustRightInd w:val="0"/>
        <w:snapToGrid w:val="0"/>
        <w:spacing w:before="33" w:line="214" w:lineRule="auto"/>
        <w:ind w:left="6103"/>
        <w:textAlignment w:val="baseline"/>
        <w:rPr>
          <w:rFonts w:hint="default" w:ascii="Times New Roman" w:hAnsi="Times New Roman" w:eastAsia="宋体" w:cs="Times New Roman"/>
          <w:b/>
          <w:bCs/>
          <w:color w:val="auto"/>
          <w:sz w:val="24"/>
          <w:szCs w:val="24"/>
          <w:highlight w:val="none"/>
        </w:rPr>
      </w:pPr>
      <w:bookmarkStart w:id="81" w:name="bookmark57"/>
      <w:bookmarkEnd w:id="81"/>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2.5-</w:t>
      </w:r>
      <w:r>
        <w:rPr>
          <w:rFonts w:hint="eastAsia" w:ascii="Times New Roman" w:hAnsi="Times New Roman" w:eastAsia="宋体" w:cs="Times New Roman"/>
          <w:b/>
          <w:bCs/>
          <w:color w:val="auto"/>
          <w:spacing w:val="-2"/>
          <w:sz w:val="24"/>
          <w:szCs w:val="24"/>
          <w:highlight w:val="none"/>
          <w:lang w:val="en-US" w:eastAsia="zh-CN"/>
        </w:rPr>
        <w:t>5</w:t>
      </w:r>
      <w:r>
        <w:rPr>
          <w:rFonts w:hint="default" w:ascii="Times New Roman" w:hAnsi="Times New Roman" w:eastAsia="宋体" w:cs="Times New Roman"/>
          <w:b/>
          <w:bCs/>
          <w:color w:val="auto"/>
          <w:spacing w:val="-2"/>
          <w:sz w:val="24"/>
          <w:szCs w:val="24"/>
          <w:highlight w:val="none"/>
        </w:rPr>
        <w:t>面源参数表</w:t>
      </w:r>
    </w:p>
    <w:tbl>
      <w:tblPr>
        <w:tblStyle w:val="34"/>
        <w:tblW w:w="142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31"/>
        <w:gridCol w:w="1224"/>
        <w:gridCol w:w="1505"/>
        <w:gridCol w:w="1397"/>
        <w:gridCol w:w="1032"/>
        <w:gridCol w:w="1034"/>
        <w:gridCol w:w="1035"/>
        <w:gridCol w:w="1018"/>
        <w:gridCol w:w="1030"/>
        <w:gridCol w:w="1035"/>
        <w:gridCol w:w="962"/>
        <w:gridCol w:w="1056"/>
        <w:gridCol w:w="1070"/>
      </w:tblGrid>
      <w:tr w14:paraId="3E486C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31" w:type="dxa"/>
            <w:vMerge w:val="restart"/>
            <w:tcBorders>
              <w:top w:val="single" w:color="000000" w:sz="10" w:space="0"/>
              <w:left w:val="nil"/>
              <w:bottom w:val="nil"/>
            </w:tcBorders>
            <w:vAlign w:val="center"/>
          </w:tcPr>
          <w:p w14:paraId="28C7F51C">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编号</w:t>
            </w:r>
          </w:p>
        </w:tc>
        <w:tc>
          <w:tcPr>
            <w:tcW w:w="1224" w:type="dxa"/>
            <w:vMerge w:val="restart"/>
            <w:tcBorders>
              <w:top w:val="single" w:color="000000" w:sz="10" w:space="0"/>
              <w:bottom w:val="nil"/>
            </w:tcBorders>
            <w:vAlign w:val="center"/>
          </w:tcPr>
          <w:p w14:paraId="0F9222B0">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名称</w:t>
            </w:r>
          </w:p>
        </w:tc>
        <w:tc>
          <w:tcPr>
            <w:tcW w:w="2902" w:type="dxa"/>
            <w:gridSpan w:val="2"/>
            <w:vMerge w:val="restart"/>
            <w:tcBorders>
              <w:top w:val="single" w:color="000000" w:sz="10" w:space="0"/>
              <w:bottom w:val="nil"/>
            </w:tcBorders>
            <w:vAlign w:val="center"/>
          </w:tcPr>
          <w:p w14:paraId="5DAC6479">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面源起点坐标</w:t>
            </w:r>
          </w:p>
        </w:tc>
        <w:tc>
          <w:tcPr>
            <w:tcW w:w="1032" w:type="dxa"/>
            <w:vMerge w:val="restart"/>
            <w:tcBorders>
              <w:top w:val="single" w:color="000000" w:sz="10" w:space="0"/>
              <w:bottom w:val="nil"/>
            </w:tcBorders>
            <w:vAlign w:val="center"/>
          </w:tcPr>
          <w:p w14:paraId="2F832924">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面源海拔高度</w:t>
            </w:r>
            <w:r>
              <w:rPr>
                <w:rFonts w:hint="default" w:ascii="Times New Roman" w:hAnsi="Times New Roman" w:eastAsia="Times New Roman" w:cs="Times New Roman"/>
                <w:color w:val="auto"/>
                <w:highlight w:val="none"/>
              </w:rPr>
              <w:t>/m</w:t>
            </w:r>
          </w:p>
        </w:tc>
        <w:tc>
          <w:tcPr>
            <w:tcW w:w="1034" w:type="dxa"/>
            <w:vMerge w:val="restart"/>
            <w:tcBorders>
              <w:top w:val="single" w:color="000000" w:sz="10" w:space="0"/>
              <w:bottom w:val="nil"/>
            </w:tcBorders>
            <w:vAlign w:val="center"/>
          </w:tcPr>
          <w:p w14:paraId="6F62C932">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cs="Times New Roman"/>
                <w:color w:val="auto"/>
                <w:spacing w:val="-2"/>
                <w:highlight w:val="none"/>
              </w:rPr>
              <w:t>面源长度</w:t>
            </w:r>
            <w:r>
              <w:rPr>
                <w:rFonts w:hint="default" w:ascii="Times New Roman" w:hAnsi="Times New Roman" w:eastAsia="Times New Roman" w:cs="Times New Roman"/>
                <w:color w:val="auto"/>
                <w:sz w:val="21"/>
                <w:szCs w:val="21"/>
                <w:highlight w:val="none"/>
              </w:rPr>
              <w:t>/m</w:t>
            </w:r>
          </w:p>
        </w:tc>
        <w:tc>
          <w:tcPr>
            <w:tcW w:w="1035" w:type="dxa"/>
            <w:vMerge w:val="restart"/>
            <w:tcBorders>
              <w:top w:val="single" w:color="000000" w:sz="10" w:space="0"/>
              <w:bottom w:val="nil"/>
            </w:tcBorders>
            <w:vAlign w:val="center"/>
          </w:tcPr>
          <w:p w14:paraId="1CC76B07">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cs="Times New Roman"/>
                <w:color w:val="auto"/>
                <w:spacing w:val="-2"/>
                <w:highlight w:val="none"/>
              </w:rPr>
              <w:t>面源</w:t>
            </w:r>
            <w:r>
              <w:rPr>
                <w:rFonts w:hint="default" w:ascii="Times New Roman" w:hAnsi="Times New Roman" w:cs="Times New Roman"/>
                <w:color w:val="auto"/>
                <w:spacing w:val="-4"/>
                <w:highlight w:val="none"/>
              </w:rPr>
              <w:t>宽度</w:t>
            </w:r>
            <w:r>
              <w:rPr>
                <w:rFonts w:hint="default" w:ascii="Times New Roman" w:hAnsi="Times New Roman" w:eastAsia="Times New Roman" w:cs="Times New Roman"/>
                <w:color w:val="auto"/>
                <w:sz w:val="21"/>
                <w:szCs w:val="21"/>
                <w:highlight w:val="none"/>
              </w:rPr>
              <w:t>/m</w:t>
            </w:r>
          </w:p>
        </w:tc>
        <w:tc>
          <w:tcPr>
            <w:tcW w:w="1018" w:type="dxa"/>
            <w:vMerge w:val="restart"/>
            <w:tcBorders>
              <w:top w:val="single" w:color="000000" w:sz="10" w:space="0"/>
              <w:bottom w:val="nil"/>
            </w:tcBorders>
            <w:vAlign w:val="center"/>
          </w:tcPr>
          <w:p w14:paraId="4B23853F">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3"/>
                <w:highlight w:val="none"/>
              </w:rPr>
              <w:t>与</w:t>
            </w:r>
            <w:r>
              <w:rPr>
                <w:rFonts w:hint="default" w:ascii="Times New Roman" w:hAnsi="Times New Roman" w:cs="Times New Roman"/>
                <w:color w:val="auto"/>
                <w:spacing w:val="-3"/>
                <w:highlight w:val="none"/>
                <w:lang w:val="en-US" w:eastAsia="zh-CN"/>
              </w:rPr>
              <w:t>w</w:t>
            </w:r>
            <w:r>
              <w:rPr>
                <w:rFonts w:hint="default" w:ascii="Times New Roman" w:hAnsi="Times New Roman" w:cs="Times New Roman"/>
                <w:color w:val="auto"/>
                <w:spacing w:val="-3"/>
                <w:highlight w:val="none"/>
              </w:rPr>
              <w:t>正北</w:t>
            </w:r>
            <w:r>
              <w:rPr>
                <w:rFonts w:hint="default" w:ascii="Times New Roman" w:hAnsi="Times New Roman" w:cs="Times New Roman"/>
                <w:color w:val="auto"/>
                <w:spacing w:val="10"/>
                <w:highlight w:val="none"/>
              </w:rPr>
              <w:t>向夹角</w:t>
            </w:r>
            <w:r>
              <w:rPr>
                <w:rFonts w:hint="default" w:ascii="Times New Roman" w:hAnsi="Times New Roman" w:eastAsia="Times New Roman" w:cs="Times New Roman"/>
                <w:color w:val="auto"/>
                <w:spacing w:val="10"/>
                <w:highlight w:val="none"/>
              </w:rPr>
              <w:t>/°</w:t>
            </w:r>
          </w:p>
        </w:tc>
        <w:tc>
          <w:tcPr>
            <w:tcW w:w="1030" w:type="dxa"/>
            <w:vMerge w:val="restart"/>
            <w:tcBorders>
              <w:top w:val="single" w:color="000000" w:sz="10" w:space="0"/>
              <w:bottom w:val="nil"/>
            </w:tcBorders>
            <w:vAlign w:val="center"/>
          </w:tcPr>
          <w:p w14:paraId="6ECFBE80">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面源有</w:t>
            </w:r>
            <w:r>
              <w:rPr>
                <w:rFonts w:hint="default" w:ascii="Times New Roman" w:hAnsi="Times New Roman" w:cs="Times New Roman"/>
                <w:color w:val="auto"/>
                <w:spacing w:val="-4"/>
                <w:highlight w:val="none"/>
              </w:rPr>
              <w:t>效排放</w:t>
            </w:r>
            <w:r>
              <w:rPr>
                <w:rFonts w:hint="default" w:ascii="Times New Roman" w:hAnsi="Times New Roman" w:cs="Times New Roman"/>
                <w:color w:val="auto"/>
                <w:spacing w:val="-3"/>
                <w:highlight w:val="none"/>
              </w:rPr>
              <w:t>高度</w:t>
            </w:r>
            <w:r>
              <w:rPr>
                <w:rFonts w:hint="default" w:ascii="Times New Roman" w:hAnsi="Times New Roman" w:eastAsia="Times New Roman" w:cs="Times New Roman"/>
                <w:color w:val="auto"/>
                <w:spacing w:val="-3"/>
                <w:highlight w:val="none"/>
              </w:rPr>
              <w:t>/m</w:t>
            </w:r>
          </w:p>
        </w:tc>
        <w:tc>
          <w:tcPr>
            <w:tcW w:w="1035" w:type="dxa"/>
            <w:vMerge w:val="restart"/>
            <w:tcBorders>
              <w:top w:val="single" w:color="000000" w:sz="10" w:space="0"/>
              <w:bottom w:val="nil"/>
            </w:tcBorders>
            <w:vAlign w:val="center"/>
          </w:tcPr>
          <w:p w14:paraId="6A6E5C76">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年排放</w:t>
            </w:r>
            <w:r>
              <w:rPr>
                <w:rFonts w:hint="default" w:ascii="Times New Roman" w:hAnsi="Times New Roman" w:cs="Times New Roman"/>
                <w:color w:val="auto"/>
                <w:spacing w:val="-3"/>
                <w:highlight w:val="none"/>
              </w:rPr>
              <w:t>小时数</w:t>
            </w:r>
            <w:r>
              <w:rPr>
                <w:rFonts w:hint="default" w:ascii="Times New Roman" w:hAnsi="Times New Roman" w:eastAsia="Times New Roman" w:cs="Times New Roman"/>
                <w:color w:val="auto"/>
                <w:spacing w:val="-3"/>
                <w:highlight w:val="none"/>
              </w:rPr>
              <w:t>/h</w:t>
            </w:r>
          </w:p>
        </w:tc>
        <w:tc>
          <w:tcPr>
            <w:tcW w:w="962" w:type="dxa"/>
            <w:vMerge w:val="restart"/>
            <w:tcBorders>
              <w:top w:val="single" w:color="000000" w:sz="10" w:space="0"/>
              <w:bottom w:val="nil"/>
            </w:tcBorders>
            <w:vAlign w:val="center"/>
          </w:tcPr>
          <w:p w14:paraId="02DDE80D">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排放</w:t>
            </w:r>
            <w:r>
              <w:rPr>
                <w:rFonts w:hint="default" w:ascii="Times New Roman" w:hAnsi="Times New Roman" w:cs="Times New Roman"/>
                <w:color w:val="auto"/>
                <w:spacing w:val="-3"/>
                <w:highlight w:val="none"/>
              </w:rPr>
              <w:t>工况</w:t>
            </w:r>
          </w:p>
        </w:tc>
        <w:tc>
          <w:tcPr>
            <w:tcW w:w="2126" w:type="dxa"/>
            <w:gridSpan w:val="2"/>
            <w:tcBorders>
              <w:top w:val="single" w:color="000000" w:sz="10" w:space="0"/>
              <w:right w:val="nil"/>
            </w:tcBorders>
            <w:vAlign w:val="center"/>
          </w:tcPr>
          <w:p w14:paraId="58B9CE08">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污染物排放速率</w:t>
            </w:r>
            <w:r>
              <w:rPr>
                <w:rFonts w:hint="default" w:ascii="Times New Roman" w:hAnsi="Times New Roman" w:eastAsia="Times New Roman" w:cs="Times New Roman"/>
                <w:color w:val="auto"/>
                <w:spacing w:val="-1"/>
                <w:highlight w:val="none"/>
              </w:rPr>
              <w:t>/</w:t>
            </w:r>
            <w:r>
              <w:rPr>
                <w:rFonts w:hint="default" w:ascii="Times New Roman" w:hAnsi="Times New Roman" w:cs="Times New Roman"/>
                <w:color w:val="auto"/>
                <w:spacing w:val="-3"/>
                <w:highlight w:val="none"/>
              </w:rPr>
              <w:t>（</w:t>
            </w:r>
            <w:r>
              <w:rPr>
                <w:rFonts w:hint="default" w:ascii="Times New Roman" w:hAnsi="Times New Roman" w:eastAsia="Times New Roman" w:cs="Times New Roman"/>
                <w:color w:val="auto"/>
                <w:spacing w:val="-3"/>
                <w:highlight w:val="none"/>
              </w:rPr>
              <w:t>kg/h</w:t>
            </w:r>
            <w:r>
              <w:rPr>
                <w:rFonts w:hint="default" w:ascii="Times New Roman" w:hAnsi="Times New Roman" w:cs="Times New Roman"/>
                <w:color w:val="auto"/>
                <w:spacing w:val="-3"/>
                <w:highlight w:val="none"/>
              </w:rPr>
              <w:t>）</w:t>
            </w:r>
          </w:p>
        </w:tc>
      </w:tr>
      <w:tr w14:paraId="7FA4D8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31" w:type="dxa"/>
            <w:vMerge w:val="continue"/>
            <w:tcBorders>
              <w:top w:val="nil"/>
              <w:left w:val="nil"/>
            </w:tcBorders>
            <w:vAlign w:val="center"/>
          </w:tcPr>
          <w:p w14:paraId="45150BAE">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1224" w:type="dxa"/>
            <w:vMerge w:val="continue"/>
            <w:tcBorders>
              <w:top w:val="nil"/>
            </w:tcBorders>
            <w:vAlign w:val="center"/>
          </w:tcPr>
          <w:p w14:paraId="459FD12F">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2902" w:type="dxa"/>
            <w:gridSpan w:val="2"/>
            <w:vMerge w:val="continue"/>
            <w:tcBorders>
              <w:top w:val="nil"/>
            </w:tcBorders>
            <w:vAlign w:val="center"/>
          </w:tcPr>
          <w:p w14:paraId="0EF9C1F1">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1032" w:type="dxa"/>
            <w:vMerge w:val="continue"/>
            <w:tcBorders>
              <w:top w:val="nil"/>
            </w:tcBorders>
            <w:vAlign w:val="center"/>
          </w:tcPr>
          <w:p w14:paraId="06A7085E">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1034" w:type="dxa"/>
            <w:vMerge w:val="continue"/>
            <w:tcBorders>
              <w:top w:val="nil"/>
            </w:tcBorders>
            <w:vAlign w:val="center"/>
          </w:tcPr>
          <w:p w14:paraId="40D09E6D">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1035" w:type="dxa"/>
            <w:vMerge w:val="continue"/>
            <w:tcBorders>
              <w:top w:val="nil"/>
            </w:tcBorders>
            <w:vAlign w:val="center"/>
          </w:tcPr>
          <w:p w14:paraId="517D2054">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1018" w:type="dxa"/>
            <w:vMerge w:val="continue"/>
            <w:tcBorders>
              <w:top w:val="nil"/>
            </w:tcBorders>
            <w:vAlign w:val="center"/>
          </w:tcPr>
          <w:p w14:paraId="54180358">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1030" w:type="dxa"/>
            <w:vMerge w:val="continue"/>
            <w:tcBorders>
              <w:top w:val="nil"/>
            </w:tcBorders>
            <w:vAlign w:val="center"/>
          </w:tcPr>
          <w:p w14:paraId="2A61157F">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1035" w:type="dxa"/>
            <w:vMerge w:val="continue"/>
            <w:tcBorders>
              <w:top w:val="nil"/>
            </w:tcBorders>
            <w:vAlign w:val="center"/>
          </w:tcPr>
          <w:p w14:paraId="14C6D348">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962" w:type="dxa"/>
            <w:vMerge w:val="continue"/>
            <w:tcBorders>
              <w:top w:val="nil"/>
            </w:tcBorders>
            <w:vAlign w:val="center"/>
          </w:tcPr>
          <w:p w14:paraId="19611819">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sz w:val="21"/>
                <w:highlight w:val="none"/>
              </w:rPr>
            </w:pPr>
          </w:p>
        </w:tc>
        <w:tc>
          <w:tcPr>
            <w:tcW w:w="1056" w:type="dxa"/>
            <w:vAlign w:val="center"/>
          </w:tcPr>
          <w:p w14:paraId="3E3BE846">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eastAsia="Times New Roman" w:cs="Times New Roman"/>
                <w:color w:val="auto"/>
                <w:sz w:val="21"/>
                <w:szCs w:val="21"/>
                <w:highlight w:val="none"/>
              </w:rPr>
              <w:t>NH</w:t>
            </w:r>
            <w:r>
              <w:rPr>
                <w:rFonts w:hint="default" w:ascii="Times New Roman" w:hAnsi="Times New Roman" w:eastAsia="Times New Roman" w:cs="Times New Roman"/>
                <w:color w:val="auto"/>
                <w:spacing w:val="8"/>
                <w:position w:val="-2"/>
                <w:sz w:val="13"/>
                <w:szCs w:val="13"/>
                <w:highlight w:val="none"/>
              </w:rPr>
              <w:t>3</w:t>
            </w:r>
          </w:p>
        </w:tc>
        <w:tc>
          <w:tcPr>
            <w:tcW w:w="1070" w:type="dxa"/>
            <w:tcBorders>
              <w:right w:val="nil"/>
            </w:tcBorders>
            <w:vAlign w:val="center"/>
          </w:tcPr>
          <w:p w14:paraId="084E7860">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H</w:t>
            </w:r>
            <w:r>
              <w:rPr>
                <w:rFonts w:hint="default" w:ascii="Times New Roman" w:hAnsi="Times New Roman" w:eastAsia="Times New Roman" w:cs="Times New Roman"/>
                <w:color w:val="auto"/>
                <w:spacing w:val="1"/>
                <w:position w:val="-2"/>
                <w:sz w:val="13"/>
                <w:szCs w:val="13"/>
                <w:highlight w:val="none"/>
              </w:rPr>
              <w:t>2</w:t>
            </w:r>
            <w:r>
              <w:rPr>
                <w:rFonts w:hint="default" w:ascii="Times New Roman" w:hAnsi="Times New Roman" w:eastAsia="Times New Roman" w:cs="Times New Roman"/>
                <w:color w:val="auto"/>
                <w:spacing w:val="1"/>
                <w:sz w:val="21"/>
                <w:szCs w:val="21"/>
                <w:highlight w:val="none"/>
              </w:rPr>
              <w:t>S</w:t>
            </w:r>
          </w:p>
        </w:tc>
      </w:tr>
      <w:tr w14:paraId="663199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31" w:type="dxa"/>
            <w:tcBorders>
              <w:left w:val="nil"/>
            </w:tcBorders>
            <w:vAlign w:val="center"/>
          </w:tcPr>
          <w:p w14:paraId="13116094">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1224" w:type="dxa"/>
            <w:vAlign w:val="center"/>
          </w:tcPr>
          <w:p w14:paraId="742ABDA8">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FF0000"/>
                <w:highlight w:val="none"/>
                <w:lang w:val="en-US" w:eastAsia="zh-CN"/>
              </w:rPr>
              <w:t>牛舍</w:t>
            </w:r>
          </w:p>
        </w:tc>
        <w:tc>
          <w:tcPr>
            <w:tcW w:w="1505" w:type="dxa"/>
            <w:vAlign w:val="center"/>
          </w:tcPr>
          <w:p w14:paraId="15BE1755">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cs="Times New Roman"/>
                <w:color w:val="auto"/>
                <w:highlight w:val="none"/>
              </w:rPr>
              <w:t>131.16470665</w:t>
            </w:r>
          </w:p>
        </w:tc>
        <w:tc>
          <w:tcPr>
            <w:tcW w:w="1397" w:type="dxa"/>
            <w:vAlign w:val="center"/>
          </w:tcPr>
          <w:p w14:paraId="2915C229">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cs="Times New Roman"/>
                <w:color w:val="auto"/>
                <w:highlight w:val="none"/>
              </w:rPr>
              <w:t>46.79819198</w:t>
            </w:r>
          </w:p>
        </w:tc>
        <w:tc>
          <w:tcPr>
            <w:tcW w:w="1032" w:type="dxa"/>
            <w:vAlign w:val="center"/>
          </w:tcPr>
          <w:p w14:paraId="663CCFF0">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6"/>
                <w:sz w:val="21"/>
                <w:szCs w:val="21"/>
                <w:highlight w:val="none"/>
                <w:lang w:val="en-US" w:eastAsia="zh-CN"/>
              </w:rPr>
              <w:t>87</w:t>
            </w:r>
          </w:p>
        </w:tc>
        <w:tc>
          <w:tcPr>
            <w:tcW w:w="1034" w:type="dxa"/>
            <w:vAlign w:val="center"/>
          </w:tcPr>
          <w:p w14:paraId="1B78710C">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6"/>
                <w:sz w:val="21"/>
                <w:szCs w:val="21"/>
                <w:highlight w:val="none"/>
                <w:lang w:val="en-US" w:eastAsia="zh-CN"/>
              </w:rPr>
              <w:t>520</w:t>
            </w:r>
          </w:p>
        </w:tc>
        <w:tc>
          <w:tcPr>
            <w:tcW w:w="1035" w:type="dxa"/>
            <w:vAlign w:val="center"/>
          </w:tcPr>
          <w:p w14:paraId="25D457AC">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140</w:t>
            </w:r>
          </w:p>
        </w:tc>
        <w:tc>
          <w:tcPr>
            <w:tcW w:w="1018" w:type="dxa"/>
            <w:vAlign w:val="center"/>
          </w:tcPr>
          <w:p w14:paraId="3A01ADD2">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030" w:type="dxa"/>
            <w:vAlign w:val="center"/>
          </w:tcPr>
          <w:p w14:paraId="4E0A6204">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5"/>
                <w:sz w:val="21"/>
                <w:szCs w:val="21"/>
                <w:highlight w:val="none"/>
                <w:lang w:val="en-US" w:eastAsia="zh-CN"/>
              </w:rPr>
              <w:t>4</w:t>
            </w:r>
          </w:p>
        </w:tc>
        <w:tc>
          <w:tcPr>
            <w:tcW w:w="1035" w:type="dxa"/>
            <w:vAlign w:val="center"/>
          </w:tcPr>
          <w:p w14:paraId="5F62F076">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8760</w:t>
            </w:r>
          </w:p>
        </w:tc>
        <w:tc>
          <w:tcPr>
            <w:tcW w:w="962" w:type="dxa"/>
            <w:vAlign w:val="center"/>
          </w:tcPr>
          <w:p w14:paraId="5B65A080">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正常</w:t>
            </w:r>
          </w:p>
        </w:tc>
        <w:tc>
          <w:tcPr>
            <w:tcW w:w="1056" w:type="dxa"/>
            <w:vAlign w:val="center"/>
          </w:tcPr>
          <w:p w14:paraId="7015C038">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FF0000"/>
                <w:spacing w:val="-2"/>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0.147</w:t>
            </w:r>
          </w:p>
        </w:tc>
        <w:tc>
          <w:tcPr>
            <w:tcW w:w="1070" w:type="dxa"/>
            <w:tcBorders>
              <w:right w:val="nil"/>
            </w:tcBorders>
            <w:vAlign w:val="center"/>
          </w:tcPr>
          <w:p w14:paraId="539FB5CC">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FF0000"/>
                <w:spacing w:val="-2"/>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0.0011</w:t>
            </w:r>
          </w:p>
        </w:tc>
      </w:tr>
      <w:tr w14:paraId="572516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31" w:type="dxa"/>
            <w:tcBorders>
              <w:left w:val="nil"/>
              <w:bottom w:val="single" w:color="000000" w:sz="10" w:space="0"/>
            </w:tcBorders>
            <w:vAlign w:val="center"/>
          </w:tcPr>
          <w:p w14:paraId="74D10C8B">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1224" w:type="dxa"/>
            <w:tcBorders>
              <w:bottom w:val="single" w:color="000000" w:sz="10" w:space="0"/>
            </w:tcBorders>
            <w:vAlign w:val="center"/>
          </w:tcPr>
          <w:p w14:paraId="5A84D870">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spacing w:val="-2"/>
                <w:highlight w:val="none"/>
                <w:lang w:eastAsia="zh-CN"/>
              </w:rPr>
              <w:t>粪污储存间</w:t>
            </w:r>
          </w:p>
        </w:tc>
        <w:tc>
          <w:tcPr>
            <w:tcW w:w="1505" w:type="dxa"/>
            <w:tcBorders>
              <w:bottom w:val="single" w:color="000000" w:sz="10" w:space="0"/>
            </w:tcBorders>
            <w:vAlign w:val="center"/>
          </w:tcPr>
          <w:p w14:paraId="6E978EAB">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cs="Times New Roman"/>
                <w:color w:val="auto"/>
                <w:highlight w:val="none"/>
              </w:rPr>
              <w:t>131.16451909</w:t>
            </w:r>
          </w:p>
        </w:tc>
        <w:tc>
          <w:tcPr>
            <w:tcW w:w="1397" w:type="dxa"/>
            <w:tcBorders>
              <w:bottom w:val="single" w:color="000000" w:sz="10" w:space="0"/>
            </w:tcBorders>
            <w:vAlign w:val="center"/>
          </w:tcPr>
          <w:p w14:paraId="44FE0F20">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highlight w:val="none"/>
                <w:lang w:val="en-US" w:eastAsia="zh-CN"/>
              </w:rPr>
              <w:t>4</w:t>
            </w:r>
            <w:r>
              <w:rPr>
                <w:rFonts w:hint="default" w:ascii="Times New Roman" w:hAnsi="Times New Roman" w:cs="Times New Roman"/>
                <w:color w:val="auto"/>
                <w:highlight w:val="none"/>
              </w:rPr>
              <w:t>6.79711210</w:t>
            </w:r>
          </w:p>
        </w:tc>
        <w:tc>
          <w:tcPr>
            <w:tcW w:w="1032" w:type="dxa"/>
            <w:tcBorders>
              <w:bottom w:val="single" w:color="000000" w:sz="10" w:space="0"/>
            </w:tcBorders>
            <w:vAlign w:val="center"/>
          </w:tcPr>
          <w:p w14:paraId="3B37971B">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6"/>
                <w:sz w:val="21"/>
                <w:szCs w:val="21"/>
                <w:highlight w:val="none"/>
                <w:lang w:val="en-US" w:eastAsia="zh-CN"/>
              </w:rPr>
              <w:t>89</w:t>
            </w:r>
          </w:p>
        </w:tc>
        <w:tc>
          <w:tcPr>
            <w:tcW w:w="1034" w:type="dxa"/>
            <w:tcBorders>
              <w:bottom w:val="single" w:color="000000" w:sz="10" w:space="0"/>
            </w:tcBorders>
            <w:vAlign w:val="center"/>
          </w:tcPr>
          <w:p w14:paraId="588A11FE">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6"/>
                <w:sz w:val="21"/>
                <w:szCs w:val="21"/>
                <w:highlight w:val="none"/>
                <w:lang w:val="en-US" w:eastAsia="zh-CN"/>
              </w:rPr>
              <w:t>50</w:t>
            </w:r>
          </w:p>
        </w:tc>
        <w:tc>
          <w:tcPr>
            <w:tcW w:w="1035" w:type="dxa"/>
            <w:tcBorders>
              <w:bottom w:val="single" w:color="000000" w:sz="10" w:space="0"/>
            </w:tcBorders>
            <w:vAlign w:val="center"/>
          </w:tcPr>
          <w:p w14:paraId="5979CB34">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3"/>
                <w:sz w:val="21"/>
                <w:szCs w:val="21"/>
                <w:highlight w:val="none"/>
                <w:lang w:val="en-US" w:eastAsia="zh-CN"/>
              </w:rPr>
              <w:t>70</w:t>
            </w:r>
          </w:p>
        </w:tc>
        <w:tc>
          <w:tcPr>
            <w:tcW w:w="1018" w:type="dxa"/>
            <w:tcBorders>
              <w:bottom w:val="single" w:color="000000" w:sz="10" w:space="0"/>
            </w:tcBorders>
            <w:vAlign w:val="center"/>
          </w:tcPr>
          <w:p w14:paraId="0BD3A461">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030" w:type="dxa"/>
            <w:tcBorders>
              <w:bottom w:val="single" w:color="000000" w:sz="10" w:space="0"/>
            </w:tcBorders>
            <w:vAlign w:val="center"/>
          </w:tcPr>
          <w:p w14:paraId="7CB51CA0">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pacing w:val="-5"/>
                <w:sz w:val="21"/>
                <w:szCs w:val="21"/>
                <w:highlight w:val="none"/>
                <w:lang w:val="en-US" w:eastAsia="zh-CN"/>
              </w:rPr>
              <w:t>4</w:t>
            </w:r>
          </w:p>
        </w:tc>
        <w:tc>
          <w:tcPr>
            <w:tcW w:w="1035" w:type="dxa"/>
            <w:tcBorders>
              <w:bottom w:val="single" w:color="000000" w:sz="10" w:space="0"/>
            </w:tcBorders>
            <w:vAlign w:val="center"/>
          </w:tcPr>
          <w:p w14:paraId="7AF3C62A">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8760</w:t>
            </w:r>
          </w:p>
        </w:tc>
        <w:tc>
          <w:tcPr>
            <w:tcW w:w="962" w:type="dxa"/>
            <w:tcBorders>
              <w:bottom w:val="single" w:color="000000" w:sz="10" w:space="0"/>
            </w:tcBorders>
            <w:vAlign w:val="center"/>
          </w:tcPr>
          <w:p w14:paraId="4C922907">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正常</w:t>
            </w:r>
          </w:p>
        </w:tc>
        <w:tc>
          <w:tcPr>
            <w:tcW w:w="1056" w:type="dxa"/>
            <w:tcBorders>
              <w:bottom w:val="single" w:color="000000" w:sz="10" w:space="0"/>
            </w:tcBorders>
            <w:vAlign w:val="center"/>
          </w:tcPr>
          <w:p w14:paraId="4D5BAB53">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FF0000"/>
                <w:spacing w:val="-2"/>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1.17</w:t>
            </w:r>
            <w:r>
              <w:rPr>
                <w:rFonts w:hint="eastAsia" w:ascii="Times New Roman" w:hAnsi="Times New Roman" w:eastAsia="宋体" w:cs="Times New Roman"/>
                <w:snapToGrid w:val="0"/>
                <w:color w:val="0000FF"/>
                <w:kern w:val="2"/>
                <w:sz w:val="21"/>
                <w:szCs w:val="21"/>
                <w:highlight w:val="none"/>
                <w:lang w:val="en-US" w:eastAsia="zh-CN" w:bidi="ar-SA"/>
              </w:rPr>
              <w:t>4</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-2</w:t>
            </w:r>
          </w:p>
        </w:tc>
        <w:tc>
          <w:tcPr>
            <w:tcW w:w="1070" w:type="dxa"/>
            <w:tcBorders>
              <w:bottom w:val="single" w:color="000000" w:sz="10" w:space="0"/>
              <w:right w:val="nil"/>
            </w:tcBorders>
            <w:vAlign w:val="center"/>
          </w:tcPr>
          <w:p w14:paraId="6A977836">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FF0000"/>
                <w:spacing w:val="-2"/>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8.67×10</w:t>
            </w:r>
            <w:r>
              <w:rPr>
                <w:rFonts w:hint="eastAsia" w:ascii="Times New Roman" w:hAnsi="Times New Roman" w:eastAsia="宋体" w:cs="Times New Roman"/>
                <w:snapToGrid w:val="0"/>
                <w:color w:val="0000FF"/>
                <w:sz w:val="21"/>
                <w:szCs w:val="21"/>
                <w:highlight w:val="none"/>
                <w:vertAlign w:val="superscript"/>
                <w:lang w:val="en-US" w:eastAsia="zh-CN"/>
              </w:rPr>
              <w:t>-5</w:t>
            </w:r>
          </w:p>
        </w:tc>
      </w:tr>
    </w:tbl>
    <w:p w14:paraId="6226E1DA">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eastAsia="宋体" w:cs="Times New Roman"/>
          <w:color w:val="FF0000"/>
          <w:highlight w:val="none"/>
          <w:lang w:val="en-US" w:eastAsia="zh-CN"/>
        </w:rPr>
      </w:pPr>
      <w:r>
        <w:rPr>
          <w:rFonts w:hint="default" w:ascii="Times New Roman" w:hAnsi="Times New Roman" w:eastAsia="宋体" w:cs="Times New Roman"/>
          <w:color w:val="FF0000"/>
          <w:highlight w:val="none"/>
          <w:lang w:val="en-US" w:eastAsia="zh-CN"/>
        </w:rPr>
        <w:t>注：面源有效排放高度采取牛舍厂房高度4m。</w:t>
      </w:r>
    </w:p>
    <w:p w14:paraId="0AAC83A2">
      <w:pPr>
        <w:keepNext w:val="0"/>
        <w:keepLines w:val="0"/>
        <w:pageBreakBefore w:val="0"/>
        <w:kinsoku/>
        <w:wordWrap w:val="0"/>
        <w:overflowPunct/>
        <w:topLinePunct/>
        <w:autoSpaceDE/>
        <w:autoSpaceDN/>
        <w:bidi w:val="0"/>
        <w:adjustRightInd w:val="0"/>
        <w:snapToGrid w:val="0"/>
        <w:spacing w:before="33" w:line="214" w:lineRule="auto"/>
        <w:ind w:left="6103"/>
        <w:textAlignment w:val="baseline"/>
        <w:rPr>
          <w:rFonts w:hint="default" w:ascii="Times New Roman" w:hAnsi="Times New Roman" w:eastAsia="宋体" w:cs="Times New Roman"/>
          <w:b/>
          <w:bCs/>
          <w:color w:val="auto"/>
          <w:spacing w:val="-2"/>
          <w:sz w:val="24"/>
          <w:szCs w:val="24"/>
          <w:highlight w:val="none"/>
        </w:rPr>
      </w:pPr>
      <w:bookmarkStart w:id="82" w:name="_Hlk28274858"/>
      <w:r>
        <w:rPr>
          <w:rFonts w:hint="default" w:ascii="Times New Roman" w:hAnsi="Times New Roman" w:eastAsia="宋体" w:cs="Times New Roman"/>
          <w:b/>
          <w:bCs/>
          <w:color w:val="auto"/>
          <w:spacing w:val="-2"/>
          <w:sz w:val="24"/>
          <w:szCs w:val="24"/>
          <w:highlight w:val="none"/>
        </w:rPr>
        <w:t>表2</w:t>
      </w:r>
      <w:r>
        <w:rPr>
          <w:rFonts w:hint="eastAsia" w:ascii="Times New Roman" w:hAnsi="Times New Roman" w:eastAsia="宋体" w:cs="Times New Roman"/>
          <w:b/>
          <w:bCs/>
          <w:color w:val="auto"/>
          <w:spacing w:val="-2"/>
          <w:sz w:val="24"/>
          <w:szCs w:val="24"/>
          <w:highlight w:val="none"/>
          <w:lang w:val="en-US" w:eastAsia="zh-CN"/>
        </w:rPr>
        <w:t>.</w:t>
      </w:r>
      <w:r>
        <w:rPr>
          <w:rFonts w:hint="default" w:ascii="Times New Roman" w:hAnsi="Times New Roman" w:eastAsia="宋体" w:cs="Times New Roman"/>
          <w:b/>
          <w:bCs/>
          <w:color w:val="auto"/>
          <w:spacing w:val="-2"/>
          <w:sz w:val="24"/>
          <w:szCs w:val="24"/>
          <w:highlight w:val="none"/>
        </w:rPr>
        <w:t>5-</w:t>
      </w:r>
      <w:r>
        <w:rPr>
          <w:rFonts w:hint="eastAsia" w:ascii="Times New Roman" w:hAnsi="Times New Roman" w:eastAsia="宋体" w:cs="Times New Roman"/>
          <w:b/>
          <w:bCs/>
          <w:color w:val="auto"/>
          <w:spacing w:val="-2"/>
          <w:sz w:val="24"/>
          <w:szCs w:val="24"/>
          <w:highlight w:val="none"/>
          <w:lang w:val="en-US" w:eastAsia="zh-CN"/>
        </w:rPr>
        <w:t>6</w:t>
      </w:r>
      <w:r>
        <w:rPr>
          <w:rFonts w:hint="default" w:ascii="Times New Roman" w:hAnsi="Times New Roman" w:eastAsia="宋体" w:cs="Times New Roman"/>
          <w:b/>
          <w:bCs/>
          <w:color w:val="auto"/>
          <w:spacing w:val="-2"/>
          <w:sz w:val="24"/>
          <w:szCs w:val="24"/>
          <w:highlight w:val="none"/>
        </w:rPr>
        <w:t>点源参数表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491"/>
        <w:gridCol w:w="2259"/>
        <w:gridCol w:w="1322"/>
        <w:gridCol w:w="1217"/>
        <w:gridCol w:w="980"/>
        <w:gridCol w:w="683"/>
        <w:gridCol w:w="684"/>
        <w:gridCol w:w="847"/>
        <w:gridCol w:w="535"/>
        <w:gridCol w:w="687"/>
        <w:gridCol w:w="652"/>
        <w:gridCol w:w="1395"/>
        <w:gridCol w:w="1600"/>
      </w:tblGrid>
      <w:tr w14:paraId="520DE9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0" w:hRule="atLeast"/>
          <w:jc w:val="center"/>
        </w:trPr>
        <w:tc>
          <w:tcPr>
            <w:tcW w:w="195" w:type="pct"/>
            <w:vMerge w:val="restart"/>
            <w:vAlign w:val="center"/>
          </w:tcPr>
          <w:p w14:paraId="174299DF">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编号</w:t>
            </w:r>
          </w:p>
        </w:tc>
        <w:tc>
          <w:tcPr>
            <w:tcW w:w="857" w:type="pct"/>
            <w:vMerge w:val="restart"/>
            <w:vAlign w:val="center"/>
          </w:tcPr>
          <w:p w14:paraId="7115C671">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点源</w:t>
            </w:r>
          </w:p>
          <w:p w14:paraId="6B6AD35C">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名称</w:t>
            </w:r>
          </w:p>
        </w:tc>
        <w:tc>
          <w:tcPr>
            <w:tcW w:w="830" w:type="pct"/>
            <w:gridSpan w:val="2"/>
            <w:vAlign w:val="center"/>
          </w:tcPr>
          <w:p w14:paraId="7C3B696D">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排气筒底部中心坐标（m）</w:t>
            </w:r>
          </w:p>
        </w:tc>
        <w:tc>
          <w:tcPr>
            <w:tcW w:w="378" w:type="pct"/>
            <w:vMerge w:val="restart"/>
            <w:vAlign w:val="center"/>
          </w:tcPr>
          <w:p w14:paraId="0E48884A">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排气筒底部海拔高度（m）</w:t>
            </w:r>
          </w:p>
        </w:tc>
        <w:tc>
          <w:tcPr>
            <w:tcW w:w="267" w:type="pct"/>
            <w:vMerge w:val="restart"/>
            <w:vAlign w:val="center"/>
          </w:tcPr>
          <w:p w14:paraId="0FA144F2">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排气筒高度/m</w:t>
            </w:r>
          </w:p>
        </w:tc>
        <w:tc>
          <w:tcPr>
            <w:tcW w:w="267" w:type="pct"/>
            <w:vMerge w:val="restart"/>
            <w:vAlign w:val="center"/>
          </w:tcPr>
          <w:p w14:paraId="38DEA506">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排气筒内径/m</w:t>
            </w:r>
          </w:p>
        </w:tc>
        <w:tc>
          <w:tcPr>
            <w:tcW w:w="328" w:type="pct"/>
            <w:vMerge w:val="restart"/>
            <w:vAlign w:val="center"/>
          </w:tcPr>
          <w:p w14:paraId="176CC9B0">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烟气流速/（m/s）</w:t>
            </w:r>
          </w:p>
        </w:tc>
        <w:tc>
          <w:tcPr>
            <w:tcW w:w="211" w:type="pct"/>
            <w:vMerge w:val="restart"/>
            <w:vAlign w:val="center"/>
          </w:tcPr>
          <w:p w14:paraId="43821351">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烟气温度</w:t>
            </w:r>
          </w:p>
          <w:p w14:paraId="702BF4F9">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w:t>
            </w:r>
          </w:p>
        </w:tc>
        <w:tc>
          <w:tcPr>
            <w:tcW w:w="268" w:type="pct"/>
            <w:vMerge w:val="restart"/>
            <w:vAlign w:val="center"/>
          </w:tcPr>
          <w:p w14:paraId="6161D989">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年排放小时数/h</w:t>
            </w:r>
          </w:p>
        </w:tc>
        <w:tc>
          <w:tcPr>
            <w:tcW w:w="255" w:type="pct"/>
            <w:vMerge w:val="restart"/>
            <w:vAlign w:val="center"/>
          </w:tcPr>
          <w:p w14:paraId="01E337F6">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排放</w:t>
            </w:r>
          </w:p>
          <w:p w14:paraId="04E68E05">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工况</w:t>
            </w:r>
          </w:p>
        </w:tc>
        <w:tc>
          <w:tcPr>
            <w:tcW w:w="1143" w:type="pct"/>
            <w:gridSpan w:val="2"/>
            <w:vAlign w:val="center"/>
          </w:tcPr>
          <w:p w14:paraId="6133D1D2">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污染物排放速率/（kg/h）</w:t>
            </w:r>
          </w:p>
        </w:tc>
      </w:tr>
      <w:tr w14:paraId="151D13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0" w:hRule="atLeast"/>
          <w:jc w:val="center"/>
        </w:trPr>
        <w:tc>
          <w:tcPr>
            <w:tcW w:w="195" w:type="pct"/>
            <w:vMerge w:val="continue"/>
            <w:vAlign w:val="center"/>
          </w:tcPr>
          <w:p w14:paraId="7AB15308">
            <w:pPr>
              <w:pStyle w:val="38"/>
              <w:rPr>
                <w:rFonts w:hint="default" w:ascii="Times New Roman" w:hAnsi="Times New Roman" w:eastAsia="宋体" w:cs="Times New Roman"/>
                <w:color w:val="000000" w:themeColor="text1"/>
                <w14:textFill>
                  <w14:solidFill>
                    <w14:schemeClr w14:val="tx1"/>
                  </w14:solidFill>
                </w14:textFill>
              </w:rPr>
            </w:pPr>
          </w:p>
        </w:tc>
        <w:tc>
          <w:tcPr>
            <w:tcW w:w="857" w:type="pct"/>
            <w:vMerge w:val="continue"/>
            <w:vAlign w:val="center"/>
          </w:tcPr>
          <w:p w14:paraId="7FCB6186">
            <w:pPr>
              <w:pStyle w:val="38"/>
              <w:rPr>
                <w:rFonts w:hint="default" w:ascii="Times New Roman" w:hAnsi="Times New Roman" w:eastAsia="宋体" w:cs="Times New Roman"/>
                <w:color w:val="000000" w:themeColor="text1"/>
                <w14:textFill>
                  <w14:solidFill>
                    <w14:schemeClr w14:val="tx1"/>
                  </w14:solidFill>
                </w14:textFill>
              </w:rPr>
            </w:pPr>
          </w:p>
        </w:tc>
        <w:tc>
          <w:tcPr>
            <w:tcW w:w="449" w:type="pct"/>
            <w:vAlign w:val="center"/>
          </w:tcPr>
          <w:p w14:paraId="38694931">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snapToGrid w:val="0"/>
                <w:color w:val="000000" w:themeColor="text1"/>
                <w14:textFill>
                  <w14:solidFill>
                    <w14:schemeClr w14:val="tx1"/>
                  </w14:solidFill>
                </w14:textFill>
              </w:rPr>
              <w:t>东经</w:t>
            </w:r>
          </w:p>
        </w:tc>
        <w:tc>
          <w:tcPr>
            <w:tcW w:w="381" w:type="pct"/>
            <w:vAlign w:val="center"/>
          </w:tcPr>
          <w:p w14:paraId="3A29ABDA">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snapToGrid w:val="0"/>
                <w:color w:val="000000" w:themeColor="text1"/>
                <w14:textFill>
                  <w14:solidFill>
                    <w14:schemeClr w14:val="tx1"/>
                  </w14:solidFill>
                </w14:textFill>
              </w:rPr>
              <w:t>北纬</w:t>
            </w:r>
          </w:p>
        </w:tc>
        <w:tc>
          <w:tcPr>
            <w:tcW w:w="378" w:type="pct"/>
            <w:vMerge w:val="continue"/>
            <w:vAlign w:val="center"/>
          </w:tcPr>
          <w:p w14:paraId="6BB295DF">
            <w:pPr>
              <w:pStyle w:val="38"/>
              <w:rPr>
                <w:rFonts w:hint="default" w:ascii="Times New Roman" w:hAnsi="Times New Roman" w:eastAsia="宋体" w:cs="Times New Roman"/>
                <w:color w:val="000000" w:themeColor="text1"/>
                <w14:textFill>
                  <w14:solidFill>
                    <w14:schemeClr w14:val="tx1"/>
                  </w14:solidFill>
                </w14:textFill>
              </w:rPr>
            </w:pPr>
          </w:p>
        </w:tc>
        <w:tc>
          <w:tcPr>
            <w:tcW w:w="267" w:type="pct"/>
            <w:vMerge w:val="continue"/>
            <w:vAlign w:val="center"/>
          </w:tcPr>
          <w:p w14:paraId="3D2C7762">
            <w:pPr>
              <w:pStyle w:val="38"/>
              <w:rPr>
                <w:rFonts w:hint="default" w:ascii="Times New Roman" w:hAnsi="Times New Roman" w:eastAsia="宋体" w:cs="Times New Roman"/>
                <w:color w:val="000000" w:themeColor="text1"/>
                <w14:textFill>
                  <w14:solidFill>
                    <w14:schemeClr w14:val="tx1"/>
                  </w14:solidFill>
                </w14:textFill>
              </w:rPr>
            </w:pPr>
          </w:p>
        </w:tc>
        <w:tc>
          <w:tcPr>
            <w:tcW w:w="267" w:type="pct"/>
            <w:vMerge w:val="continue"/>
            <w:vAlign w:val="center"/>
          </w:tcPr>
          <w:p w14:paraId="6DECCFAD">
            <w:pPr>
              <w:pStyle w:val="38"/>
              <w:rPr>
                <w:rFonts w:hint="default" w:ascii="Times New Roman" w:hAnsi="Times New Roman" w:eastAsia="宋体" w:cs="Times New Roman"/>
                <w:color w:val="000000" w:themeColor="text1"/>
                <w14:textFill>
                  <w14:solidFill>
                    <w14:schemeClr w14:val="tx1"/>
                  </w14:solidFill>
                </w14:textFill>
              </w:rPr>
            </w:pPr>
          </w:p>
        </w:tc>
        <w:tc>
          <w:tcPr>
            <w:tcW w:w="328" w:type="pct"/>
            <w:vMerge w:val="continue"/>
            <w:vAlign w:val="center"/>
          </w:tcPr>
          <w:p w14:paraId="30E82153">
            <w:pPr>
              <w:pStyle w:val="38"/>
              <w:rPr>
                <w:rFonts w:hint="default" w:ascii="Times New Roman" w:hAnsi="Times New Roman" w:eastAsia="宋体" w:cs="Times New Roman"/>
                <w:color w:val="000000" w:themeColor="text1"/>
                <w14:textFill>
                  <w14:solidFill>
                    <w14:schemeClr w14:val="tx1"/>
                  </w14:solidFill>
                </w14:textFill>
              </w:rPr>
            </w:pPr>
          </w:p>
        </w:tc>
        <w:tc>
          <w:tcPr>
            <w:tcW w:w="211" w:type="pct"/>
            <w:vMerge w:val="continue"/>
            <w:vAlign w:val="center"/>
          </w:tcPr>
          <w:p w14:paraId="54534232">
            <w:pPr>
              <w:pStyle w:val="38"/>
              <w:rPr>
                <w:rFonts w:hint="default" w:ascii="Times New Roman" w:hAnsi="Times New Roman" w:eastAsia="宋体" w:cs="Times New Roman"/>
                <w:color w:val="000000" w:themeColor="text1"/>
                <w14:textFill>
                  <w14:solidFill>
                    <w14:schemeClr w14:val="tx1"/>
                  </w14:solidFill>
                </w14:textFill>
              </w:rPr>
            </w:pPr>
          </w:p>
        </w:tc>
        <w:tc>
          <w:tcPr>
            <w:tcW w:w="268" w:type="pct"/>
            <w:vMerge w:val="continue"/>
            <w:vAlign w:val="center"/>
          </w:tcPr>
          <w:p w14:paraId="191F583A">
            <w:pPr>
              <w:pStyle w:val="38"/>
              <w:rPr>
                <w:rFonts w:hint="default" w:ascii="Times New Roman" w:hAnsi="Times New Roman" w:eastAsia="宋体" w:cs="Times New Roman"/>
                <w:color w:val="000000" w:themeColor="text1"/>
                <w14:textFill>
                  <w14:solidFill>
                    <w14:schemeClr w14:val="tx1"/>
                  </w14:solidFill>
                </w14:textFill>
              </w:rPr>
            </w:pPr>
          </w:p>
        </w:tc>
        <w:tc>
          <w:tcPr>
            <w:tcW w:w="255" w:type="pct"/>
            <w:vMerge w:val="continue"/>
            <w:vAlign w:val="center"/>
          </w:tcPr>
          <w:p w14:paraId="6288574D">
            <w:pPr>
              <w:pStyle w:val="38"/>
              <w:rPr>
                <w:rFonts w:hint="default" w:ascii="Times New Roman" w:hAnsi="Times New Roman" w:eastAsia="宋体" w:cs="Times New Roman"/>
                <w:color w:val="000000" w:themeColor="text1"/>
                <w14:textFill>
                  <w14:solidFill>
                    <w14:schemeClr w14:val="tx1"/>
                  </w14:solidFill>
                </w14:textFill>
              </w:rPr>
            </w:pPr>
          </w:p>
        </w:tc>
        <w:tc>
          <w:tcPr>
            <w:tcW w:w="533" w:type="pct"/>
            <w:vAlign w:val="center"/>
          </w:tcPr>
          <w:p w14:paraId="238A0196">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NH</w:t>
            </w:r>
            <w:r>
              <w:rPr>
                <w:rFonts w:hint="default" w:ascii="Times New Roman" w:hAnsi="Times New Roman" w:eastAsia="宋体" w:cs="Times New Roman"/>
                <w:color w:val="000000" w:themeColor="text1"/>
                <w:vertAlign w:val="subscript"/>
                <w14:textFill>
                  <w14:solidFill>
                    <w14:schemeClr w14:val="tx1"/>
                  </w14:solidFill>
                </w14:textFill>
              </w:rPr>
              <w:t>3</w:t>
            </w:r>
          </w:p>
        </w:tc>
        <w:tc>
          <w:tcPr>
            <w:tcW w:w="610" w:type="pct"/>
            <w:vAlign w:val="center"/>
          </w:tcPr>
          <w:p w14:paraId="3BAA7C24">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H</w:t>
            </w:r>
            <w:r>
              <w:rPr>
                <w:rFonts w:hint="default" w:ascii="Times New Roman" w:hAnsi="Times New Roman" w:eastAsia="宋体" w:cs="Times New Roman"/>
                <w:color w:val="000000" w:themeColor="text1"/>
                <w:vertAlign w:val="subscript"/>
                <w14:textFill>
                  <w14:solidFill>
                    <w14:schemeClr w14:val="tx1"/>
                  </w14:solidFill>
                </w14:textFill>
              </w:rPr>
              <w:t>2</w:t>
            </w:r>
            <w:r>
              <w:rPr>
                <w:rFonts w:hint="default" w:ascii="Times New Roman" w:hAnsi="Times New Roman" w:eastAsia="宋体" w:cs="Times New Roman"/>
                <w:color w:val="000000" w:themeColor="text1"/>
                <w14:textFill>
                  <w14:solidFill>
                    <w14:schemeClr w14:val="tx1"/>
                  </w14:solidFill>
                </w14:textFill>
              </w:rPr>
              <w:t>S</w:t>
            </w:r>
          </w:p>
        </w:tc>
      </w:tr>
      <w:tr w14:paraId="203E09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0" w:hRule="atLeast"/>
          <w:jc w:val="center"/>
        </w:trPr>
        <w:tc>
          <w:tcPr>
            <w:tcW w:w="195" w:type="pct"/>
            <w:vAlign w:val="center"/>
          </w:tcPr>
          <w:p w14:paraId="39A77DD9">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1</w:t>
            </w:r>
          </w:p>
        </w:tc>
        <w:tc>
          <w:tcPr>
            <w:tcW w:w="857" w:type="pct"/>
            <w:vAlign w:val="center"/>
          </w:tcPr>
          <w:p w14:paraId="6993C319">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粪污储存间</w:t>
            </w:r>
            <w:r>
              <w:rPr>
                <w:rFonts w:hint="default" w:ascii="Times New Roman" w:hAnsi="Times New Roman" w:eastAsia="宋体" w:cs="Times New Roman"/>
                <w:color w:val="000000" w:themeColor="text1"/>
                <w:lang w:eastAsia="zh-CN"/>
                <w14:textFill>
                  <w14:solidFill>
                    <w14:schemeClr w14:val="tx1"/>
                  </w14:solidFill>
                </w14:textFill>
              </w:rPr>
              <w:t>排气筒DA001</w:t>
            </w:r>
          </w:p>
        </w:tc>
        <w:tc>
          <w:tcPr>
            <w:tcW w:w="449" w:type="pct"/>
            <w:vAlign w:val="center"/>
          </w:tcPr>
          <w:p w14:paraId="64B08B0B">
            <w:pPr>
              <w:pStyle w:val="38"/>
              <w:rPr>
                <w:rFonts w:hint="default" w:ascii="Times New Roman" w:hAnsi="Times New Roman" w:eastAsia="宋体" w:cs="Times New Roman"/>
                <w:snapToGrid w:val="0"/>
                <w:color w:val="000000" w:themeColor="text1"/>
                <w:lang w:eastAsia="zh-CN"/>
                <w14:textFill>
                  <w14:solidFill>
                    <w14:schemeClr w14:val="tx1"/>
                  </w14:solidFill>
                </w14:textFill>
              </w:rPr>
            </w:pPr>
            <w:r>
              <w:rPr>
                <w:rFonts w:hint="default" w:ascii="Times New Roman" w:hAnsi="Times New Roman" w:eastAsia="宋体" w:cs="Times New Roman"/>
                <w:snapToGrid w:val="0"/>
                <w:color w:val="000000" w:themeColor="text1"/>
                <w:lang w:eastAsia="zh-CN"/>
                <w14:textFill>
                  <w14:solidFill>
                    <w14:schemeClr w14:val="tx1"/>
                  </w14:solidFill>
                </w14:textFill>
              </w:rPr>
              <w:t>131.16434255</w:t>
            </w:r>
          </w:p>
        </w:tc>
        <w:tc>
          <w:tcPr>
            <w:tcW w:w="381" w:type="pct"/>
            <w:vAlign w:val="center"/>
          </w:tcPr>
          <w:p w14:paraId="63D31397">
            <w:pPr>
              <w:pStyle w:val="38"/>
              <w:rPr>
                <w:rFonts w:hint="default" w:ascii="Times New Roman" w:hAnsi="Times New Roman" w:eastAsia="宋体" w:cs="Times New Roman"/>
                <w:snapToGrid w:val="0"/>
                <w:color w:val="000000" w:themeColor="text1"/>
                <w:lang w:eastAsia="zh-CN"/>
                <w14:textFill>
                  <w14:solidFill>
                    <w14:schemeClr w14:val="tx1"/>
                  </w14:solidFill>
                </w14:textFill>
              </w:rPr>
            </w:pPr>
            <w:r>
              <w:rPr>
                <w:rFonts w:hint="default" w:ascii="Times New Roman" w:hAnsi="Times New Roman" w:eastAsia="宋体" w:cs="Times New Roman"/>
                <w:snapToGrid w:val="0"/>
                <w:color w:val="000000" w:themeColor="text1"/>
                <w:lang w:eastAsia="zh-CN"/>
                <w14:textFill>
                  <w14:solidFill>
                    <w14:schemeClr w14:val="tx1"/>
                  </w14:solidFill>
                </w14:textFill>
              </w:rPr>
              <w:t>46.79756434</w:t>
            </w:r>
          </w:p>
        </w:tc>
        <w:tc>
          <w:tcPr>
            <w:tcW w:w="378" w:type="pct"/>
            <w:vAlign w:val="center"/>
          </w:tcPr>
          <w:p w14:paraId="33A36598">
            <w:pPr>
              <w:pStyle w:val="38"/>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104</w:t>
            </w:r>
          </w:p>
        </w:tc>
        <w:tc>
          <w:tcPr>
            <w:tcW w:w="267" w:type="pct"/>
            <w:vAlign w:val="center"/>
          </w:tcPr>
          <w:p w14:paraId="1E7D349D">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15</w:t>
            </w:r>
          </w:p>
        </w:tc>
        <w:tc>
          <w:tcPr>
            <w:tcW w:w="267" w:type="pct"/>
            <w:vAlign w:val="center"/>
          </w:tcPr>
          <w:p w14:paraId="44582DF2">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0.3</w:t>
            </w:r>
          </w:p>
        </w:tc>
        <w:tc>
          <w:tcPr>
            <w:tcW w:w="328" w:type="pct"/>
            <w:vAlign w:val="center"/>
          </w:tcPr>
          <w:p w14:paraId="05E77EA0">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4.22</w:t>
            </w:r>
          </w:p>
        </w:tc>
        <w:tc>
          <w:tcPr>
            <w:tcW w:w="211" w:type="pct"/>
            <w:vAlign w:val="center"/>
          </w:tcPr>
          <w:p w14:paraId="1CF16E35">
            <w:pPr>
              <w:pStyle w:val="38"/>
              <w:rPr>
                <w:rFonts w:hint="default" w:ascii="Times New Roman" w:hAnsi="Times New Roman" w:eastAsia="宋体" w:cs="Times New Roman"/>
                <w:snapToGrid w:val="0"/>
                <w:color w:val="000000" w:themeColor="text1"/>
                <w:lang w:eastAsia="zh-CN"/>
                <w14:textFill>
                  <w14:solidFill>
                    <w14:schemeClr w14:val="tx1"/>
                  </w14:solidFill>
                </w14:textFill>
              </w:rPr>
            </w:pPr>
            <w:r>
              <w:rPr>
                <w:rFonts w:hint="default" w:ascii="Times New Roman" w:hAnsi="Times New Roman" w:eastAsia="宋体" w:cs="Times New Roman"/>
                <w:snapToGrid w:val="0"/>
                <w:color w:val="000000" w:themeColor="text1"/>
                <w:lang w:eastAsia="zh-CN"/>
                <w14:textFill>
                  <w14:solidFill>
                    <w14:schemeClr w14:val="tx1"/>
                  </w14:solidFill>
                </w14:textFill>
              </w:rPr>
              <w:t>25</w:t>
            </w:r>
          </w:p>
        </w:tc>
        <w:tc>
          <w:tcPr>
            <w:tcW w:w="268" w:type="pct"/>
            <w:vAlign w:val="center"/>
          </w:tcPr>
          <w:p w14:paraId="751DB5ED">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8760</w:t>
            </w:r>
          </w:p>
        </w:tc>
        <w:tc>
          <w:tcPr>
            <w:tcW w:w="255" w:type="pct"/>
            <w:vAlign w:val="center"/>
          </w:tcPr>
          <w:p w14:paraId="0FD93AAA">
            <w:pPr>
              <w:pStyle w:val="3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lang w:eastAsia="zh-CN"/>
                <w14:textFill>
                  <w14:solidFill>
                    <w14:schemeClr w14:val="tx1"/>
                  </w14:solidFill>
                </w14:textFill>
              </w:rPr>
              <w:t>连续</w:t>
            </w:r>
          </w:p>
        </w:tc>
        <w:tc>
          <w:tcPr>
            <w:tcW w:w="533" w:type="pct"/>
            <w:vAlign w:val="center"/>
          </w:tcPr>
          <w:p w14:paraId="1BAC3F16">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snapToGrid w:val="0"/>
                <w:color w:val="0000FF"/>
                <w:kern w:val="2"/>
                <w:sz w:val="21"/>
                <w:szCs w:val="21"/>
                <w:highlight w:val="none"/>
                <w:lang w:val="en-US" w:eastAsia="zh-CN" w:bidi="ar-SA"/>
              </w:rPr>
              <w:t>2.94</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-3</w:t>
            </w:r>
          </w:p>
        </w:tc>
        <w:tc>
          <w:tcPr>
            <w:tcW w:w="610" w:type="pct"/>
            <w:vAlign w:val="center"/>
          </w:tcPr>
          <w:p w14:paraId="37F8AB34">
            <w:pPr>
              <w:pStyle w:val="38"/>
              <w:rPr>
                <w:rFonts w:hint="default"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snapToGrid w:val="0"/>
                <w:color w:val="0000FF"/>
                <w:kern w:val="2"/>
                <w:sz w:val="21"/>
                <w:szCs w:val="21"/>
                <w:highlight w:val="none"/>
                <w:lang w:val="en-US" w:eastAsia="zh-CN" w:bidi="ar-SA"/>
              </w:rPr>
              <w:t>2.17</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-5</w:t>
            </w:r>
          </w:p>
        </w:tc>
      </w:tr>
      <w:bookmarkEnd w:id="82"/>
    </w:tbl>
    <w:p w14:paraId="2258393A">
      <w:pPr>
        <w:keepNext w:val="0"/>
        <w:keepLines w:val="0"/>
        <w:pageBreakBefore w:val="0"/>
        <w:kinsoku/>
        <w:wordWrap w:val="0"/>
        <w:overflowPunct/>
        <w:topLinePunct/>
        <w:autoSpaceDE/>
        <w:autoSpaceDN/>
        <w:bidi w:val="0"/>
        <w:adjustRightInd w:val="0"/>
        <w:snapToGrid w:val="0"/>
        <w:spacing w:before="33" w:line="214" w:lineRule="auto"/>
        <w:jc w:val="center"/>
        <w:textAlignment w:val="baseline"/>
        <w:rPr>
          <w:rFonts w:hint="default" w:ascii="Times New Roman" w:hAnsi="Times New Roman" w:eastAsia="宋体" w:cs="Times New Roman"/>
          <w:b/>
          <w:bCs/>
          <w:color w:val="0000FF"/>
          <w:spacing w:val="-2"/>
          <w:sz w:val="24"/>
          <w:szCs w:val="24"/>
          <w:highlight w:val="none"/>
        </w:rPr>
      </w:pPr>
      <w:bookmarkStart w:id="83" w:name="_Hlk28274917"/>
      <w:r>
        <w:rPr>
          <w:rFonts w:hint="default" w:ascii="Times New Roman" w:hAnsi="Times New Roman" w:eastAsia="宋体" w:cs="Times New Roman"/>
          <w:b/>
          <w:bCs/>
          <w:color w:val="0000FF"/>
          <w:spacing w:val="-2"/>
          <w:sz w:val="24"/>
          <w:szCs w:val="24"/>
          <w:highlight w:val="none"/>
        </w:rPr>
        <w:t>表2</w:t>
      </w:r>
      <w:r>
        <w:rPr>
          <w:rFonts w:hint="eastAsia" w:ascii="Times New Roman" w:hAnsi="Times New Roman" w:eastAsia="宋体" w:cs="Times New Roman"/>
          <w:b/>
          <w:bCs/>
          <w:color w:val="0000FF"/>
          <w:spacing w:val="-2"/>
          <w:sz w:val="24"/>
          <w:szCs w:val="24"/>
          <w:highlight w:val="none"/>
          <w:lang w:val="en-US" w:eastAsia="zh-CN"/>
        </w:rPr>
        <w:t>.</w:t>
      </w:r>
      <w:r>
        <w:rPr>
          <w:rFonts w:hint="default" w:ascii="Times New Roman" w:hAnsi="Times New Roman" w:eastAsia="宋体" w:cs="Times New Roman"/>
          <w:b/>
          <w:bCs/>
          <w:color w:val="0000FF"/>
          <w:spacing w:val="-2"/>
          <w:sz w:val="24"/>
          <w:szCs w:val="24"/>
          <w:highlight w:val="none"/>
        </w:rPr>
        <w:t>5-7 本项目主要污染物最大浓度及浓度占标率</w:t>
      </w:r>
      <w:r>
        <w:rPr>
          <w:rFonts w:hint="default" w:ascii="Times New Roman" w:hAnsi="Times New Roman" w:eastAsia="宋体" w:cs="Times New Roman"/>
          <w:b/>
          <w:bCs/>
          <w:color w:val="0000FF"/>
          <w:spacing w:val="-2"/>
          <w:sz w:val="24"/>
          <w:szCs w:val="24"/>
          <w:highlight w:val="none"/>
          <w:lang w:eastAsia="zh-CN"/>
        </w:rPr>
        <w:t>（点源）</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53"/>
        <w:gridCol w:w="2174"/>
        <w:gridCol w:w="1924"/>
        <w:gridCol w:w="2449"/>
        <w:gridCol w:w="2354"/>
      </w:tblGrid>
      <w:tr w14:paraId="1BEA04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vMerge w:val="restart"/>
            <w:shd w:val="clear" w:color="auto" w:fill="auto"/>
            <w:vAlign w:val="center"/>
          </w:tcPr>
          <w:p w14:paraId="2D9827EF">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rPr>
              <w:t>下风向距离/m</w:t>
            </w:r>
          </w:p>
        </w:tc>
        <w:tc>
          <w:tcPr>
            <w:tcW w:w="3308" w:type="pct"/>
            <w:gridSpan w:val="4"/>
            <w:shd w:val="clear" w:color="auto" w:fill="auto"/>
            <w:vAlign w:val="center"/>
          </w:tcPr>
          <w:p w14:paraId="3C46F493">
            <w:pPr>
              <w:pStyle w:val="38"/>
              <w:rPr>
                <w:rFonts w:hint="default" w:ascii="Times New Roman" w:hAnsi="Times New Roman" w:eastAsia="宋体" w:cs="Times New Roman"/>
                <w:snapToGrid w:val="0"/>
                <w:color w:val="0000FF"/>
                <w:szCs w:val="21"/>
                <w:lang w:eastAsia="zh-CN"/>
              </w:rPr>
            </w:pPr>
            <w:r>
              <w:rPr>
                <w:rFonts w:hint="default" w:ascii="Times New Roman" w:hAnsi="Times New Roman" w:eastAsia="宋体" w:cs="Times New Roman"/>
                <w:color w:val="0000FF"/>
                <w:lang w:val="en-US" w:eastAsia="zh-CN"/>
              </w:rPr>
              <w:t>粪污储存间</w:t>
            </w:r>
            <w:r>
              <w:rPr>
                <w:rFonts w:hint="default" w:ascii="Times New Roman" w:hAnsi="Times New Roman" w:eastAsia="宋体" w:cs="Times New Roman"/>
                <w:color w:val="0000FF"/>
                <w:lang w:eastAsia="zh-CN"/>
              </w:rPr>
              <w:t>排气筒DA001</w:t>
            </w:r>
          </w:p>
        </w:tc>
      </w:tr>
      <w:tr w14:paraId="5D447E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vMerge w:val="continue"/>
            <w:shd w:val="clear" w:color="auto" w:fill="auto"/>
            <w:vAlign w:val="center"/>
          </w:tcPr>
          <w:p w14:paraId="7BC899A6">
            <w:pPr>
              <w:pStyle w:val="38"/>
              <w:rPr>
                <w:rFonts w:hint="default" w:ascii="Times New Roman" w:hAnsi="Times New Roman" w:eastAsia="宋体" w:cs="Times New Roman"/>
                <w:snapToGrid w:val="0"/>
                <w:color w:val="0000FF"/>
                <w:szCs w:val="21"/>
              </w:rPr>
            </w:pPr>
          </w:p>
        </w:tc>
        <w:tc>
          <w:tcPr>
            <w:tcW w:w="1523" w:type="pct"/>
            <w:gridSpan w:val="2"/>
            <w:shd w:val="clear" w:color="auto" w:fill="auto"/>
            <w:vAlign w:val="center"/>
          </w:tcPr>
          <w:p w14:paraId="0339D8F2">
            <w:pPr>
              <w:pStyle w:val="38"/>
              <w:rPr>
                <w:rFonts w:hint="default" w:ascii="Times New Roman" w:hAnsi="Times New Roman" w:eastAsia="宋体" w:cs="Times New Roman"/>
                <w:snapToGrid w:val="0"/>
                <w:color w:val="0000FF"/>
                <w:kern w:val="0"/>
                <w:szCs w:val="21"/>
                <w:vertAlign w:val="subscript"/>
                <w:lang w:eastAsia="zh-CN"/>
              </w:rPr>
            </w:pPr>
            <w:r>
              <w:rPr>
                <w:rFonts w:hint="default" w:ascii="Times New Roman" w:hAnsi="Times New Roman" w:eastAsia="宋体" w:cs="Times New Roman"/>
                <w:snapToGrid w:val="0"/>
                <w:color w:val="0000FF"/>
                <w:kern w:val="0"/>
                <w:szCs w:val="21"/>
                <w:lang w:eastAsia="zh-CN"/>
              </w:rPr>
              <w:t>NH</w:t>
            </w:r>
            <w:r>
              <w:rPr>
                <w:rFonts w:hint="default" w:ascii="Times New Roman" w:hAnsi="Times New Roman" w:eastAsia="宋体" w:cs="Times New Roman"/>
                <w:snapToGrid w:val="0"/>
                <w:color w:val="0000FF"/>
                <w:kern w:val="0"/>
                <w:szCs w:val="21"/>
                <w:vertAlign w:val="subscript"/>
                <w:lang w:eastAsia="zh-CN"/>
              </w:rPr>
              <w:t>3</w:t>
            </w:r>
          </w:p>
        </w:tc>
        <w:tc>
          <w:tcPr>
            <w:tcW w:w="1785" w:type="pct"/>
            <w:gridSpan w:val="2"/>
            <w:vAlign w:val="center"/>
          </w:tcPr>
          <w:p w14:paraId="1CAE603F">
            <w:pPr>
              <w:pStyle w:val="38"/>
              <w:rPr>
                <w:rFonts w:hint="default" w:ascii="Times New Roman" w:hAnsi="Times New Roman" w:eastAsia="宋体" w:cs="Times New Roman"/>
                <w:snapToGrid w:val="0"/>
                <w:color w:val="0000FF"/>
                <w:kern w:val="0"/>
                <w:szCs w:val="21"/>
                <w:lang w:eastAsia="zh-CN"/>
              </w:rPr>
            </w:pPr>
            <w:r>
              <w:rPr>
                <w:rFonts w:hint="default" w:ascii="Times New Roman" w:hAnsi="Times New Roman" w:eastAsia="宋体" w:cs="Times New Roman"/>
                <w:snapToGrid w:val="0"/>
                <w:color w:val="0000FF"/>
                <w:kern w:val="0"/>
                <w:szCs w:val="21"/>
                <w:lang w:eastAsia="zh-CN"/>
              </w:rPr>
              <w:t>H</w:t>
            </w:r>
            <w:r>
              <w:rPr>
                <w:rFonts w:hint="default" w:ascii="Times New Roman" w:hAnsi="Times New Roman" w:eastAsia="宋体" w:cs="Times New Roman"/>
                <w:snapToGrid w:val="0"/>
                <w:color w:val="0000FF"/>
                <w:kern w:val="0"/>
                <w:szCs w:val="21"/>
                <w:vertAlign w:val="subscript"/>
                <w:lang w:eastAsia="zh-CN"/>
              </w:rPr>
              <w:t>2</w:t>
            </w:r>
            <w:r>
              <w:rPr>
                <w:rFonts w:hint="default" w:ascii="Times New Roman" w:hAnsi="Times New Roman" w:eastAsia="宋体" w:cs="Times New Roman"/>
                <w:snapToGrid w:val="0"/>
                <w:color w:val="0000FF"/>
                <w:kern w:val="0"/>
                <w:szCs w:val="21"/>
                <w:lang w:eastAsia="zh-CN"/>
              </w:rPr>
              <w:t>S</w:t>
            </w:r>
          </w:p>
        </w:tc>
      </w:tr>
      <w:tr w14:paraId="1CAA66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vMerge w:val="continue"/>
            <w:shd w:val="clear" w:color="auto" w:fill="auto"/>
            <w:vAlign w:val="center"/>
          </w:tcPr>
          <w:p w14:paraId="27C5263C">
            <w:pPr>
              <w:pStyle w:val="38"/>
              <w:rPr>
                <w:rFonts w:hint="default" w:ascii="Times New Roman" w:hAnsi="Times New Roman" w:eastAsia="宋体" w:cs="Times New Roman"/>
                <w:snapToGrid w:val="0"/>
                <w:color w:val="0000FF"/>
                <w:szCs w:val="21"/>
              </w:rPr>
            </w:pPr>
          </w:p>
        </w:tc>
        <w:tc>
          <w:tcPr>
            <w:tcW w:w="808" w:type="pct"/>
            <w:shd w:val="clear" w:color="auto" w:fill="auto"/>
            <w:vAlign w:val="center"/>
          </w:tcPr>
          <w:p w14:paraId="26623FA1">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rPr>
              <w:t>预测质量浓度/μg/m</w:t>
            </w:r>
            <w:r>
              <w:rPr>
                <w:rFonts w:hint="default" w:ascii="Times New Roman" w:hAnsi="Times New Roman" w:eastAsia="宋体" w:cs="Times New Roman"/>
                <w:snapToGrid w:val="0"/>
                <w:color w:val="0000FF"/>
                <w:szCs w:val="21"/>
                <w:vertAlign w:val="superscript"/>
              </w:rPr>
              <w:t>3</w:t>
            </w:r>
          </w:p>
        </w:tc>
        <w:tc>
          <w:tcPr>
            <w:tcW w:w="715" w:type="pct"/>
            <w:vAlign w:val="center"/>
          </w:tcPr>
          <w:p w14:paraId="3BBDB44B">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rPr>
              <w:t>占标率/%</w:t>
            </w:r>
          </w:p>
        </w:tc>
        <w:tc>
          <w:tcPr>
            <w:tcW w:w="910" w:type="pct"/>
            <w:vAlign w:val="center"/>
          </w:tcPr>
          <w:p w14:paraId="6B938B40">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rPr>
              <w:t>预测质量浓度/μg/m</w:t>
            </w:r>
            <w:r>
              <w:rPr>
                <w:rFonts w:hint="default" w:ascii="Times New Roman" w:hAnsi="Times New Roman" w:eastAsia="宋体" w:cs="Times New Roman"/>
                <w:snapToGrid w:val="0"/>
                <w:color w:val="0000FF"/>
                <w:szCs w:val="21"/>
                <w:vertAlign w:val="superscript"/>
              </w:rPr>
              <w:t>3</w:t>
            </w:r>
          </w:p>
        </w:tc>
        <w:tc>
          <w:tcPr>
            <w:tcW w:w="875" w:type="pct"/>
            <w:vAlign w:val="center"/>
          </w:tcPr>
          <w:p w14:paraId="16520A2B">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rPr>
              <w:t>占标率/%</w:t>
            </w:r>
          </w:p>
        </w:tc>
      </w:tr>
      <w:tr w14:paraId="0E0626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51D48A37">
            <w:pPr>
              <w:pStyle w:val="38"/>
              <w:rPr>
                <w:rFonts w:hint="default" w:ascii="Times New Roman" w:hAnsi="Times New Roman" w:eastAsia="宋体" w:cs="Times New Roman"/>
                <w:snapToGrid w:val="0"/>
                <w:color w:val="0000FF"/>
                <w:szCs w:val="21"/>
                <w:lang w:eastAsia="zh-CN"/>
              </w:rPr>
            </w:pPr>
            <w:r>
              <w:rPr>
                <w:rFonts w:hint="default" w:ascii="Times New Roman" w:hAnsi="Times New Roman" w:eastAsia="宋体" w:cs="Times New Roman"/>
                <w:snapToGrid w:val="0"/>
                <w:color w:val="0000FF"/>
                <w:szCs w:val="21"/>
                <w:lang w:eastAsia="zh-CN"/>
              </w:rPr>
              <w:t>25</w:t>
            </w:r>
          </w:p>
        </w:tc>
        <w:tc>
          <w:tcPr>
            <w:tcW w:w="808" w:type="pct"/>
            <w:shd w:val="clear" w:color="auto" w:fill="auto"/>
            <w:vAlign w:val="center"/>
          </w:tcPr>
          <w:p w14:paraId="61C73E04">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0.000425</w:t>
            </w:r>
          </w:p>
        </w:tc>
        <w:tc>
          <w:tcPr>
            <w:tcW w:w="715" w:type="pct"/>
            <w:vAlign w:val="center"/>
          </w:tcPr>
          <w:p w14:paraId="04AE190E">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0.21</w:t>
            </w:r>
          </w:p>
        </w:tc>
        <w:tc>
          <w:tcPr>
            <w:tcW w:w="910" w:type="pct"/>
            <w:vAlign w:val="center"/>
          </w:tcPr>
          <w:p w14:paraId="564EDBC1">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0.000003</w:t>
            </w:r>
          </w:p>
        </w:tc>
        <w:tc>
          <w:tcPr>
            <w:tcW w:w="875" w:type="pct"/>
            <w:vAlign w:val="center"/>
          </w:tcPr>
          <w:p w14:paraId="2A515481">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0.03</w:t>
            </w:r>
          </w:p>
        </w:tc>
      </w:tr>
      <w:tr w14:paraId="67E637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494CA320">
            <w:pPr>
              <w:pStyle w:val="38"/>
              <w:rPr>
                <w:rFonts w:hint="default" w:ascii="Times New Roman" w:hAnsi="Times New Roman" w:eastAsia="宋体" w:cs="Times New Roman"/>
                <w:snapToGrid w:val="0"/>
                <w:color w:val="0000FF"/>
                <w:szCs w:val="21"/>
                <w:lang w:eastAsia="zh-CN"/>
              </w:rPr>
            </w:pPr>
            <w:r>
              <w:rPr>
                <w:rFonts w:hint="default" w:ascii="Times New Roman" w:hAnsi="Times New Roman" w:eastAsia="宋体" w:cs="Times New Roman"/>
                <w:snapToGrid w:val="0"/>
                <w:color w:val="0000FF"/>
                <w:szCs w:val="21"/>
                <w:lang w:eastAsia="zh-CN"/>
              </w:rPr>
              <w:t>50</w:t>
            </w:r>
          </w:p>
        </w:tc>
        <w:tc>
          <w:tcPr>
            <w:tcW w:w="808" w:type="pct"/>
            <w:shd w:val="clear" w:color="auto" w:fill="auto"/>
            <w:vAlign w:val="center"/>
          </w:tcPr>
          <w:p w14:paraId="1C1AE17D">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0.000939</w:t>
            </w:r>
          </w:p>
        </w:tc>
        <w:tc>
          <w:tcPr>
            <w:tcW w:w="715" w:type="pct"/>
            <w:vAlign w:val="center"/>
          </w:tcPr>
          <w:p w14:paraId="20C5F36D">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0.47</w:t>
            </w:r>
          </w:p>
        </w:tc>
        <w:tc>
          <w:tcPr>
            <w:tcW w:w="910" w:type="pct"/>
            <w:vAlign w:val="center"/>
          </w:tcPr>
          <w:p w14:paraId="2BCDE91C">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0.000007</w:t>
            </w:r>
          </w:p>
        </w:tc>
        <w:tc>
          <w:tcPr>
            <w:tcW w:w="875" w:type="pct"/>
            <w:vAlign w:val="center"/>
          </w:tcPr>
          <w:p w14:paraId="1574A327">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0.07</w:t>
            </w:r>
          </w:p>
        </w:tc>
      </w:tr>
      <w:tr w14:paraId="78C1A0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5029ECE0">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color w:val="0000FF"/>
                <w:szCs w:val="21"/>
              </w:rPr>
              <w:t>100</w:t>
            </w:r>
          </w:p>
        </w:tc>
        <w:tc>
          <w:tcPr>
            <w:tcW w:w="808" w:type="pct"/>
            <w:shd w:val="clear" w:color="auto" w:fill="auto"/>
            <w:vAlign w:val="center"/>
          </w:tcPr>
          <w:p w14:paraId="58453E40">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0.000634</w:t>
            </w:r>
          </w:p>
        </w:tc>
        <w:tc>
          <w:tcPr>
            <w:tcW w:w="715" w:type="pct"/>
            <w:vAlign w:val="center"/>
          </w:tcPr>
          <w:p w14:paraId="633A442D">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0.32</w:t>
            </w:r>
          </w:p>
        </w:tc>
        <w:tc>
          <w:tcPr>
            <w:tcW w:w="910" w:type="pct"/>
            <w:vAlign w:val="center"/>
          </w:tcPr>
          <w:p w14:paraId="447D3975">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0.000005</w:t>
            </w:r>
          </w:p>
        </w:tc>
        <w:tc>
          <w:tcPr>
            <w:tcW w:w="875" w:type="pct"/>
            <w:vAlign w:val="center"/>
          </w:tcPr>
          <w:p w14:paraId="13121326">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0.05</w:t>
            </w:r>
          </w:p>
        </w:tc>
      </w:tr>
      <w:tr w14:paraId="7F51DC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37415359">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color w:val="0000FF"/>
                <w:szCs w:val="21"/>
              </w:rPr>
              <w:t>200</w:t>
            </w:r>
          </w:p>
        </w:tc>
        <w:tc>
          <w:tcPr>
            <w:tcW w:w="808" w:type="pct"/>
            <w:shd w:val="clear" w:color="auto" w:fill="auto"/>
            <w:vAlign w:val="center"/>
          </w:tcPr>
          <w:p w14:paraId="6A982CEB">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0.000553</w:t>
            </w:r>
          </w:p>
        </w:tc>
        <w:tc>
          <w:tcPr>
            <w:tcW w:w="715" w:type="pct"/>
            <w:vAlign w:val="center"/>
          </w:tcPr>
          <w:p w14:paraId="2DB5A24A">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0.28</w:t>
            </w:r>
          </w:p>
        </w:tc>
        <w:tc>
          <w:tcPr>
            <w:tcW w:w="910" w:type="pct"/>
            <w:vAlign w:val="center"/>
          </w:tcPr>
          <w:p w14:paraId="2D85AF18">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0.000004</w:t>
            </w:r>
          </w:p>
        </w:tc>
        <w:tc>
          <w:tcPr>
            <w:tcW w:w="875" w:type="pct"/>
            <w:vAlign w:val="center"/>
          </w:tcPr>
          <w:p w14:paraId="7C9AE4F6">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0.04</w:t>
            </w:r>
          </w:p>
        </w:tc>
      </w:tr>
      <w:tr w14:paraId="5C7D90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0280FC51">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color w:val="0000FF"/>
                <w:szCs w:val="21"/>
              </w:rPr>
              <w:t>300</w:t>
            </w:r>
          </w:p>
        </w:tc>
        <w:tc>
          <w:tcPr>
            <w:tcW w:w="808" w:type="pct"/>
            <w:shd w:val="clear" w:color="auto" w:fill="auto"/>
            <w:vAlign w:val="center"/>
          </w:tcPr>
          <w:p w14:paraId="14928B2C">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0.000408</w:t>
            </w:r>
          </w:p>
        </w:tc>
        <w:tc>
          <w:tcPr>
            <w:tcW w:w="715" w:type="pct"/>
            <w:vAlign w:val="center"/>
          </w:tcPr>
          <w:p w14:paraId="1781C2AD">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0.19</w:t>
            </w:r>
          </w:p>
        </w:tc>
        <w:tc>
          <w:tcPr>
            <w:tcW w:w="910" w:type="pct"/>
            <w:vAlign w:val="center"/>
          </w:tcPr>
          <w:p w14:paraId="2DB18ECA">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0.000003</w:t>
            </w:r>
          </w:p>
        </w:tc>
        <w:tc>
          <w:tcPr>
            <w:tcW w:w="875" w:type="pct"/>
            <w:vAlign w:val="center"/>
          </w:tcPr>
          <w:p w14:paraId="0FBFA710">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0.03</w:t>
            </w:r>
          </w:p>
        </w:tc>
      </w:tr>
      <w:tr w14:paraId="276ECE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5824B66F">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color w:val="0000FF"/>
                <w:szCs w:val="21"/>
              </w:rPr>
              <w:t>500</w:t>
            </w:r>
          </w:p>
        </w:tc>
        <w:tc>
          <w:tcPr>
            <w:tcW w:w="808" w:type="pct"/>
            <w:shd w:val="clear" w:color="auto" w:fill="auto"/>
            <w:vAlign w:val="center"/>
          </w:tcPr>
          <w:p w14:paraId="7ACAD5A6">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0.000308</w:t>
            </w:r>
          </w:p>
        </w:tc>
        <w:tc>
          <w:tcPr>
            <w:tcW w:w="715" w:type="pct"/>
            <w:vAlign w:val="center"/>
          </w:tcPr>
          <w:p w14:paraId="4ED875BB">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0.15</w:t>
            </w:r>
          </w:p>
        </w:tc>
        <w:tc>
          <w:tcPr>
            <w:tcW w:w="910" w:type="pct"/>
            <w:vAlign w:val="center"/>
          </w:tcPr>
          <w:p w14:paraId="24AFBE4B">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0.000002</w:t>
            </w:r>
          </w:p>
        </w:tc>
        <w:tc>
          <w:tcPr>
            <w:tcW w:w="875" w:type="pct"/>
            <w:vAlign w:val="center"/>
          </w:tcPr>
          <w:p w14:paraId="05241765">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0.02</w:t>
            </w:r>
          </w:p>
        </w:tc>
      </w:tr>
      <w:tr w14:paraId="359819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61068915">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color w:val="0000FF"/>
                <w:szCs w:val="21"/>
              </w:rPr>
              <w:t>1000</w:t>
            </w:r>
          </w:p>
        </w:tc>
        <w:tc>
          <w:tcPr>
            <w:tcW w:w="808" w:type="pct"/>
            <w:shd w:val="clear" w:color="auto" w:fill="auto"/>
            <w:vAlign w:val="center"/>
          </w:tcPr>
          <w:p w14:paraId="2787B3B7">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0.000198</w:t>
            </w:r>
          </w:p>
        </w:tc>
        <w:tc>
          <w:tcPr>
            <w:tcW w:w="715" w:type="pct"/>
            <w:vAlign w:val="center"/>
          </w:tcPr>
          <w:p w14:paraId="515C6AB9">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0.10</w:t>
            </w:r>
          </w:p>
        </w:tc>
        <w:tc>
          <w:tcPr>
            <w:tcW w:w="910" w:type="pct"/>
            <w:vAlign w:val="center"/>
          </w:tcPr>
          <w:p w14:paraId="6D2B3174">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0.000001</w:t>
            </w:r>
          </w:p>
        </w:tc>
        <w:tc>
          <w:tcPr>
            <w:tcW w:w="875" w:type="pct"/>
            <w:vAlign w:val="center"/>
          </w:tcPr>
          <w:p w14:paraId="2D152D9F">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0.01</w:t>
            </w:r>
          </w:p>
        </w:tc>
      </w:tr>
      <w:tr w14:paraId="1802B6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271A15A3">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color w:val="0000FF"/>
                <w:szCs w:val="21"/>
              </w:rPr>
              <w:t>2000</w:t>
            </w:r>
          </w:p>
        </w:tc>
        <w:tc>
          <w:tcPr>
            <w:tcW w:w="808" w:type="pct"/>
            <w:shd w:val="clear" w:color="auto" w:fill="auto"/>
            <w:vAlign w:val="center"/>
          </w:tcPr>
          <w:p w14:paraId="04990157">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0.000118</w:t>
            </w:r>
          </w:p>
        </w:tc>
        <w:tc>
          <w:tcPr>
            <w:tcW w:w="715" w:type="pct"/>
            <w:vAlign w:val="center"/>
          </w:tcPr>
          <w:p w14:paraId="625D2032">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0.06</w:t>
            </w:r>
          </w:p>
        </w:tc>
        <w:tc>
          <w:tcPr>
            <w:tcW w:w="910" w:type="pct"/>
            <w:vAlign w:val="center"/>
          </w:tcPr>
          <w:p w14:paraId="01BF2D7D">
            <w:pPr>
              <w:jc w:val="center"/>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0.000001</w:t>
            </w:r>
          </w:p>
        </w:tc>
        <w:tc>
          <w:tcPr>
            <w:tcW w:w="875" w:type="pct"/>
            <w:vAlign w:val="center"/>
          </w:tcPr>
          <w:p w14:paraId="1E40B3A8">
            <w:pPr>
              <w:jc w:val="center"/>
              <w:rPr>
                <w:rFonts w:hint="default" w:ascii="Times New Roman" w:hAnsi="Times New Roman" w:eastAsia="宋体" w:cs="Times New Roman"/>
                <w:color w:val="0000FF"/>
              </w:rPr>
            </w:pPr>
            <w:r>
              <w:rPr>
                <w:rFonts w:hint="eastAsia" w:ascii="Times New Roman" w:hAnsi="Times New Roman" w:eastAsia="宋体" w:cs="Times New Roman"/>
                <w:color w:val="0000FF"/>
                <w:lang w:val="en-US" w:eastAsia="zh-CN"/>
              </w:rPr>
              <w:t>0.01</w:t>
            </w:r>
          </w:p>
        </w:tc>
      </w:tr>
      <w:tr w14:paraId="7748D7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0CF3F79B">
            <w:pPr>
              <w:pStyle w:val="38"/>
              <w:rPr>
                <w:rFonts w:hint="default" w:ascii="Times New Roman" w:hAnsi="Times New Roman" w:eastAsia="宋体" w:cs="Times New Roman"/>
                <w:color w:val="0000FF"/>
                <w:szCs w:val="21"/>
                <w:lang w:eastAsia="zh-CN"/>
              </w:rPr>
            </w:pPr>
            <w:r>
              <w:rPr>
                <w:rFonts w:hint="default" w:ascii="Times New Roman" w:hAnsi="Times New Roman" w:eastAsia="宋体" w:cs="Times New Roman"/>
                <w:color w:val="0000FF"/>
                <w:szCs w:val="21"/>
                <w:lang w:eastAsia="zh-CN"/>
              </w:rPr>
              <w:t>2500</w:t>
            </w:r>
          </w:p>
        </w:tc>
        <w:tc>
          <w:tcPr>
            <w:tcW w:w="808" w:type="pct"/>
            <w:shd w:val="clear" w:color="auto" w:fill="auto"/>
            <w:vAlign w:val="center"/>
          </w:tcPr>
          <w:p w14:paraId="54FD8D9C">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0.000095</w:t>
            </w:r>
          </w:p>
        </w:tc>
        <w:tc>
          <w:tcPr>
            <w:tcW w:w="715" w:type="pct"/>
            <w:vAlign w:val="center"/>
          </w:tcPr>
          <w:p w14:paraId="07146A28">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0.05</w:t>
            </w:r>
          </w:p>
        </w:tc>
        <w:tc>
          <w:tcPr>
            <w:tcW w:w="910" w:type="pct"/>
            <w:vAlign w:val="center"/>
          </w:tcPr>
          <w:p w14:paraId="2D5D7DA1">
            <w:pPr>
              <w:jc w:val="center"/>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0.000001</w:t>
            </w:r>
          </w:p>
        </w:tc>
        <w:tc>
          <w:tcPr>
            <w:tcW w:w="875" w:type="pct"/>
            <w:vAlign w:val="center"/>
          </w:tcPr>
          <w:p w14:paraId="76A95C95">
            <w:pPr>
              <w:jc w:val="center"/>
              <w:rPr>
                <w:rFonts w:hint="default" w:ascii="Times New Roman" w:hAnsi="Times New Roman" w:eastAsia="宋体" w:cs="Times New Roman"/>
                <w:color w:val="0000FF"/>
              </w:rPr>
            </w:pPr>
            <w:r>
              <w:rPr>
                <w:rFonts w:hint="eastAsia" w:ascii="Times New Roman" w:hAnsi="Times New Roman" w:eastAsia="宋体" w:cs="Times New Roman"/>
                <w:color w:val="0000FF"/>
                <w:lang w:val="en-US" w:eastAsia="zh-CN"/>
              </w:rPr>
              <w:t>0.01</w:t>
            </w:r>
          </w:p>
        </w:tc>
      </w:tr>
      <w:tr w14:paraId="63C5D5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3B0E2A25">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rPr>
              <w:t>下风向最大质量浓度及占标率/%</w:t>
            </w:r>
          </w:p>
        </w:tc>
        <w:tc>
          <w:tcPr>
            <w:tcW w:w="808" w:type="pct"/>
            <w:shd w:val="clear" w:color="auto" w:fill="auto"/>
            <w:vAlign w:val="center"/>
          </w:tcPr>
          <w:p w14:paraId="7238961D">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0.000941</w:t>
            </w:r>
          </w:p>
        </w:tc>
        <w:tc>
          <w:tcPr>
            <w:tcW w:w="715" w:type="pct"/>
            <w:vAlign w:val="center"/>
          </w:tcPr>
          <w:p w14:paraId="3E0B34D4">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0.47</w:t>
            </w:r>
          </w:p>
        </w:tc>
        <w:tc>
          <w:tcPr>
            <w:tcW w:w="910" w:type="pct"/>
            <w:vAlign w:val="center"/>
          </w:tcPr>
          <w:p w14:paraId="0A1353AC">
            <w:pPr>
              <w:pStyle w:val="38"/>
              <w:rPr>
                <w:rFonts w:hint="default" w:ascii="Times New Roman" w:hAnsi="Times New Roman" w:eastAsia="宋体" w:cs="Times New Roman"/>
                <w:color w:val="0000FF"/>
                <w:lang w:val="en-US" w:eastAsia="zh-CN"/>
              </w:rPr>
            </w:pPr>
            <w:r>
              <w:rPr>
                <w:rFonts w:hint="eastAsia" w:ascii="Times New Roman" w:hAnsi="Times New Roman" w:eastAsia="宋体" w:cs="Times New Roman"/>
                <w:color w:val="0000FF"/>
                <w:lang w:val="en-US" w:eastAsia="zh-CN"/>
              </w:rPr>
              <w:t>0.000007</w:t>
            </w:r>
          </w:p>
        </w:tc>
        <w:tc>
          <w:tcPr>
            <w:tcW w:w="875" w:type="pct"/>
            <w:vAlign w:val="center"/>
          </w:tcPr>
          <w:p w14:paraId="227D99FE">
            <w:pPr>
              <w:jc w:val="center"/>
              <w:rPr>
                <w:rFonts w:hint="default" w:ascii="Times New Roman" w:hAnsi="Times New Roman" w:eastAsia="宋体" w:cs="Times New Roman"/>
                <w:color w:val="0000FF"/>
                <w:lang w:eastAsia="zh-CN"/>
              </w:rPr>
            </w:pPr>
            <w:r>
              <w:rPr>
                <w:rFonts w:hint="eastAsia" w:ascii="Times New Roman" w:hAnsi="Times New Roman" w:eastAsia="宋体" w:cs="Times New Roman"/>
                <w:color w:val="0000FF"/>
                <w:lang w:val="en-US" w:eastAsia="zh-CN"/>
              </w:rPr>
              <w:t>0.01</w:t>
            </w:r>
          </w:p>
        </w:tc>
      </w:tr>
      <w:tr w14:paraId="6A8CB9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37AF45B8">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rPr>
              <w:t>最大浓度落地点（m）</w:t>
            </w:r>
          </w:p>
        </w:tc>
        <w:tc>
          <w:tcPr>
            <w:tcW w:w="1523" w:type="pct"/>
            <w:gridSpan w:val="2"/>
            <w:shd w:val="clear" w:color="auto" w:fill="auto"/>
            <w:vAlign w:val="center"/>
          </w:tcPr>
          <w:p w14:paraId="36B8CC91">
            <w:pPr>
              <w:pStyle w:val="38"/>
              <w:rPr>
                <w:rFonts w:hint="default" w:ascii="Times New Roman" w:hAnsi="Times New Roman" w:eastAsia="宋体" w:cs="Times New Roman"/>
                <w:snapToGrid w:val="0"/>
                <w:color w:val="0000FF"/>
                <w:szCs w:val="21"/>
                <w:lang w:val="en-US" w:eastAsia="zh-CN"/>
              </w:rPr>
            </w:pPr>
            <w:r>
              <w:rPr>
                <w:rFonts w:hint="default" w:ascii="Times New Roman" w:hAnsi="Times New Roman" w:eastAsia="宋体" w:cs="Times New Roman"/>
                <w:snapToGrid w:val="0"/>
                <w:color w:val="0000FF"/>
                <w:szCs w:val="21"/>
                <w:lang w:val="en-US" w:eastAsia="zh-CN"/>
              </w:rPr>
              <w:t>48</w:t>
            </w:r>
          </w:p>
        </w:tc>
        <w:tc>
          <w:tcPr>
            <w:tcW w:w="1785" w:type="pct"/>
            <w:gridSpan w:val="2"/>
            <w:vAlign w:val="center"/>
          </w:tcPr>
          <w:p w14:paraId="056D708B">
            <w:pPr>
              <w:pStyle w:val="38"/>
              <w:rPr>
                <w:rFonts w:hint="default" w:ascii="Times New Roman" w:hAnsi="Times New Roman" w:eastAsia="宋体" w:cs="Times New Roman"/>
                <w:snapToGrid w:val="0"/>
                <w:color w:val="0000FF"/>
                <w:szCs w:val="21"/>
                <w:lang w:val="en-US" w:eastAsia="zh-CN"/>
              </w:rPr>
            </w:pPr>
            <w:r>
              <w:rPr>
                <w:rFonts w:hint="default" w:ascii="Times New Roman" w:hAnsi="Times New Roman" w:eastAsia="宋体" w:cs="Times New Roman"/>
                <w:snapToGrid w:val="0"/>
                <w:color w:val="0000FF"/>
                <w:szCs w:val="21"/>
                <w:lang w:val="en-US" w:eastAsia="zh-CN"/>
              </w:rPr>
              <w:t>48</w:t>
            </w:r>
          </w:p>
        </w:tc>
      </w:tr>
      <w:tr w14:paraId="78C1F0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2" w:type="pct"/>
            <w:shd w:val="clear" w:color="auto" w:fill="auto"/>
            <w:vAlign w:val="center"/>
          </w:tcPr>
          <w:p w14:paraId="33C0F997">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rPr>
              <w:t>评价等级</w:t>
            </w:r>
          </w:p>
        </w:tc>
        <w:tc>
          <w:tcPr>
            <w:tcW w:w="1523" w:type="pct"/>
            <w:gridSpan w:val="2"/>
            <w:shd w:val="clear" w:color="auto" w:fill="auto"/>
            <w:vAlign w:val="center"/>
          </w:tcPr>
          <w:p w14:paraId="4C58765F">
            <w:pPr>
              <w:pStyle w:val="38"/>
              <w:rPr>
                <w:rFonts w:hint="default" w:ascii="Times New Roman" w:hAnsi="Times New Roman" w:eastAsia="宋体" w:cs="Times New Roman"/>
                <w:snapToGrid w:val="0"/>
                <w:color w:val="0000FF"/>
                <w:szCs w:val="21"/>
              </w:rPr>
            </w:pPr>
            <w:r>
              <w:rPr>
                <w:rFonts w:hint="default" w:ascii="Times New Roman" w:hAnsi="Times New Roman" w:eastAsia="宋体" w:cs="Times New Roman"/>
                <w:snapToGrid w:val="0"/>
                <w:color w:val="0000FF"/>
                <w:szCs w:val="21"/>
                <w:lang w:eastAsia="zh-CN"/>
              </w:rPr>
              <w:t>三级</w:t>
            </w:r>
          </w:p>
        </w:tc>
        <w:tc>
          <w:tcPr>
            <w:tcW w:w="1785" w:type="pct"/>
            <w:gridSpan w:val="2"/>
            <w:vAlign w:val="center"/>
          </w:tcPr>
          <w:p w14:paraId="546050EB">
            <w:pPr>
              <w:pStyle w:val="38"/>
              <w:rPr>
                <w:rFonts w:hint="default" w:ascii="Times New Roman" w:hAnsi="Times New Roman" w:eastAsia="宋体" w:cs="Times New Roman"/>
                <w:snapToGrid w:val="0"/>
                <w:color w:val="0000FF"/>
                <w:szCs w:val="21"/>
                <w:lang w:eastAsia="zh-CN"/>
              </w:rPr>
            </w:pPr>
            <w:r>
              <w:rPr>
                <w:rFonts w:hint="default" w:ascii="Times New Roman" w:hAnsi="Times New Roman" w:eastAsia="宋体" w:cs="Times New Roman"/>
                <w:snapToGrid w:val="0"/>
                <w:color w:val="0000FF"/>
                <w:szCs w:val="21"/>
                <w:lang w:eastAsia="zh-CN"/>
              </w:rPr>
              <w:t>三级</w:t>
            </w:r>
          </w:p>
        </w:tc>
      </w:tr>
      <w:bookmarkEnd w:id="83"/>
    </w:tbl>
    <w:p w14:paraId="5495C000">
      <w:pPr>
        <w:keepNext w:val="0"/>
        <w:keepLines w:val="0"/>
        <w:pageBreakBefore w:val="0"/>
        <w:kinsoku/>
        <w:wordWrap w:val="0"/>
        <w:overflowPunct/>
        <w:topLinePunct/>
        <w:autoSpaceDE/>
        <w:autoSpaceDN/>
        <w:bidi w:val="0"/>
        <w:adjustRightInd w:val="0"/>
        <w:snapToGrid w:val="0"/>
        <w:spacing w:before="33" w:line="214" w:lineRule="auto"/>
        <w:jc w:val="center"/>
        <w:textAlignment w:val="baseline"/>
        <w:rPr>
          <w:rFonts w:hint="default" w:ascii="Times New Roman" w:hAnsi="Times New Roman" w:eastAsia="宋体" w:cs="Times New Roman"/>
          <w:b/>
          <w:bCs/>
          <w:color w:val="0000FF"/>
          <w:spacing w:val="-2"/>
          <w:sz w:val="24"/>
          <w:szCs w:val="24"/>
          <w:highlight w:val="none"/>
          <w:lang w:val="zh-CN" w:eastAsia="zh-CN"/>
        </w:rPr>
      </w:pPr>
      <w:r>
        <w:rPr>
          <w:rFonts w:hint="default" w:ascii="Times New Roman" w:hAnsi="Times New Roman" w:eastAsia="宋体" w:cs="Times New Roman"/>
          <w:b/>
          <w:bCs/>
          <w:color w:val="0000FF"/>
          <w:spacing w:val="-2"/>
          <w:sz w:val="24"/>
          <w:szCs w:val="24"/>
          <w:highlight w:val="none"/>
          <w:lang w:val="zh-CN" w:eastAsia="zh-CN"/>
        </w:rPr>
        <w:t>表2</w:t>
      </w:r>
      <w:r>
        <w:rPr>
          <w:rFonts w:hint="eastAsia" w:ascii="Times New Roman" w:hAnsi="Times New Roman" w:eastAsia="宋体" w:cs="Times New Roman"/>
          <w:b/>
          <w:bCs/>
          <w:color w:val="0000FF"/>
          <w:spacing w:val="-2"/>
          <w:sz w:val="24"/>
          <w:szCs w:val="24"/>
          <w:highlight w:val="none"/>
          <w:lang w:val="en-US" w:eastAsia="zh-CN"/>
        </w:rPr>
        <w:t>.</w:t>
      </w:r>
      <w:r>
        <w:rPr>
          <w:rFonts w:hint="default" w:ascii="Times New Roman" w:hAnsi="Times New Roman" w:eastAsia="宋体" w:cs="Times New Roman"/>
          <w:b/>
          <w:bCs/>
          <w:color w:val="0000FF"/>
          <w:spacing w:val="-2"/>
          <w:sz w:val="24"/>
          <w:szCs w:val="24"/>
          <w:highlight w:val="none"/>
          <w:lang w:val="zh-CN" w:eastAsia="zh-CN"/>
        </w:rPr>
        <w:t>5-</w:t>
      </w:r>
      <w:r>
        <w:rPr>
          <w:rFonts w:hint="eastAsia" w:ascii="Times New Roman" w:hAnsi="Times New Roman" w:eastAsia="宋体" w:cs="Times New Roman"/>
          <w:b/>
          <w:bCs/>
          <w:color w:val="0000FF"/>
          <w:spacing w:val="-2"/>
          <w:sz w:val="24"/>
          <w:szCs w:val="24"/>
          <w:highlight w:val="none"/>
          <w:lang w:val="en-US" w:eastAsia="zh-CN"/>
        </w:rPr>
        <w:t>8</w:t>
      </w:r>
      <w:r>
        <w:rPr>
          <w:rFonts w:hint="default" w:ascii="Times New Roman" w:hAnsi="Times New Roman" w:eastAsia="宋体" w:cs="Times New Roman"/>
          <w:b/>
          <w:bCs/>
          <w:color w:val="0000FF"/>
          <w:spacing w:val="-2"/>
          <w:sz w:val="24"/>
          <w:szCs w:val="24"/>
          <w:highlight w:val="none"/>
          <w:lang w:val="zh-CN" w:eastAsia="zh-CN"/>
        </w:rPr>
        <w:t>本项目主要污染物最大浓度及浓度占标率（面源）</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48"/>
        <w:gridCol w:w="1448"/>
        <w:gridCol w:w="1451"/>
        <w:gridCol w:w="1830"/>
        <w:gridCol w:w="1386"/>
        <w:gridCol w:w="1448"/>
        <w:gridCol w:w="1451"/>
        <w:gridCol w:w="1572"/>
        <w:gridCol w:w="1420"/>
      </w:tblGrid>
      <w:tr w14:paraId="66F8FF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38" w:type="pct"/>
            <w:vMerge w:val="restart"/>
            <w:shd w:val="clear" w:color="auto" w:fill="auto"/>
            <w:vAlign w:val="center"/>
          </w:tcPr>
          <w:p w14:paraId="614F3742">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下风向距离/m</w:t>
            </w:r>
          </w:p>
        </w:tc>
        <w:tc>
          <w:tcPr>
            <w:tcW w:w="2272" w:type="pct"/>
            <w:gridSpan w:val="4"/>
            <w:shd w:val="clear" w:color="auto" w:fill="auto"/>
            <w:vAlign w:val="center"/>
          </w:tcPr>
          <w:p w14:paraId="1BCA0CE0">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color w:val="FF0000"/>
                <w:highlight w:val="none"/>
                <w:lang w:val="en-US" w:eastAsia="zh-CN"/>
              </w:rPr>
              <w:t>牛舍</w:t>
            </w:r>
          </w:p>
        </w:tc>
        <w:tc>
          <w:tcPr>
            <w:tcW w:w="2188" w:type="pct"/>
            <w:gridSpan w:val="4"/>
            <w:vAlign w:val="center"/>
          </w:tcPr>
          <w:p w14:paraId="07212284">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en-US" w:eastAsia="zh-CN" w:bidi="ar-SA"/>
              </w:rPr>
              <w:t>粪污储存间</w:t>
            </w:r>
          </w:p>
        </w:tc>
      </w:tr>
      <w:tr w14:paraId="391618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 w:hRule="atLeast"/>
          <w:jc w:val="center"/>
        </w:trPr>
        <w:tc>
          <w:tcPr>
            <w:tcW w:w="538" w:type="pct"/>
            <w:vMerge w:val="continue"/>
            <w:shd w:val="clear" w:color="auto" w:fill="auto"/>
            <w:vAlign w:val="center"/>
          </w:tcPr>
          <w:p w14:paraId="6BEFB95C">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p>
        </w:tc>
        <w:tc>
          <w:tcPr>
            <w:tcW w:w="1077" w:type="pct"/>
            <w:gridSpan w:val="2"/>
            <w:shd w:val="clear" w:color="auto" w:fill="auto"/>
            <w:vAlign w:val="center"/>
          </w:tcPr>
          <w:p w14:paraId="186036E9">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vertAlign w:val="subscript"/>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NH</w:t>
            </w:r>
            <w:r>
              <w:rPr>
                <w:rFonts w:hint="default" w:ascii="Times New Roman" w:hAnsi="Times New Roman" w:eastAsia="宋体" w:cs="Times New Roman"/>
                <w:snapToGrid w:val="0"/>
                <w:color w:val="0000FF"/>
                <w:kern w:val="2"/>
                <w:sz w:val="21"/>
                <w:szCs w:val="21"/>
                <w:highlight w:val="none"/>
                <w:vertAlign w:val="subscript"/>
                <w:lang w:val="zh-CN" w:eastAsia="zh-CN" w:bidi="ar-SA"/>
              </w:rPr>
              <w:t>3</w:t>
            </w:r>
          </w:p>
        </w:tc>
        <w:tc>
          <w:tcPr>
            <w:tcW w:w="1195" w:type="pct"/>
            <w:gridSpan w:val="2"/>
            <w:shd w:val="clear" w:color="auto" w:fill="auto"/>
            <w:vAlign w:val="center"/>
          </w:tcPr>
          <w:p w14:paraId="5A4062F6">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vertAlign w:val="subscript"/>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H</w:t>
            </w:r>
            <w:r>
              <w:rPr>
                <w:rFonts w:hint="default" w:ascii="Times New Roman" w:hAnsi="Times New Roman" w:eastAsia="宋体" w:cs="Times New Roman"/>
                <w:snapToGrid w:val="0"/>
                <w:color w:val="0000FF"/>
                <w:kern w:val="2"/>
                <w:sz w:val="21"/>
                <w:szCs w:val="21"/>
                <w:highlight w:val="none"/>
                <w:vertAlign w:val="subscript"/>
                <w:lang w:val="zh-CN" w:eastAsia="zh-CN" w:bidi="ar-SA"/>
              </w:rPr>
              <w:t>2</w:t>
            </w:r>
            <w:r>
              <w:rPr>
                <w:rFonts w:hint="default" w:ascii="Times New Roman" w:hAnsi="Times New Roman" w:eastAsia="宋体" w:cs="Times New Roman"/>
                <w:snapToGrid w:val="0"/>
                <w:color w:val="0000FF"/>
                <w:kern w:val="2"/>
                <w:sz w:val="21"/>
                <w:szCs w:val="21"/>
                <w:highlight w:val="none"/>
                <w:lang w:val="zh-CN" w:eastAsia="zh-CN" w:bidi="ar-SA"/>
              </w:rPr>
              <w:t>S</w:t>
            </w:r>
          </w:p>
        </w:tc>
        <w:tc>
          <w:tcPr>
            <w:tcW w:w="1077" w:type="pct"/>
            <w:gridSpan w:val="2"/>
            <w:shd w:val="clear" w:color="auto" w:fill="auto"/>
            <w:vAlign w:val="center"/>
          </w:tcPr>
          <w:p w14:paraId="0EA6E203">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0"/>
                <w:sz w:val="21"/>
                <w:szCs w:val="21"/>
                <w:highlight w:val="none"/>
                <w:vertAlign w:val="subscript"/>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NH</w:t>
            </w:r>
            <w:r>
              <w:rPr>
                <w:rFonts w:hint="default" w:ascii="Times New Roman" w:hAnsi="Times New Roman" w:eastAsia="宋体" w:cs="Times New Roman"/>
                <w:snapToGrid w:val="0"/>
                <w:color w:val="0000FF"/>
                <w:kern w:val="2"/>
                <w:sz w:val="21"/>
                <w:szCs w:val="21"/>
                <w:highlight w:val="none"/>
                <w:vertAlign w:val="subscript"/>
                <w:lang w:val="zh-CN" w:eastAsia="zh-CN" w:bidi="ar-SA"/>
              </w:rPr>
              <w:t>3</w:t>
            </w:r>
          </w:p>
        </w:tc>
        <w:tc>
          <w:tcPr>
            <w:tcW w:w="1111" w:type="pct"/>
            <w:gridSpan w:val="2"/>
            <w:vAlign w:val="center"/>
          </w:tcPr>
          <w:p w14:paraId="66056420">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0"/>
                <w:sz w:val="21"/>
                <w:szCs w:val="21"/>
                <w:highlight w:val="none"/>
                <w:vertAlign w:val="subscript"/>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H</w:t>
            </w:r>
            <w:r>
              <w:rPr>
                <w:rFonts w:hint="default" w:ascii="Times New Roman" w:hAnsi="Times New Roman" w:eastAsia="宋体" w:cs="Times New Roman"/>
                <w:snapToGrid w:val="0"/>
                <w:color w:val="0000FF"/>
                <w:kern w:val="2"/>
                <w:sz w:val="21"/>
                <w:szCs w:val="21"/>
                <w:highlight w:val="none"/>
                <w:vertAlign w:val="subscript"/>
                <w:lang w:val="zh-CN" w:eastAsia="zh-CN" w:bidi="ar-SA"/>
              </w:rPr>
              <w:t>2</w:t>
            </w:r>
            <w:r>
              <w:rPr>
                <w:rFonts w:hint="default" w:ascii="Times New Roman" w:hAnsi="Times New Roman" w:eastAsia="宋体" w:cs="Times New Roman"/>
                <w:snapToGrid w:val="0"/>
                <w:color w:val="0000FF"/>
                <w:kern w:val="2"/>
                <w:sz w:val="21"/>
                <w:szCs w:val="21"/>
                <w:highlight w:val="none"/>
                <w:lang w:val="zh-CN" w:eastAsia="zh-CN" w:bidi="ar-SA"/>
              </w:rPr>
              <w:t>S</w:t>
            </w:r>
          </w:p>
        </w:tc>
      </w:tr>
      <w:tr w14:paraId="397731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538" w:type="pct"/>
            <w:vMerge w:val="continue"/>
            <w:shd w:val="clear" w:color="auto" w:fill="auto"/>
            <w:vAlign w:val="center"/>
          </w:tcPr>
          <w:p w14:paraId="45D16CFE">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p>
        </w:tc>
        <w:tc>
          <w:tcPr>
            <w:tcW w:w="538" w:type="pct"/>
            <w:shd w:val="clear" w:color="auto" w:fill="auto"/>
            <w:vAlign w:val="center"/>
          </w:tcPr>
          <w:p w14:paraId="556BD21D">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预测质量浓度/μg/m</w:t>
            </w:r>
            <w:r>
              <w:rPr>
                <w:rFonts w:hint="default" w:ascii="Times New Roman" w:hAnsi="Times New Roman" w:eastAsia="宋体" w:cs="Times New Roman"/>
                <w:snapToGrid w:val="0"/>
                <w:color w:val="0000FF"/>
                <w:kern w:val="2"/>
                <w:sz w:val="21"/>
                <w:szCs w:val="21"/>
                <w:highlight w:val="none"/>
                <w:vertAlign w:val="superscript"/>
                <w:lang w:val="zh-CN" w:eastAsia="zh-CN" w:bidi="ar-SA"/>
              </w:rPr>
              <w:t>3</w:t>
            </w:r>
          </w:p>
        </w:tc>
        <w:tc>
          <w:tcPr>
            <w:tcW w:w="539" w:type="pct"/>
            <w:shd w:val="clear" w:color="auto" w:fill="auto"/>
            <w:vAlign w:val="center"/>
          </w:tcPr>
          <w:p w14:paraId="7940D07E">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占标率/%</w:t>
            </w:r>
          </w:p>
        </w:tc>
        <w:tc>
          <w:tcPr>
            <w:tcW w:w="680" w:type="pct"/>
            <w:shd w:val="clear" w:color="auto" w:fill="auto"/>
            <w:vAlign w:val="center"/>
          </w:tcPr>
          <w:p w14:paraId="21BAB141">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预测质量浓度/μg/m</w:t>
            </w:r>
            <w:r>
              <w:rPr>
                <w:rFonts w:hint="default" w:ascii="Times New Roman" w:hAnsi="Times New Roman" w:eastAsia="宋体" w:cs="Times New Roman"/>
                <w:snapToGrid w:val="0"/>
                <w:color w:val="0000FF"/>
                <w:kern w:val="2"/>
                <w:sz w:val="21"/>
                <w:szCs w:val="21"/>
                <w:highlight w:val="none"/>
                <w:vertAlign w:val="superscript"/>
                <w:lang w:val="zh-CN" w:eastAsia="zh-CN" w:bidi="ar-SA"/>
              </w:rPr>
              <w:t>3</w:t>
            </w:r>
          </w:p>
        </w:tc>
        <w:tc>
          <w:tcPr>
            <w:tcW w:w="515" w:type="pct"/>
            <w:shd w:val="clear" w:color="auto" w:fill="auto"/>
            <w:vAlign w:val="center"/>
          </w:tcPr>
          <w:p w14:paraId="26B93DA8">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占标率/%</w:t>
            </w:r>
          </w:p>
        </w:tc>
        <w:tc>
          <w:tcPr>
            <w:tcW w:w="538" w:type="pct"/>
            <w:shd w:val="clear" w:color="auto" w:fill="auto"/>
            <w:vAlign w:val="center"/>
          </w:tcPr>
          <w:p w14:paraId="3A5BB36A">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预测质量浓度/μg/m</w:t>
            </w:r>
            <w:r>
              <w:rPr>
                <w:rFonts w:hint="default" w:ascii="Times New Roman" w:hAnsi="Times New Roman" w:eastAsia="宋体" w:cs="Times New Roman"/>
                <w:snapToGrid w:val="0"/>
                <w:color w:val="0000FF"/>
                <w:kern w:val="2"/>
                <w:sz w:val="21"/>
                <w:szCs w:val="21"/>
                <w:highlight w:val="none"/>
                <w:vertAlign w:val="superscript"/>
                <w:lang w:val="zh-CN" w:eastAsia="zh-CN" w:bidi="ar-SA"/>
              </w:rPr>
              <w:t>3</w:t>
            </w:r>
          </w:p>
        </w:tc>
        <w:tc>
          <w:tcPr>
            <w:tcW w:w="539" w:type="pct"/>
            <w:shd w:val="clear" w:color="auto" w:fill="auto"/>
            <w:vAlign w:val="center"/>
          </w:tcPr>
          <w:p w14:paraId="5E85770C">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占标率/%</w:t>
            </w:r>
          </w:p>
        </w:tc>
        <w:tc>
          <w:tcPr>
            <w:tcW w:w="584" w:type="pct"/>
            <w:vAlign w:val="center"/>
          </w:tcPr>
          <w:p w14:paraId="120B050A">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预测质量浓度/μg/m</w:t>
            </w:r>
            <w:r>
              <w:rPr>
                <w:rFonts w:hint="default" w:ascii="Times New Roman" w:hAnsi="Times New Roman" w:eastAsia="宋体" w:cs="Times New Roman"/>
                <w:snapToGrid w:val="0"/>
                <w:color w:val="0000FF"/>
                <w:kern w:val="2"/>
                <w:sz w:val="21"/>
                <w:szCs w:val="21"/>
                <w:highlight w:val="none"/>
                <w:vertAlign w:val="superscript"/>
                <w:lang w:val="zh-CN" w:eastAsia="zh-CN" w:bidi="ar-SA"/>
              </w:rPr>
              <w:t>3</w:t>
            </w:r>
          </w:p>
        </w:tc>
        <w:tc>
          <w:tcPr>
            <w:tcW w:w="526" w:type="pct"/>
            <w:vAlign w:val="center"/>
          </w:tcPr>
          <w:p w14:paraId="4AAA7010">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占标率/%</w:t>
            </w:r>
          </w:p>
        </w:tc>
      </w:tr>
      <w:tr w14:paraId="7C9193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538" w:type="pct"/>
            <w:shd w:val="clear" w:color="auto" w:fill="auto"/>
            <w:vAlign w:val="center"/>
          </w:tcPr>
          <w:p w14:paraId="6676989F">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color w:val="0000FF"/>
                <w:kern w:val="2"/>
                <w:sz w:val="21"/>
                <w:szCs w:val="21"/>
                <w:highlight w:val="none"/>
                <w:lang w:val="zh-CN" w:eastAsia="zh-CN" w:bidi="ar-SA"/>
              </w:rPr>
              <w:t>100</w:t>
            </w:r>
          </w:p>
        </w:tc>
        <w:tc>
          <w:tcPr>
            <w:tcW w:w="538" w:type="pct"/>
            <w:shd w:val="clear" w:color="auto" w:fill="auto"/>
            <w:vAlign w:val="center"/>
          </w:tcPr>
          <w:p w14:paraId="29F5C754">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7.6598</w:t>
            </w:r>
          </w:p>
        </w:tc>
        <w:tc>
          <w:tcPr>
            <w:tcW w:w="539" w:type="pct"/>
            <w:shd w:val="clear" w:color="auto" w:fill="auto"/>
            <w:vAlign w:val="center"/>
          </w:tcPr>
          <w:p w14:paraId="5E921E58">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2.91</w:t>
            </w:r>
          </w:p>
        </w:tc>
        <w:tc>
          <w:tcPr>
            <w:tcW w:w="680" w:type="pct"/>
            <w:shd w:val="clear" w:color="auto" w:fill="auto"/>
            <w:vAlign w:val="center"/>
          </w:tcPr>
          <w:p w14:paraId="6364E433">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0.0550</w:t>
            </w:r>
          </w:p>
        </w:tc>
        <w:tc>
          <w:tcPr>
            <w:tcW w:w="515" w:type="pct"/>
            <w:shd w:val="clear" w:color="auto" w:fill="auto"/>
            <w:vAlign w:val="center"/>
          </w:tcPr>
          <w:p w14:paraId="3C1C754B">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0.55</w:t>
            </w:r>
          </w:p>
        </w:tc>
        <w:tc>
          <w:tcPr>
            <w:tcW w:w="538" w:type="pct"/>
            <w:shd w:val="clear" w:color="auto" w:fill="auto"/>
            <w:vAlign w:val="center"/>
          </w:tcPr>
          <w:p w14:paraId="6F3DDB98">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0.02740</w:t>
            </w:r>
          </w:p>
        </w:tc>
        <w:tc>
          <w:tcPr>
            <w:tcW w:w="539" w:type="pct"/>
            <w:shd w:val="clear" w:color="auto" w:fill="auto"/>
            <w:vAlign w:val="center"/>
          </w:tcPr>
          <w:p w14:paraId="541B9187">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c>
          <w:tcPr>
            <w:tcW w:w="584" w:type="pct"/>
            <w:vAlign w:val="center"/>
          </w:tcPr>
          <w:p w14:paraId="3E12605A">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0.00019</w:t>
            </w:r>
          </w:p>
        </w:tc>
        <w:tc>
          <w:tcPr>
            <w:tcW w:w="526" w:type="pct"/>
            <w:vAlign w:val="center"/>
          </w:tcPr>
          <w:p w14:paraId="0A0D095A">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r>
      <w:tr w14:paraId="3E3C3E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38" w:type="pct"/>
            <w:shd w:val="clear" w:color="auto" w:fill="auto"/>
            <w:vAlign w:val="center"/>
          </w:tcPr>
          <w:p w14:paraId="65682727">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color w:val="0000FF"/>
                <w:kern w:val="2"/>
                <w:sz w:val="21"/>
                <w:szCs w:val="21"/>
                <w:highlight w:val="none"/>
                <w:lang w:val="zh-CN" w:eastAsia="zh-CN" w:bidi="ar-SA"/>
              </w:rPr>
              <w:t>200</w:t>
            </w:r>
          </w:p>
        </w:tc>
        <w:tc>
          <w:tcPr>
            <w:tcW w:w="538" w:type="pct"/>
            <w:shd w:val="clear" w:color="auto" w:fill="auto"/>
            <w:vAlign w:val="center"/>
          </w:tcPr>
          <w:p w14:paraId="44657BC3">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9.9068</w:t>
            </w:r>
          </w:p>
        </w:tc>
        <w:tc>
          <w:tcPr>
            <w:tcW w:w="539" w:type="pct"/>
            <w:shd w:val="clear" w:color="auto" w:fill="auto"/>
            <w:vAlign w:val="center"/>
          </w:tcPr>
          <w:p w14:paraId="039EB528">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4.95</w:t>
            </w:r>
          </w:p>
        </w:tc>
        <w:tc>
          <w:tcPr>
            <w:tcW w:w="680" w:type="pct"/>
            <w:shd w:val="clear" w:color="auto" w:fill="auto"/>
            <w:vAlign w:val="center"/>
          </w:tcPr>
          <w:p w14:paraId="0BC5F4CB">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0.07123</w:t>
            </w:r>
          </w:p>
        </w:tc>
        <w:tc>
          <w:tcPr>
            <w:tcW w:w="515" w:type="pct"/>
            <w:shd w:val="clear" w:color="auto" w:fill="auto"/>
            <w:vAlign w:val="center"/>
          </w:tcPr>
          <w:p w14:paraId="6255CAA5">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0.71</w:t>
            </w:r>
          </w:p>
        </w:tc>
        <w:tc>
          <w:tcPr>
            <w:tcW w:w="538" w:type="pct"/>
            <w:shd w:val="clear" w:color="auto" w:fill="auto"/>
            <w:vAlign w:val="center"/>
          </w:tcPr>
          <w:p w14:paraId="21F6CD9C">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0.03565</w:t>
            </w:r>
          </w:p>
        </w:tc>
        <w:tc>
          <w:tcPr>
            <w:tcW w:w="539" w:type="pct"/>
            <w:shd w:val="clear" w:color="auto" w:fill="auto"/>
            <w:vAlign w:val="center"/>
          </w:tcPr>
          <w:p w14:paraId="6E900365">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0.02</w:t>
            </w:r>
          </w:p>
        </w:tc>
        <w:tc>
          <w:tcPr>
            <w:tcW w:w="584" w:type="pct"/>
            <w:vAlign w:val="center"/>
          </w:tcPr>
          <w:p w14:paraId="3554F9BB">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0.00025</w:t>
            </w:r>
          </w:p>
        </w:tc>
        <w:tc>
          <w:tcPr>
            <w:tcW w:w="526" w:type="pct"/>
            <w:vAlign w:val="center"/>
          </w:tcPr>
          <w:p w14:paraId="6FDEF400">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r>
      <w:tr w14:paraId="3E49EC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538" w:type="pct"/>
            <w:shd w:val="clear" w:color="auto" w:fill="auto"/>
            <w:vAlign w:val="center"/>
          </w:tcPr>
          <w:p w14:paraId="109D7EC5">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color w:val="0000FF"/>
                <w:kern w:val="2"/>
                <w:sz w:val="21"/>
                <w:szCs w:val="21"/>
                <w:highlight w:val="none"/>
                <w:lang w:val="zh-CN" w:eastAsia="zh-CN" w:bidi="ar-SA"/>
              </w:rPr>
              <w:t>300</w:t>
            </w:r>
          </w:p>
        </w:tc>
        <w:tc>
          <w:tcPr>
            <w:tcW w:w="538" w:type="pct"/>
            <w:shd w:val="clear" w:color="auto" w:fill="auto"/>
            <w:vAlign w:val="center"/>
          </w:tcPr>
          <w:p w14:paraId="4BF47A09">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2"/>
                <w:highlight w:val="none"/>
                <w:lang w:val="en-US" w:eastAsia="zh-CN" w:bidi="ar-SA"/>
              </w:rPr>
            </w:pPr>
            <w:r>
              <w:rPr>
                <w:rFonts w:hint="eastAsia" w:ascii="Times New Roman" w:hAnsi="Times New Roman" w:eastAsia="宋体" w:cs="Times New Roman"/>
                <w:snapToGrid w:val="0"/>
                <w:color w:val="0000FF"/>
                <w:kern w:val="2"/>
                <w:sz w:val="21"/>
                <w:szCs w:val="22"/>
                <w:highlight w:val="none"/>
                <w:lang w:val="en-US" w:eastAsia="zh-CN" w:bidi="ar-SA"/>
              </w:rPr>
              <w:t>11.6218</w:t>
            </w:r>
          </w:p>
        </w:tc>
        <w:tc>
          <w:tcPr>
            <w:tcW w:w="539" w:type="pct"/>
            <w:shd w:val="clear" w:color="auto" w:fill="auto"/>
            <w:vAlign w:val="center"/>
          </w:tcPr>
          <w:p w14:paraId="6419096E">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2"/>
                <w:highlight w:val="none"/>
                <w:lang w:val="en-US" w:eastAsia="zh-CN" w:bidi="ar-SA"/>
              </w:rPr>
            </w:pPr>
            <w:r>
              <w:rPr>
                <w:rFonts w:hint="eastAsia" w:ascii="Times New Roman" w:hAnsi="Times New Roman" w:eastAsia="宋体" w:cs="Times New Roman"/>
                <w:snapToGrid w:val="0"/>
                <w:color w:val="0000FF"/>
                <w:kern w:val="2"/>
                <w:sz w:val="21"/>
                <w:szCs w:val="22"/>
                <w:highlight w:val="none"/>
                <w:lang w:val="en-US" w:eastAsia="zh-CN" w:bidi="ar-SA"/>
              </w:rPr>
              <w:t>5.81</w:t>
            </w:r>
          </w:p>
        </w:tc>
        <w:tc>
          <w:tcPr>
            <w:tcW w:w="680" w:type="pct"/>
            <w:shd w:val="clear" w:color="auto" w:fill="auto"/>
            <w:vAlign w:val="center"/>
          </w:tcPr>
          <w:p w14:paraId="3BE8D0E8">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2"/>
                <w:highlight w:val="none"/>
                <w:lang w:val="en-US" w:eastAsia="zh-CN" w:bidi="ar-SA"/>
              </w:rPr>
            </w:pPr>
            <w:r>
              <w:rPr>
                <w:rFonts w:hint="eastAsia" w:ascii="Times New Roman" w:hAnsi="Times New Roman" w:eastAsia="宋体" w:cs="Times New Roman"/>
                <w:snapToGrid w:val="0"/>
                <w:color w:val="0000FF"/>
                <w:kern w:val="2"/>
                <w:sz w:val="21"/>
                <w:szCs w:val="22"/>
                <w:highlight w:val="none"/>
                <w:lang w:val="en-US" w:eastAsia="zh-CN" w:bidi="ar-SA"/>
              </w:rPr>
              <w:t>0.08356</w:t>
            </w:r>
          </w:p>
        </w:tc>
        <w:tc>
          <w:tcPr>
            <w:tcW w:w="515" w:type="pct"/>
            <w:shd w:val="clear" w:color="auto" w:fill="auto"/>
            <w:vAlign w:val="center"/>
          </w:tcPr>
          <w:p w14:paraId="175CC050">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2"/>
                <w:highlight w:val="none"/>
                <w:lang w:val="en-US" w:eastAsia="zh-CN" w:bidi="ar-SA"/>
              </w:rPr>
            </w:pPr>
            <w:r>
              <w:rPr>
                <w:rFonts w:hint="eastAsia" w:ascii="Times New Roman" w:hAnsi="Times New Roman" w:eastAsia="宋体" w:cs="Times New Roman"/>
                <w:snapToGrid w:val="0"/>
                <w:color w:val="0000FF"/>
                <w:kern w:val="2"/>
                <w:sz w:val="21"/>
                <w:szCs w:val="22"/>
                <w:highlight w:val="none"/>
                <w:lang w:val="en-US" w:eastAsia="zh-CN" w:bidi="ar-SA"/>
              </w:rPr>
              <w:t>0.84</w:t>
            </w:r>
          </w:p>
        </w:tc>
        <w:tc>
          <w:tcPr>
            <w:tcW w:w="538" w:type="pct"/>
            <w:shd w:val="clear" w:color="auto" w:fill="auto"/>
            <w:vAlign w:val="center"/>
          </w:tcPr>
          <w:p w14:paraId="6E7DEB0D">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2"/>
                <w:highlight w:val="none"/>
                <w:lang w:val="en-US" w:eastAsia="zh-CN" w:bidi="ar-SA"/>
              </w:rPr>
            </w:pPr>
            <w:r>
              <w:rPr>
                <w:rFonts w:hint="eastAsia" w:ascii="Times New Roman" w:hAnsi="Times New Roman" w:eastAsia="宋体" w:cs="Times New Roman"/>
                <w:snapToGrid w:val="0"/>
                <w:color w:val="0000FF"/>
                <w:kern w:val="2"/>
                <w:sz w:val="21"/>
                <w:szCs w:val="22"/>
                <w:highlight w:val="none"/>
                <w:lang w:val="en-US" w:eastAsia="zh-CN" w:bidi="ar-SA"/>
              </w:rPr>
              <w:t>0.03062</w:t>
            </w:r>
          </w:p>
        </w:tc>
        <w:tc>
          <w:tcPr>
            <w:tcW w:w="539" w:type="pct"/>
            <w:shd w:val="clear" w:color="auto" w:fill="auto"/>
            <w:vAlign w:val="center"/>
          </w:tcPr>
          <w:p w14:paraId="1A9B88F0">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2"/>
                <w:highlight w:val="none"/>
                <w:lang w:val="en-US" w:eastAsia="zh-CN" w:bidi="ar-SA"/>
              </w:rPr>
            </w:pPr>
            <w:r>
              <w:rPr>
                <w:rFonts w:hint="eastAsia" w:ascii="Times New Roman" w:hAnsi="Times New Roman" w:eastAsia="宋体" w:cs="Times New Roman"/>
                <w:snapToGrid w:val="0"/>
                <w:color w:val="0000FF"/>
                <w:kern w:val="2"/>
                <w:sz w:val="21"/>
                <w:szCs w:val="22"/>
                <w:highlight w:val="none"/>
                <w:lang w:val="en-US" w:eastAsia="zh-CN" w:bidi="ar-SA"/>
              </w:rPr>
              <w:t>0.02</w:t>
            </w:r>
          </w:p>
        </w:tc>
        <w:tc>
          <w:tcPr>
            <w:tcW w:w="584" w:type="pct"/>
            <w:shd w:val="clear" w:color="auto" w:fill="auto"/>
            <w:vAlign w:val="center"/>
          </w:tcPr>
          <w:p w14:paraId="2185AD8A">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2"/>
                <w:highlight w:val="none"/>
                <w:lang w:val="en-US" w:eastAsia="zh-CN" w:bidi="ar-SA"/>
              </w:rPr>
            </w:pPr>
            <w:r>
              <w:rPr>
                <w:rFonts w:hint="eastAsia" w:ascii="Times New Roman" w:hAnsi="Times New Roman" w:eastAsia="宋体" w:cs="Times New Roman"/>
                <w:snapToGrid w:val="0"/>
                <w:color w:val="0000FF"/>
                <w:kern w:val="2"/>
                <w:sz w:val="21"/>
                <w:szCs w:val="22"/>
                <w:highlight w:val="none"/>
                <w:lang w:val="en-US" w:eastAsia="zh-CN" w:bidi="ar-SA"/>
              </w:rPr>
              <w:t>0.00022</w:t>
            </w:r>
          </w:p>
        </w:tc>
        <w:tc>
          <w:tcPr>
            <w:tcW w:w="526" w:type="pct"/>
            <w:shd w:val="clear" w:color="auto" w:fill="auto"/>
            <w:vAlign w:val="center"/>
          </w:tcPr>
          <w:p w14:paraId="277A590D">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r>
      <w:tr w14:paraId="32C7C2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538" w:type="pct"/>
            <w:shd w:val="clear" w:color="auto" w:fill="auto"/>
            <w:vAlign w:val="center"/>
          </w:tcPr>
          <w:p w14:paraId="2CCC3A7F">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color w:val="0000FF"/>
                <w:kern w:val="2"/>
                <w:sz w:val="21"/>
                <w:szCs w:val="21"/>
                <w:highlight w:val="none"/>
                <w:lang w:val="zh-CN" w:eastAsia="zh-CN" w:bidi="ar-SA"/>
              </w:rPr>
              <w:t>500</w:t>
            </w:r>
          </w:p>
        </w:tc>
        <w:tc>
          <w:tcPr>
            <w:tcW w:w="538" w:type="pct"/>
            <w:shd w:val="clear" w:color="auto" w:fill="auto"/>
            <w:vAlign w:val="center"/>
          </w:tcPr>
          <w:p w14:paraId="040BF2B0">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12.4703</w:t>
            </w:r>
          </w:p>
        </w:tc>
        <w:tc>
          <w:tcPr>
            <w:tcW w:w="539" w:type="pct"/>
            <w:shd w:val="clear" w:color="auto" w:fill="auto"/>
            <w:vAlign w:val="center"/>
          </w:tcPr>
          <w:p w14:paraId="531DE260">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6.24</w:t>
            </w:r>
          </w:p>
        </w:tc>
        <w:tc>
          <w:tcPr>
            <w:tcW w:w="680" w:type="pct"/>
            <w:shd w:val="clear" w:color="auto" w:fill="auto"/>
            <w:vAlign w:val="center"/>
          </w:tcPr>
          <w:p w14:paraId="328A283F">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0.08966</w:t>
            </w:r>
          </w:p>
        </w:tc>
        <w:tc>
          <w:tcPr>
            <w:tcW w:w="515" w:type="pct"/>
            <w:shd w:val="clear" w:color="auto" w:fill="auto"/>
            <w:vAlign w:val="center"/>
          </w:tcPr>
          <w:p w14:paraId="750112D5">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0.90</w:t>
            </w:r>
          </w:p>
        </w:tc>
        <w:tc>
          <w:tcPr>
            <w:tcW w:w="538" w:type="pct"/>
            <w:shd w:val="clear" w:color="auto" w:fill="auto"/>
            <w:vAlign w:val="center"/>
          </w:tcPr>
          <w:p w14:paraId="7218BBC1">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0.02886</w:t>
            </w:r>
          </w:p>
        </w:tc>
        <w:tc>
          <w:tcPr>
            <w:tcW w:w="539" w:type="pct"/>
            <w:shd w:val="clear" w:color="auto" w:fill="auto"/>
            <w:vAlign w:val="center"/>
          </w:tcPr>
          <w:p w14:paraId="4B740F8C">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c>
          <w:tcPr>
            <w:tcW w:w="584" w:type="pct"/>
            <w:vAlign w:val="center"/>
          </w:tcPr>
          <w:p w14:paraId="3AE2940A">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0.00020</w:t>
            </w:r>
          </w:p>
        </w:tc>
        <w:tc>
          <w:tcPr>
            <w:tcW w:w="526" w:type="pct"/>
            <w:vAlign w:val="center"/>
          </w:tcPr>
          <w:p w14:paraId="0B6B8736">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r>
      <w:tr w14:paraId="38930C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38" w:type="pct"/>
            <w:shd w:val="clear" w:color="auto" w:fill="auto"/>
            <w:vAlign w:val="center"/>
          </w:tcPr>
          <w:p w14:paraId="2DED233F">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color w:val="0000FF"/>
                <w:kern w:val="2"/>
                <w:sz w:val="21"/>
                <w:szCs w:val="21"/>
                <w:highlight w:val="none"/>
                <w:lang w:val="zh-CN" w:eastAsia="zh-CN" w:bidi="ar-SA"/>
              </w:rPr>
              <w:t>1000</w:t>
            </w:r>
          </w:p>
        </w:tc>
        <w:tc>
          <w:tcPr>
            <w:tcW w:w="538" w:type="pct"/>
            <w:shd w:val="clear" w:color="auto" w:fill="auto"/>
            <w:vAlign w:val="center"/>
          </w:tcPr>
          <w:p w14:paraId="2DE5C4EC">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9.7314</w:t>
            </w:r>
          </w:p>
        </w:tc>
        <w:tc>
          <w:tcPr>
            <w:tcW w:w="539" w:type="pct"/>
            <w:shd w:val="clear" w:color="auto" w:fill="auto"/>
            <w:vAlign w:val="center"/>
          </w:tcPr>
          <w:p w14:paraId="2DC0E6C2">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4.87</w:t>
            </w:r>
          </w:p>
        </w:tc>
        <w:tc>
          <w:tcPr>
            <w:tcW w:w="680" w:type="pct"/>
            <w:shd w:val="clear" w:color="auto" w:fill="auto"/>
            <w:vAlign w:val="center"/>
          </w:tcPr>
          <w:p w14:paraId="26AB197F">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0.06997</w:t>
            </w:r>
          </w:p>
        </w:tc>
        <w:tc>
          <w:tcPr>
            <w:tcW w:w="515" w:type="pct"/>
            <w:shd w:val="clear" w:color="auto" w:fill="auto"/>
            <w:vAlign w:val="center"/>
          </w:tcPr>
          <w:p w14:paraId="30E43C42">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0.70</w:t>
            </w:r>
          </w:p>
        </w:tc>
        <w:tc>
          <w:tcPr>
            <w:tcW w:w="538" w:type="pct"/>
            <w:shd w:val="clear" w:color="auto" w:fill="auto"/>
            <w:vAlign w:val="center"/>
          </w:tcPr>
          <w:p w14:paraId="3B8093E4">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0.02792</w:t>
            </w:r>
          </w:p>
        </w:tc>
        <w:tc>
          <w:tcPr>
            <w:tcW w:w="539" w:type="pct"/>
            <w:shd w:val="clear" w:color="auto" w:fill="auto"/>
            <w:vAlign w:val="center"/>
          </w:tcPr>
          <w:p w14:paraId="23DC8F83">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c>
          <w:tcPr>
            <w:tcW w:w="584" w:type="pct"/>
            <w:vAlign w:val="center"/>
          </w:tcPr>
          <w:p w14:paraId="5C445ABE">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0.00020</w:t>
            </w:r>
          </w:p>
        </w:tc>
        <w:tc>
          <w:tcPr>
            <w:tcW w:w="526" w:type="pct"/>
            <w:vAlign w:val="center"/>
          </w:tcPr>
          <w:p w14:paraId="7548E169">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r>
      <w:tr w14:paraId="1928E2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38" w:type="pct"/>
            <w:shd w:val="clear" w:color="auto" w:fill="auto"/>
            <w:vAlign w:val="center"/>
          </w:tcPr>
          <w:p w14:paraId="57C367FD">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color w:val="0000FF"/>
                <w:kern w:val="2"/>
                <w:sz w:val="21"/>
                <w:szCs w:val="21"/>
                <w:highlight w:val="none"/>
                <w:lang w:val="zh-CN" w:eastAsia="zh-CN" w:bidi="ar-SA"/>
              </w:rPr>
              <w:t>2000</w:t>
            </w:r>
          </w:p>
        </w:tc>
        <w:tc>
          <w:tcPr>
            <w:tcW w:w="538" w:type="pct"/>
            <w:shd w:val="clear" w:color="auto" w:fill="auto"/>
            <w:vAlign w:val="center"/>
          </w:tcPr>
          <w:p w14:paraId="0C822933">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6.0417</w:t>
            </w:r>
          </w:p>
        </w:tc>
        <w:tc>
          <w:tcPr>
            <w:tcW w:w="539" w:type="pct"/>
            <w:shd w:val="clear" w:color="auto" w:fill="auto"/>
            <w:vAlign w:val="center"/>
          </w:tcPr>
          <w:p w14:paraId="7FFE049C">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3.02</w:t>
            </w:r>
          </w:p>
        </w:tc>
        <w:tc>
          <w:tcPr>
            <w:tcW w:w="680" w:type="pct"/>
            <w:shd w:val="clear" w:color="auto" w:fill="auto"/>
            <w:vAlign w:val="center"/>
          </w:tcPr>
          <w:p w14:paraId="5904181E">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0.04344</w:t>
            </w:r>
          </w:p>
        </w:tc>
        <w:tc>
          <w:tcPr>
            <w:tcW w:w="515" w:type="pct"/>
            <w:shd w:val="clear" w:color="auto" w:fill="auto"/>
            <w:vAlign w:val="center"/>
          </w:tcPr>
          <w:p w14:paraId="056B7DE4">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0.43</w:t>
            </w:r>
          </w:p>
        </w:tc>
        <w:tc>
          <w:tcPr>
            <w:tcW w:w="538" w:type="pct"/>
            <w:shd w:val="clear" w:color="auto" w:fill="auto"/>
            <w:vAlign w:val="center"/>
          </w:tcPr>
          <w:p w14:paraId="7D444FBE">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0.02374</w:t>
            </w:r>
          </w:p>
        </w:tc>
        <w:tc>
          <w:tcPr>
            <w:tcW w:w="539" w:type="pct"/>
            <w:shd w:val="clear" w:color="auto" w:fill="auto"/>
            <w:vAlign w:val="center"/>
          </w:tcPr>
          <w:p w14:paraId="1DC255DD">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c>
          <w:tcPr>
            <w:tcW w:w="584" w:type="pct"/>
            <w:vAlign w:val="center"/>
          </w:tcPr>
          <w:p w14:paraId="58459D59">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0.00017</w:t>
            </w:r>
          </w:p>
        </w:tc>
        <w:tc>
          <w:tcPr>
            <w:tcW w:w="526" w:type="pct"/>
            <w:vAlign w:val="center"/>
          </w:tcPr>
          <w:p w14:paraId="5AB71BC8">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r>
      <w:tr w14:paraId="6272E1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38" w:type="pct"/>
            <w:shd w:val="clear" w:color="auto" w:fill="auto"/>
            <w:vAlign w:val="center"/>
          </w:tcPr>
          <w:p w14:paraId="57821480">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1"/>
                <w:highlight w:val="none"/>
                <w:lang w:val="zh-CN" w:eastAsia="zh-CN" w:bidi="ar-SA"/>
              </w:rPr>
            </w:pPr>
            <w:r>
              <w:rPr>
                <w:rFonts w:hint="default" w:ascii="Times New Roman" w:hAnsi="Times New Roman" w:eastAsia="宋体" w:cs="Times New Roman"/>
                <w:color w:val="0000FF"/>
                <w:kern w:val="2"/>
                <w:sz w:val="21"/>
                <w:szCs w:val="21"/>
                <w:highlight w:val="none"/>
                <w:lang w:val="zh-CN" w:eastAsia="zh-CN" w:bidi="ar-SA"/>
              </w:rPr>
              <w:t>2500</w:t>
            </w:r>
          </w:p>
        </w:tc>
        <w:tc>
          <w:tcPr>
            <w:tcW w:w="538" w:type="pct"/>
            <w:shd w:val="clear" w:color="auto" w:fill="auto"/>
            <w:vAlign w:val="center"/>
          </w:tcPr>
          <w:p w14:paraId="69D44579">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5.2360</w:t>
            </w:r>
          </w:p>
        </w:tc>
        <w:tc>
          <w:tcPr>
            <w:tcW w:w="539" w:type="pct"/>
            <w:shd w:val="clear" w:color="auto" w:fill="auto"/>
            <w:vAlign w:val="center"/>
          </w:tcPr>
          <w:p w14:paraId="43379442">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2.62</w:t>
            </w:r>
          </w:p>
        </w:tc>
        <w:tc>
          <w:tcPr>
            <w:tcW w:w="680" w:type="pct"/>
            <w:shd w:val="clear" w:color="auto" w:fill="auto"/>
            <w:vAlign w:val="center"/>
          </w:tcPr>
          <w:p w14:paraId="7719B24A">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0.03764</w:t>
            </w:r>
          </w:p>
        </w:tc>
        <w:tc>
          <w:tcPr>
            <w:tcW w:w="515" w:type="pct"/>
            <w:shd w:val="clear" w:color="auto" w:fill="auto"/>
            <w:vAlign w:val="center"/>
          </w:tcPr>
          <w:p w14:paraId="03703821">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0.38</w:t>
            </w:r>
          </w:p>
        </w:tc>
        <w:tc>
          <w:tcPr>
            <w:tcW w:w="538" w:type="pct"/>
            <w:shd w:val="clear" w:color="auto" w:fill="auto"/>
            <w:vAlign w:val="center"/>
          </w:tcPr>
          <w:p w14:paraId="0E4E4CC8">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0.02154</w:t>
            </w:r>
          </w:p>
        </w:tc>
        <w:tc>
          <w:tcPr>
            <w:tcW w:w="539" w:type="pct"/>
            <w:shd w:val="clear" w:color="auto" w:fill="auto"/>
            <w:vAlign w:val="center"/>
          </w:tcPr>
          <w:p w14:paraId="2CDDDE6A">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c>
          <w:tcPr>
            <w:tcW w:w="584" w:type="pct"/>
            <w:vAlign w:val="center"/>
          </w:tcPr>
          <w:p w14:paraId="4B7146A5">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0.00015</w:t>
            </w:r>
          </w:p>
        </w:tc>
        <w:tc>
          <w:tcPr>
            <w:tcW w:w="526" w:type="pct"/>
            <w:vAlign w:val="center"/>
          </w:tcPr>
          <w:p w14:paraId="08ADB4E7">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r>
      <w:tr w14:paraId="6874E7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90" w:hRule="atLeast"/>
          <w:jc w:val="center"/>
        </w:trPr>
        <w:tc>
          <w:tcPr>
            <w:tcW w:w="538" w:type="pct"/>
            <w:shd w:val="clear" w:color="auto" w:fill="auto"/>
            <w:vAlign w:val="center"/>
          </w:tcPr>
          <w:p w14:paraId="7E90E053">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下风向最大质量浓度及占标率/%</w:t>
            </w:r>
          </w:p>
        </w:tc>
        <w:tc>
          <w:tcPr>
            <w:tcW w:w="538" w:type="pct"/>
            <w:shd w:val="clear" w:color="auto" w:fill="auto"/>
            <w:vAlign w:val="center"/>
          </w:tcPr>
          <w:p w14:paraId="3988BA09">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12.4974</w:t>
            </w:r>
          </w:p>
        </w:tc>
        <w:tc>
          <w:tcPr>
            <w:tcW w:w="539" w:type="pct"/>
            <w:shd w:val="clear" w:color="auto" w:fill="auto"/>
            <w:vAlign w:val="center"/>
          </w:tcPr>
          <w:p w14:paraId="6A504544">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6.25</w:t>
            </w:r>
          </w:p>
        </w:tc>
        <w:tc>
          <w:tcPr>
            <w:tcW w:w="680" w:type="pct"/>
            <w:shd w:val="clear" w:color="auto" w:fill="auto"/>
            <w:vAlign w:val="center"/>
          </w:tcPr>
          <w:p w14:paraId="5DC0F3B6">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0.08985</w:t>
            </w:r>
          </w:p>
        </w:tc>
        <w:tc>
          <w:tcPr>
            <w:tcW w:w="515" w:type="pct"/>
            <w:shd w:val="clear" w:color="auto" w:fill="auto"/>
            <w:vAlign w:val="center"/>
          </w:tcPr>
          <w:p w14:paraId="1DF4A25E">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0.90</w:t>
            </w:r>
          </w:p>
        </w:tc>
        <w:tc>
          <w:tcPr>
            <w:tcW w:w="538" w:type="pct"/>
            <w:shd w:val="clear" w:color="auto" w:fill="auto"/>
            <w:vAlign w:val="center"/>
          </w:tcPr>
          <w:p w14:paraId="05D4E13F">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0.03570</w:t>
            </w:r>
          </w:p>
        </w:tc>
        <w:tc>
          <w:tcPr>
            <w:tcW w:w="539" w:type="pct"/>
            <w:shd w:val="clear" w:color="auto" w:fill="auto"/>
            <w:vAlign w:val="center"/>
          </w:tcPr>
          <w:p w14:paraId="27AF1CA9">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0.02</w:t>
            </w:r>
          </w:p>
        </w:tc>
        <w:tc>
          <w:tcPr>
            <w:tcW w:w="584" w:type="pct"/>
            <w:vAlign w:val="center"/>
          </w:tcPr>
          <w:p w14:paraId="33B9F89E">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0.00025</w:t>
            </w:r>
          </w:p>
        </w:tc>
        <w:tc>
          <w:tcPr>
            <w:tcW w:w="526" w:type="pct"/>
            <w:vAlign w:val="center"/>
          </w:tcPr>
          <w:p w14:paraId="147DF96D">
            <w:pPr>
              <w:widowControl w:val="0"/>
              <w:adjustRightInd w:val="0"/>
              <w:snapToGrid w:val="0"/>
              <w:spacing w:line="240" w:lineRule="auto"/>
              <w:ind w:firstLine="0" w:firstLineChars="0"/>
              <w:jc w:val="center"/>
              <w:rPr>
                <w:rFonts w:hint="default" w:ascii="Times New Roman" w:hAnsi="Times New Roman" w:eastAsia="宋体" w:cs="Times New Roman"/>
                <w:color w:val="0000FF"/>
                <w:kern w:val="2"/>
                <w:sz w:val="21"/>
                <w:szCs w:val="22"/>
                <w:highlight w:val="none"/>
                <w:lang w:val="en-US" w:eastAsia="zh-CN" w:bidi="ar-SA"/>
              </w:rPr>
            </w:pPr>
            <w:r>
              <w:rPr>
                <w:rFonts w:hint="eastAsia" w:ascii="Times New Roman" w:hAnsi="Times New Roman" w:eastAsia="宋体" w:cs="Times New Roman"/>
                <w:color w:val="0000FF"/>
                <w:kern w:val="2"/>
                <w:sz w:val="21"/>
                <w:szCs w:val="22"/>
                <w:highlight w:val="none"/>
                <w:lang w:val="en-US" w:eastAsia="zh-CN" w:bidi="ar-SA"/>
              </w:rPr>
              <w:t>0.01</w:t>
            </w:r>
          </w:p>
        </w:tc>
      </w:tr>
      <w:tr w14:paraId="26D982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38" w:type="pct"/>
            <w:shd w:val="clear" w:color="auto" w:fill="auto"/>
            <w:vAlign w:val="center"/>
          </w:tcPr>
          <w:p w14:paraId="394ED385">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最大浓度落地点（m）</w:t>
            </w:r>
          </w:p>
        </w:tc>
        <w:tc>
          <w:tcPr>
            <w:tcW w:w="2272" w:type="pct"/>
            <w:gridSpan w:val="4"/>
            <w:shd w:val="clear" w:color="auto" w:fill="auto"/>
            <w:vAlign w:val="center"/>
          </w:tcPr>
          <w:p w14:paraId="32250459">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467</w:t>
            </w:r>
          </w:p>
        </w:tc>
        <w:tc>
          <w:tcPr>
            <w:tcW w:w="2188" w:type="pct"/>
            <w:gridSpan w:val="4"/>
            <w:vAlign w:val="center"/>
          </w:tcPr>
          <w:p w14:paraId="70B0307E">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196</w:t>
            </w:r>
          </w:p>
        </w:tc>
      </w:tr>
      <w:tr w14:paraId="6EB1C3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8" w:hRule="atLeast"/>
          <w:jc w:val="center"/>
        </w:trPr>
        <w:tc>
          <w:tcPr>
            <w:tcW w:w="538" w:type="pct"/>
            <w:shd w:val="clear" w:color="auto" w:fill="auto"/>
            <w:vAlign w:val="center"/>
          </w:tcPr>
          <w:p w14:paraId="5B20381F">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评价等级</w:t>
            </w:r>
          </w:p>
        </w:tc>
        <w:tc>
          <w:tcPr>
            <w:tcW w:w="1077" w:type="pct"/>
            <w:gridSpan w:val="2"/>
            <w:shd w:val="clear" w:color="auto" w:fill="auto"/>
            <w:vAlign w:val="center"/>
          </w:tcPr>
          <w:p w14:paraId="00DC020D">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default" w:ascii="Times New Roman" w:hAnsi="Times New Roman" w:eastAsia="宋体" w:cs="Times New Roman"/>
                <w:snapToGrid w:val="0"/>
                <w:color w:val="0000FF"/>
                <w:kern w:val="2"/>
                <w:sz w:val="21"/>
                <w:szCs w:val="21"/>
                <w:highlight w:val="none"/>
                <w:lang w:val="zh-CN" w:eastAsia="zh-CN" w:bidi="ar-SA"/>
              </w:rPr>
              <w:t>二级</w:t>
            </w:r>
          </w:p>
        </w:tc>
        <w:tc>
          <w:tcPr>
            <w:tcW w:w="1195" w:type="pct"/>
            <w:gridSpan w:val="2"/>
            <w:shd w:val="clear" w:color="auto" w:fill="auto"/>
            <w:vAlign w:val="center"/>
          </w:tcPr>
          <w:p w14:paraId="06907B7D">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三</w:t>
            </w:r>
            <w:r>
              <w:rPr>
                <w:rFonts w:hint="default" w:ascii="Times New Roman" w:hAnsi="Times New Roman" w:eastAsia="宋体" w:cs="Times New Roman"/>
                <w:snapToGrid w:val="0"/>
                <w:color w:val="0000FF"/>
                <w:kern w:val="2"/>
                <w:sz w:val="21"/>
                <w:szCs w:val="21"/>
                <w:highlight w:val="none"/>
                <w:lang w:val="zh-CN" w:eastAsia="zh-CN" w:bidi="ar-SA"/>
              </w:rPr>
              <w:t>级</w:t>
            </w:r>
          </w:p>
        </w:tc>
        <w:tc>
          <w:tcPr>
            <w:tcW w:w="1077" w:type="pct"/>
            <w:gridSpan w:val="2"/>
            <w:shd w:val="clear" w:color="auto" w:fill="auto"/>
            <w:vAlign w:val="center"/>
          </w:tcPr>
          <w:p w14:paraId="6E134CF3">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三</w:t>
            </w:r>
            <w:r>
              <w:rPr>
                <w:rFonts w:hint="default" w:ascii="Times New Roman" w:hAnsi="Times New Roman" w:eastAsia="宋体" w:cs="Times New Roman"/>
                <w:snapToGrid w:val="0"/>
                <w:color w:val="0000FF"/>
                <w:kern w:val="2"/>
                <w:sz w:val="21"/>
                <w:szCs w:val="21"/>
                <w:highlight w:val="none"/>
                <w:lang w:val="zh-CN" w:eastAsia="zh-CN" w:bidi="ar-SA"/>
              </w:rPr>
              <w:t>级</w:t>
            </w:r>
          </w:p>
        </w:tc>
        <w:tc>
          <w:tcPr>
            <w:tcW w:w="1111" w:type="pct"/>
            <w:gridSpan w:val="2"/>
            <w:vAlign w:val="center"/>
          </w:tcPr>
          <w:p w14:paraId="7977FAFD">
            <w:pPr>
              <w:widowControl w:val="0"/>
              <w:adjustRightInd w:val="0"/>
              <w:snapToGrid w:val="0"/>
              <w:spacing w:line="240" w:lineRule="auto"/>
              <w:ind w:firstLine="0" w:firstLineChars="0"/>
              <w:jc w:val="center"/>
              <w:rPr>
                <w:rFonts w:hint="default" w:ascii="Times New Roman" w:hAnsi="Times New Roman" w:eastAsia="宋体" w:cs="Times New Roman"/>
                <w:snapToGrid w:val="0"/>
                <w:color w:val="0000FF"/>
                <w:kern w:val="2"/>
                <w:sz w:val="21"/>
                <w:szCs w:val="21"/>
                <w:highlight w:val="none"/>
                <w:lang w:val="zh-CN"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三</w:t>
            </w:r>
            <w:r>
              <w:rPr>
                <w:rFonts w:hint="default" w:ascii="Times New Roman" w:hAnsi="Times New Roman" w:eastAsia="宋体" w:cs="Times New Roman"/>
                <w:snapToGrid w:val="0"/>
                <w:color w:val="0000FF"/>
                <w:kern w:val="2"/>
                <w:sz w:val="21"/>
                <w:szCs w:val="21"/>
                <w:highlight w:val="none"/>
                <w:lang w:val="zh-CN" w:eastAsia="zh-CN" w:bidi="ar-SA"/>
              </w:rPr>
              <w:t>级</w:t>
            </w:r>
          </w:p>
        </w:tc>
      </w:tr>
    </w:tbl>
    <w:p w14:paraId="75C2B4C9">
      <w:pPr>
        <w:widowControl w:val="0"/>
        <w:adjustRightInd/>
        <w:snapToGrid/>
        <w:spacing w:line="500" w:lineRule="exact"/>
        <w:ind w:firstLine="480" w:firstLineChars="200"/>
        <w:jc w:val="both"/>
        <w:rPr>
          <w:rFonts w:hint="default" w:ascii="Times New Roman" w:hAnsi="Times New Roman" w:eastAsia="黑体" w:cs="Times New Roman"/>
          <w:snapToGrid w:val="0"/>
          <w:color w:val="auto"/>
          <w:kern w:val="0"/>
          <w:sz w:val="24"/>
          <w:szCs w:val="22"/>
          <w:highlight w:val="none"/>
          <w:lang w:val="en-US" w:eastAsia="zh-CN" w:bidi="ar-SA"/>
        </w:rPr>
      </w:pPr>
      <w:r>
        <w:rPr>
          <w:rFonts w:hint="default" w:ascii="Times New Roman" w:hAnsi="Times New Roman" w:eastAsia="宋体" w:cs="Times New Roman"/>
          <w:snapToGrid w:val="0"/>
          <w:color w:val="auto"/>
          <w:kern w:val="0"/>
          <w:sz w:val="24"/>
          <w:szCs w:val="24"/>
          <w:highlight w:val="none"/>
          <w:lang w:val="en-US" w:eastAsia="zh-CN" w:bidi="ar-SA"/>
        </w:rPr>
        <w:t>由估算模式计算结果可知，本项目排放污染物的最大地面空气质量浓度占标率</w:t>
      </w:r>
      <w:r>
        <w:rPr>
          <w:rFonts w:hint="default" w:ascii="Times New Roman" w:hAnsi="Times New Roman" w:eastAsia="宋体" w:cs="Times New Roman"/>
          <w:snapToGrid w:val="0"/>
          <w:color w:val="auto"/>
          <w:kern w:val="0"/>
          <w:sz w:val="24"/>
          <w:szCs w:val="24"/>
          <w:highlight w:val="none"/>
          <w:lang w:val="zh-CN" w:eastAsia="zh-CN" w:bidi="ar-SA"/>
        </w:rPr>
        <w:t>P</w:t>
      </w:r>
      <w:r>
        <w:rPr>
          <w:rFonts w:hint="default" w:ascii="Times New Roman" w:hAnsi="Times New Roman" w:eastAsia="宋体" w:cs="Times New Roman"/>
          <w:snapToGrid w:val="0"/>
          <w:color w:val="auto"/>
          <w:kern w:val="0"/>
          <w:sz w:val="24"/>
          <w:szCs w:val="24"/>
          <w:highlight w:val="none"/>
          <w:vertAlign w:val="subscript"/>
          <w:lang w:val="zh-CN" w:eastAsia="zh-CN" w:bidi="ar-SA"/>
        </w:rPr>
        <w:t>max</w:t>
      </w:r>
      <w:r>
        <w:rPr>
          <w:rFonts w:hint="default" w:ascii="Times New Roman" w:hAnsi="Times New Roman" w:eastAsia="宋体" w:cs="Times New Roman"/>
          <w:snapToGrid w:val="0"/>
          <w:color w:val="auto"/>
          <w:kern w:val="0"/>
          <w:sz w:val="24"/>
          <w:szCs w:val="24"/>
          <w:highlight w:val="none"/>
          <w:lang w:val="en-US" w:eastAsia="zh-CN" w:bidi="ar-SA"/>
        </w:rPr>
        <w:t>为</w:t>
      </w:r>
      <w:r>
        <w:rPr>
          <w:rFonts w:hint="eastAsia" w:ascii="Times New Roman" w:hAnsi="Times New Roman" w:eastAsia="宋体" w:cs="Times New Roman"/>
          <w:snapToGrid w:val="0"/>
          <w:color w:val="auto"/>
          <w:kern w:val="0"/>
          <w:sz w:val="24"/>
          <w:szCs w:val="24"/>
          <w:highlight w:val="none"/>
          <w:lang w:val="en-US" w:eastAsia="zh-CN" w:bidi="ar-SA"/>
        </w:rPr>
        <w:t>6.25</w:t>
      </w:r>
      <w:r>
        <w:rPr>
          <w:rFonts w:hint="default" w:ascii="Times New Roman" w:hAnsi="Times New Roman" w:eastAsia="宋体" w:cs="Times New Roman"/>
          <w:snapToGrid w:val="0"/>
          <w:color w:val="auto"/>
          <w:kern w:val="0"/>
          <w:sz w:val="24"/>
          <w:szCs w:val="24"/>
          <w:highlight w:val="none"/>
          <w:lang w:val="en-US" w:eastAsia="zh-CN" w:bidi="ar-SA"/>
        </w:rPr>
        <w:t>，1%</w:t>
      </w:r>
      <w:r>
        <w:rPr>
          <w:rFonts w:hint="eastAsia" w:ascii="Times New Roman" w:hAnsi="Times New Roman" w:eastAsia="宋体" w:cs="Times New Roman"/>
          <w:snapToGrid w:val="0"/>
          <w:color w:val="auto"/>
          <w:kern w:val="0"/>
          <w:sz w:val="24"/>
          <w:szCs w:val="24"/>
          <w:highlight w:val="none"/>
          <w:lang w:val="en-US" w:eastAsia="zh-CN" w:bidi="ar-SA"/>
        </w:rPr>
        <w:t>≤</w:t>
      </w:r>
      <w:r>
        <w:rPr>
          <w:rFonts w:hint="default" w:ascii="Times New Roman" w:hAnsi="Times New Roman" w:eastAsia="宋体" w:cs="Times New Roman"/>
          <w:snapToGrid w:val="0"/>
          <w:color w:val="auto"/>
          <w:kern w:val="0"/>
          <w:sz w:val="24"/>
          <w:szCs w:val="24"/>
          <w:highlight w:val="none"/>
          <w:lang w:val="zh-CN" w:eastAsia="zh-CN" w:bidi="ar-SA"/>
        </w:rPr>
        <w:t>P</w:t>
      </w:r>
      <w:r>
        <w:rPr>
          <w:rFonts w:hint="default" w:ascii="Times New Roman" w:hAnsi="Times New Roman" w:eastAsia="宋体" w:cs="Times New Roman"/>
          <w:snapToGrid w:val="0"/>
          <w:color w:val="auto"/>
          <w:kern w:val="0"/>
          <w:sz w:val="24"/>
          <w:szCs w:val="24"/>
          <w:highlight w:val="none"/>
          <w:vertAlign w:val="subscript"/>
          <w:lang w:val="zh-CN" w:eastAsia="zh-CN" w:bidi="ar-SA"/>
        </w:rPr>
        <w:t>max</w:t>
      </w:r>
      <w:r>
        <w:rPr>
          <w:rFonts w:hint="default" w:ascii="Times New Roman" w:hAnsi="Times New Roman" w:eastAsia="宋体" w:cs="Times New Roman"/>
          <w:snapToGrid w:val="0"/>
          <w:color w:val="auto"/>
          <w:kern w:val="0"/>
          <w:sz w:val="24"/>
          <w:szCs w:val="24"/>
          <w:highlight w:val="none"/>
          <w:lang w:val="zh-CN" w:eastAsia="zh-CN" w:bidi="ar-SA"/>
        </w:rPr>
        <w:t>＜10%</w:t>
      </w:r>
      <w:r>
        <w:rPr>
          <w:rFonts w:hint="default" w:ascii="Times New Roman" w:hAnsi="Times New Roman" w:eastAsia="宋体" w:cs="Times New Roman"/>
          <w:snapToGrid w:val="0"/>
          <w:color w:val="auto"/>
          <w:kern w:val="0"/>
          <w:sz w:val="24"/>
          <w:szCs w:val="24"/>
          <w:highlight w:val="none"/>
          <w:lang w:val="en-US" w:eastAsia="zh-CN" w:bidi="ar-SA"/>
        </w:rPr>
        <w:t>。因此，本项目大气环境影响评价等级为</w:t>
      </w:r>
      <w:r>
        <w:rPr>
          <w:rFonts w:hint="default" w:ascii="Times New Roman" w:hAnsi="Times New Roman" w:eastAsia="宋体" w:cs="Times New Roman"/>
          <w:snapToGrid w:val="0"/>
          <w:color w:val="auto"/>
          <w:kern w:val="2"/>
          <w:sz w:val="24"/>
          <w:szCs w:val="22"/>
          <w:highlight w:val="none"/>
          <w:lang w:val="en-US" w:eastAsia="zh-CN" w:bidi="ar-SA"/>
        </w:rPr>
        <w:t>二级。</w:t>
      </w:r>
    </w:p>
    <w:p w14:paraId="3A4599D9">
      <w:pPr>
        <w:adjustRightInd/>
        <w:snapToGrid/>
        <w:spacing w:line="500" w:lineRule="exact"/>
        <w:rPr>
          <w:rFonts w:hint="default" w:ascii="Times New Roman" w:hAnsi="Times New Roman" w:cs="Times New Roman"/>
          <w:snapToGrid w:val="0"/>
          <w:color w:val="auto"/>
          <w:kern w:val="0"/>
          <w:highlight w:val="none"/>
        </w:rPr>
        <w:sectPr>
          <w:headerReference r:id="rId11" w:type="default"/>
          <w:footerReference r:id="rId12" w:type="default"/>
          <w:pgSz w:w="16838" w:h="11906" w:orient="landscape"/>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26" w:charSpace="0"/>
        </w:sectPr>
      </w:pPr>
    </w:p>
    <w:p w14:paraId="0327B03C">
      <w:pPr>
        <w:keepNext w:val="0"/>
        <w:keepLines w:val="0"/>
        <w:pageBreakBefore w:val="0"/>
        <w:kinsoku/>
        <w:wordWrap w:val="0"/>
        <w:overflowPunct/>
        <w:topLinePunct/>
        <w:autoSpaceDE/>
        <w:autoSpaceDN/>
        <w:bidi w:val="0"/>
        <w:adjustRightInd w:val="0"/>
        <w:snapToGrid w:val="0"/>
        <w:spacing w:before="54" w:line="214" w:lineRule="auto"/>
        <w:ind w:left="2238"/>
        <w:textAlignment w:val="baseline"/>
        <w:rPr>
          <w:rFonts w:hint="default" w:ascii="Times New Roman" w:hAnsi="Times New Roman" w:eastAsia="宋体" w:cs="Times New Roman"/>
          <w:b/>
          <w:bCs/>
          <w:color w:val="0000FF"/>
          <w:sz w:val="24"/>
          <w:szCs w:val="24"/>
          <w:highlight w:val="none"/>
        </w:rPr>
      </w:pPr>
      <w:bookmarkStart w:id="84" w:name="bookmark58"/>
      <w:bookmarkEnd w:id="84"/>
      <w:r>
        <w:rPr>
          <w:rFonts w:hint="default" w:ascii="Times New Roman" w:hAnsi="Times New Roman" w:eastAsia="宋体" w:cs="Times New Roman"/>
          <w:b/>
          <w:bCs/>
          <w:color w:val="0000FF"/>
          <w:spacing w:val="-1"/>
          <w:sz w:val="24"/>
          <w:szCs w:val="24"/>
          <w:highlight w:val="none"/>
        </w:rPr>
        <w:t>表2.5-</w:t>
      </w:r>
      <w:r>
        <w:rPr>
          <w:rFonts w:hint="eastAsia" w:ascii="Times New Roman" w:hAnsi="Times New Roman" w:eastAsia="宋体" w:cs="Times New Roman"/>
          <w:b/>
          <w:bCs/>
          <w:color w:val="0000FF"/>
          <w:spacing w:val="-1"/>
          <w:sz w:val="24"/>
          <w:szCs w:val="24"/>
          <w:highlight w:val="none"/>
          <w:lang w:val="en-US" w:eastAsia="zh-CN"/>
        </w:rPr>
        <w:t>9</w:t>
      </w:r>
      <w:r>
        <w:rPr>
          <w:rFonts w:hint="default" w:ascii="Times New Roman" w:hAnsi="Times New Roman" w:eastAsia="宋体" w:cs="Times New Roman"/>
          <w:b/>
          <w:bCs/>
          <w:color w:val="0000FF"/>
          <w:spacing w:val="-1"/>
          <w:sz w:val="24"/>
          <w:szCs w:val="24"/>
          <w:highlight w:val="none"/>
        </w:rPr>
        <w:t>Pmax和D</w:t>
      </w:r>
      <w:r>
        <w:rPr>
          <w:rFonts w:hint="default" w:ascii="Times New Roman" w:hAnsi="Times New Roman" w:eastAsia="宋体" w:cs="Times New Roman"/>
          <w:b/>
          <w:bCs/>
          <w:color w:val="0000FF"/>
          <w:spacing w:val="-1"/>
          <w:position w:val="-2"/>
          <w:sz w:val="24"/>
          <w:szCs w:val="24"/>
          <w:highlight w:val="none"/>
        </w:rPr>
        <w:t>10%</w:t>
      </w:r>
      <w:r>
        <w:rPr>
          <w:rFonts w:hint="default" w:ascii="Times New Roman" w:hAnsi="Times New Roman" w:eastAsia="宋体" w:cs="Times New Roman"/>
          <w:b/>
          <w:bCs/>
          <w:color w:val="0000FF"/>
          <w:spacing w:val="-1"/>
          <w:sz w:val="24"/>
          <w:szCs w:val="24"/>
          <w:highlight w:val="none"/>
        </w:rPr>
        <w:t>预测和计算结果一览表</w:t>
      </w:r>
    </w:p>
    <w:tbl>
      <w:tblPr>
        <w:tblStyle w:val="26"/>
        <w:tblW w:w="4999"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580"/>
        <w:gridCol w:w="2111"/>
        <w:gridCol w:w="1071"/>
        <w:gridCol w:w="1071"/>
        <w:gridCol w:w="1071"/>
        <w:gridCol w:w="1071"/>
        <w:gridCol w:w="774"/>
        <w:gridCol w:w="777"/>
      </w:tblGrid>
      <w:tr w14:paraId="45B8041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blHeader/>
        </w:trPr>
        <w:tc>
          <w:tcPr>
            <w:tcW w:w="580" w:type="dxa"/>
            <w:tcBorders>
              <w:tl2br w:val="nil"/>
              <w:tr2bl w:val="nil"/>
            </w:tcBorders>
            <w:vAlign w:val="center"/>
          </w:tcPr>
          <w:p w14:paraId="112CAA59">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序号</w:t>
            </w:r>
          </w:p>
        </w:tc>
        <w:tc>
          <w:tcPr>
            <w:tcW w:w="2111" w:type="dxa"/>
            <w:tcBorders>
              <w:tl2br w:val="nil"/>
              <w:tr2bl w:val="nil"/>
            </w:tcBorders>
            <w:vAlign w:val="center"/>
          </w:tcPr>
          <w:p w14:paraId="5F7963CC">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污染源</w:t>
            </w:r>
          </w:p>
        </w:tc>
        <w:tc>
          <w:tcPr>
            <w:tcW w:w="1071" w:type="dxa"/>
            <w:tcBorders>
              <w:tl2br w:val="nil"/>
              <w:tr2bl w:val="nil"/>
            </w:tcBorders>
            <w:vAlign w:val="center"/>
          </w:tcPr>
          <w:p w14:paraId="746955E0">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污染</w:t>
            </w:r>
          </w:p>
          <w:p w14:paraId="5655DA90">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lang w:val="en-US" w:eastAsia="zh-CN" w:bidi="ar-SA"/>
              </w:rPr>
            </w:pPr>
            <w:r>
              <w:rPr>
                <w:rFonts w:hint="default" w:ascii="Times New Roman" w:hAnsi="Times New Roman" w:eastAsia="宋体" w:cs="Times New Roman"/>
                <w:b/>
                <w:color w:val="0000FF"/>
                <w:sz w:val="21"/>
                <w:szCs w:val="21"/>
                <w:highlight w:val="none"/>
              </w:rPr>
              <w:t>因子</w:t>
            </w:r>
          </w:p>
        </w:tc>
        <w:tc>
          <w:tcPr>
            <w:tcW w:w="1071" w:type="dxa"/>
            <w:tcBorders>
              <w:tl2br w:val="nil"/>
              <w:tr2bl w:val="nil"/>
            </w:tcBorders>
            <w:vAlign w:val="center"/>
          </w:tcPr>
          <w:p w14:paraId="132C9BB2">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lang w:val="en-US" w:eastAsia="zh-CN"/>
              </w:rPr>
            </w:pPr>
            <w:r>
              <w:rPr>
                <w:rFonts w:hint="default" w:ascii="Times New Roman" w:hAnsi="Times New Roman" w:eastAsia="宋体" w:cs="Times New Roman"/>
                <w:b/>
                <w:color w:val="0000FF"/>
                <w:sz w:val="21"/>
                <w:szCs w:val="21"/>
                <w:highlight w:val="none"/>
                <w:lang w:val="en-US" w:eastAsia="zh-CN"/>
              </w:rPr>
              <w:t>评价标准</w:t>
            </w:r>
          </w:p>
          <w:p w14:paraId="7EC08DCD">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lang w:val="en-US" w:eastAsia="zh-CN" w:bidi="ar-SA"/>
              </w:rPr>
            </w:pPr>
            <w:r>
              <w:rPr>
                <w:rFonts w:hint="default" w:ascii="Times New Roman" w:hAnsi="Times New Roman" w:eastAsia="宋体" w:cs="Times New Roman"/>
                <w:b/>
                <w:color w:val="0000FF"/>
                <w:sz w:val="21"/>
                <w:szCs w:val="21"/>
                <w:highlight w:val="none"/>
                <w:lang w:val="en-US" w:eastAsia="zh-CN"/>
              </w:rPr>
              <w:t>（μg/m</w:t>
            </w:r>
            <w:r>
              <w:rPr>
                <w:rFonts w:hint="default" w:ascii="Times New Roman" w:hAnsi="Times New Roman" w:eastAsia="宋体" w:cs="Times New Roman"/>
                <w:b/>
                <w:color w:val="0000FF"/>
                <w:sz w:val="21"/>
                <w:szCs w:val="21"/>
                <w:highlight w:val="none"/>
                <w:vertAlign w:val="superscript"/>
                <w:lang w:val="en-US" w:eastAsia="zh-CN"/>
              </w:rPr>
              <w:t>3</w:t>
            </w:r>
            <w:r>
              <w:rPr>
                <w:rFonts w:hint="default" w:ascii="Times New Roman" w:hAnsi="Times New Roman" w:eastAsia="宋体" w:cs="Times New Roman"/>
                <w:b/>
                <w:color w:val="0000FF"/>
                <w:sz w:val="21"/>
                <w:szCs w:val="21"/>
                <w:highlight w:val="none"/>
                <w:lang w:val="en-US" w:eastAsia="zh-CN"/>
              </w:rPr>
              <w:t>）</w:t>
            </w:r>
          </w:p>
        </w:tc>
        <w:tc>
          <w:tcPr>
            <w:tcW w:w="1071" w:type="dxa"/>
            <w:tcBorders>
              <w:tl2br w:val="nil"/>
              <w:tr2bl w:val="nil"/>
            </w:tcBorders>
            <w:vAlign w:val="center"/>
          </w:tcPr>
          <w:p w14:paraId="3EB576F9">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lang w:eastAsia="zh-CN"/>
              </w:rPr>
            </w:pPr>
            <w:r>
              <w:rPr>
                <w:rFonts w:hint="default" w:ascii="Times New Roman" w:hAnsi="Times New Roman" w:eastAsia="宋体" w:cs="Times New Roman"/>
                <w:b/>
                <w:color w:val="0000FF"/>
                <w:sz w:val="21"/>
                <w:szCs w:val="21"/>
                <w:highlight w:val="none"/>
              </w:rPr>
              <w:t>C</w:t>
            </w:r>
            <w:r>
              <w:rPr>
                <w:rFonts w:hint="default" w:ascii="Times New Roman" w:hAnsi="Times New Roman" w:eastAsia="宋体" w:cs="Times New Roman"/>
                <w:b/>
                <w:color w:val="0000FF"/>
                <w:sz w:val="21"/>
                <w:szCs w:val="21"/>
                <w:highlight w:val="none"/>
                <w:lang w:val="en-US" w:eastAsia="zh-CN"/>
              </w:rPr>
              <w:t>max</w:t>
            </w:r>
          </w:p>
          <w:p w14:paraId="2C2D697E">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w:t>
            </w:r>
            <w:r>
              <w:rPr>
                <w:rFonts w:hint="default" w:ascii="Times New Roman" w:hAnsi="Times New Roman" w:eastAsia="宋体" w:cs="Times New Roman"/>
                <w:b/>
                <w:color w:val="0000FF"/>
                <w:sz w:val="21"/>
                <w:szCs w:val="21"/>
                <w:highlight w:val="none"/>
                <w:lang w:val="en-US" w:eastAsia="zh-CN"/>
              </w:rPr>
              <w:t>μ</w:t>
            </w:r>
            <w:r>
              <w:rPr>
                <w:rFonts w:hint="default" w:ascii="Times New Roman" w:hAnsi="Times New Roman" w:eastAsia="宋体" w:cs="Times New Roman"/>
                <w:b/>
                <w:color w:val="0000FF"/>
                <w:sz w:val="21"/>
                <w:szCs w:val="21"/>
                <w:highlight w:val="none"/>
              </w:rPr>
              <w:t>g/m</w:t>
            </w:r>
            <w:r>
              <w:rPr>
                <w:rFonts w:hint="default" w:ascii="Times New Roman" w:hAnsi="Times New Roman" w:eastAsia="宋体" w:cs="Times New Roman"/>
                <w:b/>
                <w:color w:val="0000FF"/>
                <w:sz w:val="21"/>
                <w:szCs w:val="21"/>
                <w:highlight w:val="none"/>
                <w:vertAlign w:val="superscript"/>
              </w:rPr>
              <w:t>3</w:t>
            </w:r>
            <w:r>
              <w:rPr>
                <w:rFonts w:hint="default" w:ascii="Times New Roman" w:hAnsi="Times New Roman" w:eastAsia="宋体" w:cs="Times New Roman"/>
                <w:b/>
                <w:color w:val="0000FF"/>
                <w:sz w:val="21"/>
                <w:szCs w:val="21"/>
                <w:highlight w:val="none"/>
              </w:rPr>
              <w:t>）</w:t>
            </w:r>
          </w:p>
        </w:tc>
        <w:tc>
          <w:tcPr>
            <w:tcW w:w="1071" w:type="dxa"/>
            <w:tcBorders>
              <w:tl2br w:val="nil"/>
              <w:tr2bl w:val="nil"/>
            </w:tcBorders>
            <w:vAlign w:val="center"/>
          </w:tcPr>
          <w:p w14:paraId="38F11A1E">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Pmax</w:t>
            </w:r>
          </w:p>
          <w:p w14:paraId="3BBE7DD0">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w:t>
            </w:r>
          </w:p>
        </w:tc>
        <w:tc>
          <w:tcPr>
            <w:tcW w:w="774" w:type="dxa"/>
            <w:tcBorders>
              <w:tl2br w:val="nil"/>
              <w:tr2bl w:val="nil"/>
            </w:tcBorders>
            <w:vAlign w:val="center"/>
          </w:tcPr>
          <w:p w14:paraId="1FA277B4">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D10%（m）</w:t>
            </w:r>
          </w:p>
        </w:tc>
        <w:tc>
          <w:tcPr>
            <w:tcW w:w="777" w:type="dxa"/>
            <w:tcBorders>
              <w:tl2br w:val="nil"/>
              <w:tr2bl w:val="nil"/>
            </w:tcBorders>
            <w:vAlign w:val="center"/>
          </w:tcPr>
          <w:p w14:paraId="16BFCF8B">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评价</w:t>
            </w:r>
          </w:p>
          <w:p w14:paraId="4BA743C0">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b/>
                <w:color w:val="0000FF"/>
                <w:sz w:val="21"/>
                <w:szCs w:val="21"/>
                <w:highlight w:val="none"/>
              </w:rPr>
            </w:pPr>
            <w:r>
              <w:rPr>
                <w:rFonts w:hint="default" w:ascii="Times New Roman" w:hAnsi="Times New Roman" w:eastAsia="宋体" w:cs="Times New Roman"/>
                <w:b/>
                <w:color w:val="0000FF"/>
                <w:sz w:val="21"/>
                <w:szCs w:val="21"/>
                <w:highlight w:val="none"/>
              </w:rPr>
              <w:t>等级</w:t>
            </w:r>
          </w:p>
        </w:tc>
      </w:tr>
      <w:tr w14:paraId="01A826E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rPr>
        <w:tc>
          <w:tcPr>
            <w:tcW w:w="580" w:type="dxa"/>
            <w:vMerge w:val="restart"/>
            <w:tcBorders>
              <w:tl2br w:val="nil"/>
              <w:tr2bl w:val="nil"/>
            </w:tcBorders>
            <w:vAlign w:val="center"/>
          </w:tcPr>
          <w:p w14:paraId="69110AB5">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lang w:eastAsia="zh-CN"/>
              </w:rPr>
            </w:pPr>
            <w:r>
              <w:rPr>
                <w:rFonts w:hint="default" w:ascii="Times New Roman" w:hAnsi="Times New Roman" w:eastAsia="宋体" w:cs="Times New Roman"/>
                <w:color w:val="0000FF"/>
                <w:sz w:val="21"/>
                <w:szCs w:val="21"/>
                <w:highlight w:val="none"/>
                <w:lang w:val="en-US" w:eastAsia="zh-CN"/>
              </w:rPr>
              <w:t>1</w:t>
            </w:r>
          </w:p>
        </w:tc>
        <w:tc>
          <w:tcPr>
            <w:tcW w:w="2111" w:type="dxa"/>
            <w:vMerge w:val="restart"/>
            <w:tcBorders>
              <w:tl2br w:val="nil"/>
              <w:tr2bl w:val="nil"/>
            </w:tcBorders>
            <w:vAlign w:val="center"/>
          </w:tcPr>
          <w:p w14:paraId="4CC1BFF6">
            <w:pPr>
              <w:pStyle w:val="51"/>
              <w:pageBreakBefore w:val="0"/>
              <w:wordWrap/>
              <w:topLinePunct w:val="0"/>
              <w:bidi w:val="0"/>
              <w:adjustRightInd/>
              <w:snapToGrid/>
              <w:spacing w:line="240" w:lineRule="auto"/>
              <w:ind w:firstLine="0" w:firstLineChars="0"/>
              <w:rPr>
                <w:rFonts w:hint="default" w:ascii="Times New Roman" w:hAnsi="Times New Roman" w:eastAsia="宋体" w:cs="Times New Roman"/>
                <w:color w:val="0000FF"/>
                <w:sz w:val="21"/>
                <w:szCs w:val="21"/>
                <w:highlight w:val="none"/>
                <w:lang w:eastAsia="zh-CN"/>
              </w:rPr>
            </w:pPr>
            <w:r>
              <w:rPr>
                <w:rFonts w:hint="default" w:ascii="Times New Roman" w:hAnsi="Times New Roman" w:eastAsia="宋体" w:cs="Times New Roman"/>
                <w:color w:val="FF0000"/>
                <w:highlight w:val="none"/>
                <w:lang w:val="en-US" w:eastAsia="zh-CN"/>
              </w:rPr>
              <w:t>牛舍</w:t>
            </w:r>
          </w:p>
        </w:tc>
        <w:tc>
          <w:tcPr>
            <w:tcW w:w="1071" w:type="dxa"/>
            <w:tcBorders>
              <w:tl2br w:val="nil"/>
              <w:tr2bl w:val="nil"/>
            </w:tcBorders>
            <w:vAlign w:val="center"/>
          </w:tcPr>
          <w:p w14:paraId="07936E36">
            <w:pPr>
              <w:pageBreakBefore w:val="0"/>
              <w:wordWrap/>
              <w:topLinePunct w:val="0"/>
              <w:bidi w:val="0"/>
              <w:adjustRightInd/>
              <w:snapToGrid/>
              <w:spacing w:line="240" w:lineRule="auto"/>
              <w:jc w:val="center"/>
              <w:rPr>
                <w:rFonts w:hint="default" w:ascii="Times New Roman" w:hAnsi="Times New Roman" w:eastAsia="宋体" w:cs="Times New Roman"/>
                <w:color w:val="0000FF"/>
                <w:kern w:val="2"/>
                <w:sz w:val="21"/>
                <w:szCs w:val="21"/>
                <w:highlight w:val="none"/>
                <w:lang w:val="en-US" w:eastAsia="zh-CN" w:bidi="ar-SA"/>
              </w:rPr>
            </w:pPr>
            <w:r>
              <w:rPr>
                <w:rFonts w:hint="default" w:ascii="Times New Roman" w:hAnsi="Times New Roman" w:eastAsia="宋体" w:cs="Times New Roman"/>
                <w:snapToGrid w:val="0"/>
                <w:color w:val="0000FF"/>
                <w:kern w:val="0"/>
                <w:sz w:val="21"/>
                <w:szCs w:val="21"/>
                <w:highlight w:val="none"/>
              </w:rPr>
              <w:t>H</w:t>
            </w:r>
            <w:r>
              <w:rPr>
                <w:rFonts w:hint="default" w:ascii="Times New Roman" w:hAnsi="Times New Roman" w:eastAsia="宋体" w:cs="Times New Roman"/>
                <w:snapToGrid w:val="0"/>
                <w:color w:val="0000FF"/>
                <w:kern w:val="0"/>
                <w:sz w:val="21"/>
                <w:szCs w:val="21"/>
                <w:highlight w:val="none"/>
                <w:vertAlign w:val="subscript"/>
              </w:rPr>
              <w:t>2</w:t>
            </w:r>
            <w:r>
              <w:rPr>
                <w:rFonts w:hint="default" w:ascii="Times New Roman" w:hAnsi="Times New Roman" w:eastAsia="宋体" w:cs="Times New Roman"/>
                <w:snapToGrid w:val="0"/>
                <w:color w:val="0000FF"/>
                <w:kern w:val="0"/>
                <w:sz w:val="21"/>
                <w:szCs w:val="21"/>
                <w:highlight w:val="none"/>
              </w:rPr>
              <w:t>S</w:t>
            </w:r>
          </w:p>
        </w:tc>
        <w:tc>
          <w:tcPr>
            <w:tcW w:w="1071" w:type="dxa"/>
            <w:tcBorders>
              <w:tl2br w:val="nil"/>
              <w:tr2bl w:val="nil"/>
            </w:tcBorders>
            <w:vAlign w:val="center"/>
          </w:tcPr>
          <w:p w14:paraId="3960EA1F">
            <w:pPr>
              <w:pageBreakBefore w:val="0"/>
              <w:wordWrap/>
              <w:topLinePunct w:val="0"/>
              <w:bidi w:val="0"/>
              <w:adjustRightInd/>
              <w:snapToGrid/>
              <w:spacing w:line="240" w:lineRule="auto"/>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sz w:val="21"/>
                <w:szCs w:val="21"/>
                <w:highlight w:val="none"/>
              </w:rPr>
              <w:t>10</w:t>
            </w:r>
          </w:p>
        </w:tc>
        <w:tc>
          <w:tcPr>
            <w:tcW w:w="1071" w:type="dxa"/>
            <w:tcBorders>
              <w:tl2br w:val="nil"/>
              <w:tr2bl w:val="nil"/>
            </w:tcBorders>
            <w:vAlign w:val="center"/>
          </w:tcPr>
          <w:p w14:paraId="31F4F656">
            <w:pPr>
              <w:pageBreakBefore w:val="0"/>
              <w:wordWrap/>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0.08985</w:t>
            </w:r>
          </w:p>
        </w:tc>
        <w:tc>
          <w:tcPr>
            <w:tcW w:w="1071" w:type="dxa"/>
            <w:tcBorders>
              <w:tl2br w:val="nil"/>
              <w:tr2bl w:val="nil"/>
            </w:tcBorders>
            <w:vAlign w:val="center"/>
          </w:tcPr>
          <w:p w14:paraId="61E7B487">
            <w:pPr>
              <w:pageBreakBefore w:val="0"/>
              <w:wordWrap/>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0.90</w:t>
            </w:r>
          </w:p>
        </w:tc>
        <w:tc>
          <w:tcPr>
            <w:tcW w:w="774" w:type="dxa"/>
            <w:vMerge w:val="restart"/>
            <w:tcBorders>
              <w:tl2br w:val="nil"/>
              <w:tr2bl w:val="nil"/>
            </w:tcBorders>
            <w:vAlign w:val="center"/>
          </w:tcPr>
          <w:p w14:paraId="6E6FFB06">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color w:val="0000FF"/>
                <w:sz w:val="21"/>
                <w:szCs w:val="21"/>
                <w:highlight w:val="none"/>
              </w:rPr>
              <w:t>/</w:t>
            </w:r>
          </w:p>
        </w:tc>
        <w:tc>
          <w:tcPr>
            <w:tcW w:w="777" w:type="dxa"/>
            <w:vMerge w:val="restart"/>
            <w:tcBorders>
              <w:tl2br w:val="nil"/>
              <w:tr2bl w:val="nil"/>
            </w:tcBorders>
            <w:vAlign w:val="center"/>
          </w:tcPr>
          <w:p w14:paraId="02BCAA9C">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color w:val="0000FF"/>
                <w:sz w:val="21"/>
                <w:szCs w:val="21"/>
                <w:highlight w:val="none"/>
              </w:rPr>
              <w:t>二级</w:t>
            </w:r>
          </w:p>
        </w:tc>
      </w:tr>
      <w:tr w14:paraId="0470393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rPr>
        <w:tc>
          <w:tcPr>
            <w:tcW w:w="580" w:type="dxa"/>
            <w:vMerge w:val="continue"/>
            <w:tcBorders>
              <w:tl2br w:val="nil"/>
              <w:tr2bl w:val="nil"/>
            </w:tcBorders>
            <w:vAlign w:val="center"/>
          </w:tcPr>
          <w:p w14:paraId="20F4DA05">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c>
          <w:tcPr>
            <w:tcW w:w="2111" w:type="dxa"/>
            <w:vMerge w:val="continue"/>
            <w:tcBorders>
              <w:tl2br w:val="nil"/>
              <w:tr2bl w:val="nil"/>
            </w:tcBorders>
            <w:vAlign w:val="center"/>
          </w:tcPr>
          <w:p w14:paraId="0CFEB37E">
            <w:pPr>
              <w:pageBreakBefore w:val="0"/>
              <w:widowControl/>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c>
          <w:tcPr>
            <w:tcW w:w="1071" w:type="dxa"/>
            <w:tcBorders>
              <w:tl2br w:val="nil"/>
              <w:tr2bl w:val="nil"/>
            </w:tcBorders>
            <w:vAlign w:val="center"/>
          </w:tcPr>
          <w:p w14:paraId="74AAA486">
            <w:pPr>
              <w:pageBreakBefore w:val="0"/>
              <w:wordWrap/>
              <w:topLinePunct w:val="0"/>
              <w:bidi w:val="0"/>
              <w:adjustRightInd/>
              <w:snapToGrid/>
              <w:spacing w:line="240" w:lineRule="auto"/>
              <w:jc w:val="center"/>
              <w:rPr>
                <w:rFonts w:hint="default" w:ascii="Times New Roman" w:hAnsi="Times New Roman" w:eastAsia="宋体" w:cs="Times New Roman"/>
                <w:color w:val="0000FF"/>
                <w:kern w:val="2"/>
                <w:sz w:val="21"/>
                <w:szCs w:val="21"/>
                <w:highlight w:val="none"/>
                <w:lang w:val="en-US" w:eastAsia="zh-CN" w:bidi="ar-SA"/>
              </w:rPr>
            </w:pPr>
            <w:r>
              <w:rPr>
                <w:rFonts w:hint="default" w:ascii="Times New Roman" w:hAnsi="Times New Roman" w:eastAsia="宋体" w:cs="Times New Roman"/>
                <w:snapToGrid w:val="0"/>
                <w:color w:val="0000FF"/>
                <w:kern w:val="0"/>
                <w:sz w:val="21"/>
                <w:szCs w:val="21"/>
                <w:highlight w:val="none"/>
              </w:rPr>
              <w:t>NH</w:t>
            </w:r>
            <w:r>
              <w:rPr>
                <w:rFonts w:hint="default" w:ascii="Times New Roman" w:hAnsi="Times New Roman" w:eastAsia="宋体" w:cs="Times New Roman"/>
                <w:snapToGrid w:val="0"/>
                <w:color w:val="0000FF"/>
                <w:kern w:val="0"/>
                <w:sz w:val="21"/>
                <w:szCs w:val="21"/>
                <w:highlight w:val="none"/>
                <w:vertAlign w:val="subscript"/>
              </w:rPr>
              <w:t>3</w:t>
            </w:r>
          </w:p>
        </w:tc>
        <w:tc>
          <w:tcPr>
            <w:tcW w:w="1071" w:type="dxa"/>
            <w:tcBorders>
              <w:tl2br w:val="nil"/>
              <w:tr2bl w:val="nil"/>
            </w:tcBorders>
            <w:vAlign w:val="center"/>
          </w:tcPr>
          <w:p w14:paraId="1485094B">
            <w:pPr>
              <w:pageBreakBefore w:val="0"/>
              <w:wordWrap/>
              <w:topLinePunct w:val="0"/>
              <w:bidi w:val="0"/>
              <w:adjustRightInd/>
              <w:snapToGrid/>
              <w:spacing w:line="240" w:lineRule="auto"/>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sz w:val="21"/>
                <w:szCs w:val="21"/>
                <w:highlight w:val="none"/>
              </w:rPr>
              <w:t>200</w:t>
            </w:r>
          </w:p>
        </w:tc>
        <w:tc>
          <w:tcPr>
            <w:tcW w:w="1071" w:type="dxa"/>
            <w:tcBorders>
              <w:tl2br w:val="nil"/>
              <w:tr2bl w:val="nil"/>
            </w:tcBorders>
            <w:vAlign w:val="center"/>
          </w:tcPr>
          <w:p w14:paraId="15CA5B5E">
            <w:pPr>
              <w:pageBreakBefore w:val="0"/>
              <w:wordWrap/>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12.4974</w:t>
            </w:r>
          </w:p>
        </w:tc>
        <w:tc>
          <w:tcPr>
            <w:tcW w:w="1071" w:type="dxa"/>
            <w:tcBorders>
              <w:tl2br w:val="nil"/>
              <w:tr2bl w:val="nil"/>
            </w:tcBorders>
            <w:vAlign w:val="center"/>
          </w:tcPr>
          <w:p w14:paraId="312C1F4A">
            <w:pPr>
              <w:pageBreakBefore w:val="0"/>
              <w:wordWrap/>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6.25</w:t>
            </w:r>
          </w:p>
        </w:tc>
        <w:tc>
          <w:tcPr>
            <w:tcW w:w="774" w:type="dxa"/>
            <w:vMerge w:val="continue"/>
            <w:tcBorders>
              <w:tl2br w:val="nil"/>
              <w:tr2bl w:val="nil"/>
            </w:tcBorders>
            <w:vAlign w:val="center"/>
          </w:tcPr>
          <w:p w14:paraId="7EF67E02">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c>
          <w:tcPr>
            <w:tcW w:w="777" w:type="dxa"/>
            <w:vMerge w:val="continue"/>
            <w:tcBorders>
              <w:tl2br w:val="nil"/>
              <w:tr2bl w:val="nil"/>
            </w:tcBorders>
            <w:vAlign w:val="center"/>
          </w:tcPr>
          <w:p w14:paraId="667D456B">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r>
      <w:tr w14:paraId="58A845E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rPr>
        <w:tc>
          <w:tcPr>
            <w:tcW w:w="580" w:type="dxa"/>
            <w:vMerge w:val="restart"/>
            <w:tcBorders>
              <w:tl2br w:val="nil"/>
              <w:tr2bl w:val="nil"/>
            </w:tcBorders>
            <w:vAlign w:val="center"/>
          </w:tcPr>
          <w:p w14:paraId="4D034EEB">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宋体" w:cs="Times New Roman"/>
                <w:color w:val="0000FF"/>
                <w:sz w:val="21"/>
                <w:szCs w:val="21"/>
                <w:highlight w:val="none"/>
                <w:lang w:val="en-US" w:eastAsia="zh-CN"/>
              </w:rPr>
              <w:t>2</w:t>
            </w:r>
          </w:p>
        </w:tc>
        <w:tc>
          <w:tcPr>
            <w:tcW w:w="2111" w:type="dxa"/>
            <w:vMerge w:val="restart"/>
            <w:tcBorders>
              <w:tl2br w:val="nil"/>
              <w:tr2bl w:val="nil"/>
            </w:tcBorders>
            <w:vAlign w:val="center"/>
          </w:tcPr>
          <w:p w14:paraId="3397DF66">
            <w:pPr>
              <w:pStyle w:val="51"/>
              <w:pageBreakBefore w:val="0"/>
              <w:wordWrap/>
              <w:topLinePunct w:val="0"/>
              <w:bidi w:val="0"/>
              <w:adjustRightInd/>
              <w:snapToGrid/>
              <w:spacing w:line="240" w:lineRule="auto"/>
              <w:ind w:firstLine="0" w:firstLineChars="0"/>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color w:val="0000FF"/>
                <w:sz w:val="21"/>
                <w:szCs w:val="21"/>
                <w:highlight w:val="none"/>
                <w:lang w:val="en-US" w:eastAsia="zh-CN"/>
              </w:rPr>
              <w:t>粪污储存间</w:t>
            </w:r>
          </w:p>
        </w:tc>
        <w:tc>
          <w:tcPr>
            <w:tcW w:w="1071" w:type="dxa"/>
            <w:tcBorders>
              <w:tl2br w:val="nil"/>
              <w:tr2bl w:val="nil"/>
            </w:tcBorders>
            <w:vAlign w:val="center"/>
          </w:tcPr>
          <w:p w14:paraId="5021A81B">
            <w:pPr>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kern w:val="2"/>
                <w:sz w:val="21"/>
                <w:szCs w:val="21"/>
                <w:highlight w:val="none"/>
                <w:lang w:val="en-US" w:eastAsia="zh-CN" w:bidi="ar-SA"/>
              </w:rPr>
            </w:pPr>
            <w:r>
              <w:rPr>
                <w:rFonts w:hint="default" w:ascii="Times New Roman" w:hAnsi="Times New Roman" w:eastAsia="宋体" w:cs="Times New Roman"/>
                <w:snapToGrid w:val="0"/>
                <w:color w:val="0000FF"/>
                <w:kern w:val="0"/>
                <w:sz w:val="21"/>
                <w:szCs w:val="21"/>
                <w:highlight w:val="none"/>
              </w:rPr>
              <w:t>H</w:t>
            </w:r>
            <w:r>
              <w:rPr>
                <w:rFonts w:hint="default" w:ascii="Times New Roman" w:hAnsi="Times New Roman" w:eastAsia="宋体" w:cs="Times New Roman"/>
                <w:snapToGrid w:val="0"/>
                <w:color w:val="0000FF"/>
                <w:kern w:val="0"/>
                <w:sz w:val="21"/>
                <w:szCs w:val="21"/>
                <w:highlight w:val="none"/>
                <w:vertAlign w:val="subscript"/>
              </w:rPr>
              <w:t>2</w:t>
            </w:r>
            <w:r>
              <w:rPr>
                <w:rFonts w:hint="default" w:ascii="Times New Roman" w:hAnsi="Times New Roman" w:eastAsia="宋体" w:cs="Times New Roman"/>
                <w:snapToGrid w:val="0"/>
                <w:color w:val="0000FF"/>
                <w:kern w:val="0"/>
                <w:sz w:val="21"/>
                <w:szCs w:val="21"/>
                <w:highlight w:val="none"/>
              </w:rPr>
              <w:t>S</w:t>
            </w:r>
          </w:p>
        </w:tc>
        <w:tc>
          <w:tcPr>
            <w:tcW w:w="1071" w:type="dxa"/>
            <w:tcBorders>
              <w:tl2br w:val="nil"/>
              <w:tr2bl w:val="nil"/>
            </w:tcBorders>
            <w:vAlign w:val="center"/>
          </w:tcPr>
          <w:p w14:paraId="5E61AC97">
            <w:pPr>
              <w:pageBreakBefore w:val="0"/>
              <w:wordWrap/>
              <w:topLinePunct w:val="0"/>
              <w:bidi w:val="0"/>
              <w:adjustRightInd/>
              <w:snapToGrid/>
              <w:spacing w:line="240" w:lineRule="auto"/>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sz w:val="21"/>
                <w:szCs w:val="21"/>
                <w:highlight w:val="none"/>
              </w:rPr>
              <w:t>10</w:t>
            </w:r>
          </w:p>
        </w:tc>
        <w:tc>
          <w:tcPr>
            <w:tcW w:w="1071" w:type="dxa"/>
            <w:tcBorders>
              <w:tl2br w:val="nil"/>
              <w:tr2bl w:val="nil"/>
            </w:tcBorders>
            <w:vAlign w:val="center"/>
          </w:tcPr>
          <w:p w14:paraId="372364B7">
            <w:pPr>
              <w:pageBreakBefore w:val="0"/>
              <w:widowControl/>
              <w:wordWrap/>
              <w:topLinePunct w:val="0"/>
              <w:bidi w:val="0"/>
              <w:adjustRightInd/>
              <w:snapToGrid/>
              <w:spacing w:line="240" w:lineRule="auto"/>
              <w:jc w:val="center"/>
              <w:textAlignment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0.00025</w:t>
            </w:r>
          </w:p>
        </w:tc>
        <w:tc>
          <w:tcPr>
            <w:tcW w:w="1071" w:type="dxa"/>
            <w:tcBorders>
              <w:tl2br w:val="nil"/>
              <w:tr2bl w:val="nil"/>
            </w:tcBorders>
            <w:vAlign w:val="center"/>
          </w:tcPr>
          <w:p w14:paraId="24D69ACD">
            <w:pPr>
              <w:pageBreakBefore w:val="0"/>
              <w:wordWrap/>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0.01</w:t>
            </w:r>
          </w:p>
        </w:tc>
        <w:tc>
          <w:tcPr>
            <w:tcW w:w="774" w:type="dxa"/>
            <w:vMerge w:val="restart"/>
            <w:tcBorders>
              <w:tl2br w:val="nil"/>
              <w:tr2bl w:val="nil"/>
            </w:tcBorders>
            <w:vAlign w:val="center"/>
          </w:tcPr>
          <w:p w14:paraId="283CE212">
            <w:pPr>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color w:val="0000FF"/>
                <w:sz w:val="21"/>
                <w:szCs w:val="21"/>
                <w:highlight w:val="none"/>
              </w:rPr>
              <w:t>/</w:t>
            </w:r>
          </w:p>
        </w:tc>
        <w:tc>
          <w:tcPr>
            <w:tcW w:w="777" w:type="dxa"/>
            <w:vMerge w:val="restart"/>
            <w:tcBorders>
              <w:tl2br w:val="nil"/>
              <w:tr2bl w:val="nil"/>
            </w:tcBorders>
            <w:vAlign w:val="center"/>
          </w:tcPr>
          <w:p w14:paraId="0A066328">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r>
              <w:rPr>
                <w:rFonts w:hint="eastAsia" w:ascii="Times New Roman" w:hAnsi="Times New Roman" w:eastAsia="宋体" w:cs="Times New Roman"/>
                <w:color w:val="0000FF"/>
                <w:sz w:val="21"/>
                <w:szCs w:val="21"/>
                <w:highlight w:val="none"/>
                <w:lang w:val="en-US" w:eastAsia="zh-CN"/>
              </w:rPr>
              <w:t>三</w:t>
            </w:r>
            <w:r>
              <w:rPr>
                <w:rFonts w:hint="default" w:ascii="Times New Roman" w:hAnsi="Times New Roman" w:eastAsia="宋体" w:cs="Times New Roman"/>
                <w:color w:val="0000FF"/>
                <w:sz w:val="21"/>
                <w:szCs w:val="21"/>
                <w:highlight w:val="none"/>
              </w:rPr>
              <w:t>级</w:t>
            </w:r>
          </w:p>
        </w:tc>
      </w:tr>
      <w:tr w14:paraId="1AE0E57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rPr>
        <w:tc>
          <w:tcPr>
            <w:tcW w:w="580" w:type="dxa"/>
            <w:vMerge w:val="continue"/>
            <w:tcBorders>
              <w:tl2br w:val="nil"/>
              <w:tr2bl w:val="nil"/>
            </w:tcBorders>
            <w:vAlign w:val="center"/>
          </w:tcPr>
          <w:p w14:paraId="2C55AF79">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c>
          <w:tcPr>
            <w:tcW w:w="2111" w:type="dxa"/>
            <w:vMerge w:val="continue"/>
            <w:tcBorders>
              <w:tl2br w:val="nil"/>
              <w:tr2bl w:val="nil"/>
            </w:tcBorders>
            <w:vAlign w:val="center"/>
          </w:tcPr>
          <w:p w14:paraId="3B1E8541">
            <w:pPr>
              <w:pageBreakBefore w:val="0"/>
              <w:widowControl/>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c>
          <w:tcPr>
            <w:tcW w:w="1071" w:type="dxa"/>
            <w:tcBorders>
              <w:tl2br w:val="nil"/>
              <w:tr2bl w:val="nil"/>
            </w:tcBorders>
            <w:vAlign w:val="center"/>
          </w:tcPr>
          <w:p w14:paraId="4C6A92C4">
            <w:pPr>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kern w:val="2"/>
                <w:sz w:val="21"/>
                <w:szCs w:val="21"/>
                <w:highlight w:val="none"/>
                <w:lang w:val="en-US" w:eastAsia="zh-CN" w:bidi="ar-SA"/>
              </w:rPr>
            </w:pPr>
            <w:r>
              <w:rPr>
                <w:rFonts w:hint="default" w:ascii="Times New Roman" w:hAnsi="Times New Roman" w:eastAsia="宋体" w:cs="Times New Roman"/>
                <w:snapToGrid w:val="0"/>
                <w:color w:val="0000FF"/>
                <w:kern w:val="0"/>
                <w:sz w:val="21"/>
                <w:szCs w:val="21"/>
                <w:highlight w:val="none"/>
              </w:rPr>
              <w:t>NH</w:t>
            </w:r>
            <w:r>
              <w:rPr>
                <w:rFonts w:hint="default" w:ascii="Times New Roman" w:hAnsi="Times New Roman" w:eastAsia="宋体" w:cs="Times New Roman"/>
                <w:snapToGrid w:val="0"/>
                <w:color w:val="0000FF"/>
                <w:kern w:val="0"/>
                <w:sz w:val="21"/>
                <w:szCs w:val="21"/>
                <w:highlight w:val="none"/>
                <w:vertAlign w:val="subscript"/>
              </w:rPr>
              <w:t>3</w:t>
            </w:r>
          </w:p>
        </w:tc>
        <w:tc>
          <w:tcPr>
            <w:tcW w:w="1071" w:type="dxa"/>
            <w:tcBorders>
              <w:tl2br w:val="nil"/>
              <w:tr2bl w:val="nil"/>
            </w:tcBorders>
            <w:vAlign w:val="center"/>
          </w:tcPr>
          <w:p w14:paraId="35CB464B">
            <w:pPr>
              <w:pageBreakBefore w:val="0"/>
              <w:wordWrap/>
              <w:topLinePunct w:val="0"/>
              <w:bidi w:val="0"/>
              <w:adjustRightInd/>
              <w:snapToGrid/>
              <w:spacing w:line="240" w:lineRule="auto"/>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sz w:val="21"/>
                <w:szCs w:val="21"/>
                <w:highlight w:val="none"/>
              </w:rPr>
              <w:t>200</w:t>
            </w:r>
          </w:p>
        </w:tc>
        <w:tc>
          <w:tcPr>
            <w:tcW w:w="1071" w:type="dxa"/>
            <w:tcBorders>
              <w:tl2br w:val="nil"/>
              <w:tr2bl w:val="nil"/>
            </w:tcBorders>
            <w:vAlign w:val="center"/>
          </w:tcPr>
          <w:p w14:paraId="6BCA6C5B">
            <w:pPr>
              <w:pageBreakBefore w:val="0"/>
              <w:widowControl/>
              <w:wordWrap/>
              <w:topLinePunct w:val="0"/>
              <w:bidi w:val="0"/>
              <w:adjustRightInd/>
              <w:snapToGrid/>
              <w:spacing w:line="240" w:lineRule="auto"/>
              <w:jc w:val="center"/>
              <w:textAlignment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0.03570</w:t>
            </w:r>
          </w:p>
        </w:tc>
        <w:tc>
          <w:tcPr>
            <w:tcW w:w="1071" w:type="dxa"/>
            <w:tcBorders>
              <w:tl2br w:val="nil"/>
              <w:tr2bl w:val="nil"/>
            </w:tcBorders>
            <w:vAlign w:val="center"/>
          </w:tcPr>
          <w:p w14:paraId="63525B1C">
            <w:pPr>
              <w:pageBreakBefore w:val="0"/>
              <w:wordWrap/>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0.02</w:t>
            </w:r>
          </w:p>
        </w:tc>
        <w:tc>
          <w:tcPr>
            <w:tcW w:w="774" w:type="dxa"/>
            <w:vMerge w:val="continue"/>
            <w:tcBorders>
              <w:tl2br w:val="nil"/>
              <w:tr2bl w:val="nil"/>
            </w:tcBorders>
            <w:vAlign w:val="center"/>
          </w:tcPr>
          <w:p w14:paraId="7E220DC1">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c>
          <w:tcPr>
            <w:tcW w:w="777" w:type="dxa"/>
            <w:vMerge w:val="continue"/>
            <w:tcBorders>
              <w:tl2br w:val="nil"/>
              <w:tr2bl w:val="nil"/>
            </w:tcBorders>
            <w:vAlign w:val="center"/>
          </w:tcPr>
          <w:p w14:paraId="0C607B12">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r>
      <w:tr w14:paraId="7E427B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rPr>
        <w:tc>
          <w:tcPr>
            <w:tcW w:w="580" w:type="dxa"/>
            <w:vMerge w:val="restart"/>
            <w:tcBorders>
              <w:tl2br w:val="nil"/>
              <w:tr2bl w:val="nil"/>
            </w:tcBorders>
            <w:vAlign w:val="center"/>
          </w:tcPr>
          <w:p w14:paraId="2C9CD5D7">
            <w:pPr>
              <w:pStyle w:val="50"/>
              <w:pageBreakBefore w:val="0"/>
              <w:wordWrap/>
              <w:topLinePunct w:val="0"/>
              <w:bidi w:val="0"/>
              <w:adjustRightInd/>
              <w:snapToGrid/>
              <w:spacing w:line="240" w:lineRule="auto"/>
              <w:ind w:left="-63" w:leftChars="-30" w:right="-63" w:rightChars="-30"/>
              <w:jc w:val="center"/>
              <w:rPr>
                <w:rFonts w:hint="eastAsia"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3</w:t>
            </w:r>
          </w:p>
        </w:tc>
        <w:tc>
          <w:tcPr>
            <w:tcW w:w="2111" w:type="dxa"/>
            <w:vMerge w:val="restart"/>
            <w:tcBorders>
              <w:tl2br w:val="nil"/>
              <w:tr2bl w:val="nil"/>
            </w:tcBorders>
            <w:vAlign w:val="center"/>
          </w:tcPr>
          <w:p w14:paraId="56C4118D">
            <w:pPr>
              <w:pageBreakBefore w:val="0"/>
              <w:widowControl/>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lang w:val="en-US"/>
              </w:rPr>
            </w:pPr>
            <w:r>
              <w:rPr>
                <w:rFonts w:hint="default" w:ascii="Times New Roman" w:hAnsi="Times New Roman" w:eastAsia="宋体" w:cs="Times New Roman"/>
                <w:color w:val="0000FF"/>
                <w:sz w:val="21"/>
                <w:szCs w:val="21"/>
                <w:highlight w:val="none"/>
                <w:lang w:val="en-US" w:eastAsia="zh-CN"/>
              </w:rPr>
              <w:t>粪污储存间</w:t>
            </w:r>
            <w:r>
              <w:rPr>
                <w:rFonts w:hint="eastAsia" w:ascii="Times New Roman" w:hAnsi="Times New Roman" w:eastAsia="宋体" w:cs="Times New Roman"/>
                <w:color w:val="0000FF"/>
                <w:sz w:val="21"/>
                <w:szCs w:val="21"/>
                <w:highlight w:val="none"/>
                <w:lang w:val="en-US" w:eastAsia="zh-CN"/>
              </w:rPr>
              <w:t>排气筒</w:t>
            </w:r>
          </w:p>
        </w:tc>
        <w:tc>
          <w:tcPr>
            <w:tcW w:w="1071" w:type="dxa"/>
            <w:tcBorders>
              <w:tl2br w:val="nil"/>
              <w:tr2bl w:val="nil"/>
            </w:tcBorders>
            <w:shd w:val="clear" w:color="auto" w:fill="auto"/>
            <w:vAlign w:val="center"/>
          </w:tcPr>
          <w:p w14:paraId="7D77FCAA">
            <w:pPr>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default" w:ascii="Times New Roman" w:hAnsi="Times New Roman" w:eastAsia="宋体" w:cs="Times New Roman"/>
                <w:snapToGrid w:val="0"/>
                <w:color w:val="0000FF"/>
                <w:kern w:val="0"/>
                <w:sz w:val="21"/>
                <w:szCs w:val="21"/>
                <w:highlight w:val="none"/>
              </w:rPr>
              <w:t>H</w:t>
            </w:r>
            <w:r>
              <w:rPr>
                <w:rFonts w:hint="default" w:ascii="Times New Roman" w:hAnsi="Times New Roman" w:eastAsia="宋体" w:cs="Times New Roman"/>
                <w:snapToGrid w:val="0"/>
                <w:color w:val="0000FF"/>
                <w:kern w:val="0"/>
                <w:sz w:val="21"/>
                <w:szCs w:val="21"/>
                <w:highlight w:val="none"/>
                <w:vertAlign w:val="subscript"/>
              </w:rPr>
              <w:t>2</w:t>
            </w:r>
            <w:r>
              <w:rPr>
                <w:rFonts w:hint="default" w:ascii="Times New Roman" w:hAnsi="Times New Roman" w:eastAsia="宋体" w:cs="Times New Roman"/>
                <w:snapToGrid w:val="0"/>
                <w:color w:val="0000FF"/>
                <w:kern w:val="0"/>
                <w:sz w:val="21"/>
                <w:szCs w:val="21"/>
                <w:highlight w:val="none"/>
              </w:rPr>
              <w:t>S</w:t>
            </w:r>
          </w:p>
        </w:tc>
        <w:tc>
          <w:tcPr>
            <w:tcW w:w="1071" w:type="dxa"/>
            <w:tcBorders>
              <w:tl2br w:val="nil"/>
              <w:tr2bl w:val="nil"/>
            </w:tcBorders>
            <w:shd w:val="clear" w:color="auto" w:fill="auto"/>
            <w:vAlign w:val="center"/>
          </w:tcPr>
          <w:p w14:paraId="087639AD">
            <w:pPr>
              <w:pageBreakBefore w:val="0"/>
              <w:wordWrap/>
              <w:topLinePunct w:val="0"/>
              <w:bidi w:val="0"/>
              <w:adjustRightInd/>
              <w:snapToGrid/>
              <w:spacing w:line="240" w:lineRule="auto"/>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sz w:val="21"/>
                <w:szCs w:val="21"/>
                <w:highlight w:val="none"/>
              </w:rPr>
              <w:t>10</w:t>
            </w:r>
          </w:p>
        </w:tc>
        <w:tc>
          <w:tcPr>
            <w:tcW w:w="1071" w:type="dxa"/>
            <w:tcBorders>
              <w:tl2br w:val="nil"/>
              <w:tr2bl w:val="nil"/>
            </w:tcBorders>
            <w:vAlign w:val="center"/>
          </w:tcPr>
          <w:p w14:paraId="5BAB629A">
            <w:pPr>
              <w:pageBreakBefore w:val="0"/>
              <w:widowControl/>
              <w:wordWrap/>
              <w:topLinePunct w:val="0"/>
              <w:bidi w:val="0"/>
              <w:adjustRightInd/>
              <w:snapToGrid/>
              <w:spacing w:line="240" w:lineRule="auto"/>
              <w:jc w:val="center"/>
              <w:textAlignment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0.000007</w:t>
            </w:r>
          </w:p>
        </w:tc>
        <w:tc>
          <w:tcPr>
            <w:tcW w:w="1071" w:type="dxa"/>
            <w:tcBorders>
              <w:tl2br w:val="nil"/>
              <w:tr2bl w:val="nil"/>
            </w:tcBorders>
            <w:vAlign w:val="center"/>
          </w:tcPr>
          <w:p w14:paraId="023B38D0">
            <w:pPr>
              <w:pageBreakBefore w:val="0"/>
              <w:wordWrap/>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0.1</w:t>
            </w:r>
          </w:p>
        </w:tc>
        <w:tc>
          <w:tcPr>
            <w:tcW w:w="774" w:type="dxa"/>
            <w:vMerge w:val="restart"/>
            <w:tcBorders>
              <w:tl2br w:val="nil"/>
              <w:tr2bl w:val="nil"/>
            </w:tcBorders>
            <w:vAlign w:val="center"/>
          </w:tcPr>
          <w:p w14:paraId="0FE1DC63">
            <w:pPr>
              <w:pStyle w:val="50"/>
              <w:pageBreakBefore w:val="0"/>
              <w:wordWrap/>
              <w:topLinePunct w:val="0"/>
              <w:bidi w:val="0"/>
              <w:adjustRightInd/>
              <w:snapToGrid/>
              <w:spacing w:line="240" w:lineRule="auto"/>
              <w:ind w:left="-63" w:leftChars="-30" w:right="-63" w:rightChars="-30"/>
              <w:jc w:val="center"/>
              <w:rPr>
                <w:rFonts w:hint="eastAsia"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w:t>
            </w:r>
          </w:p>
        </w:tc>
        <w:tc>
          <w:tcPr>
            <w:tcW w:w="777" w:type="dxa"/>
            <w:vMerge w:val="restart"/>
            <w:tcBorders>
              <w:tl2br w:val="nil"/>
              <w:tr2bl w:val="nil"/>
            </w:tcBorders>
            <w:vAlign w:val="center"/>
          </w:tcPr>
          <w:p w14:paraId="7609EF4E">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r>
              <w:rPr>
                <w:rFonts w:hint="eastAsia" w:ascii="Times New Roman" w:hAnsi="Times New Roman" w:eastAsia="宋体" w:cs="Times New Roman"/>
                <w:color w:val="0000FF"/>
                <w:sz w:val="21"/>
                <w:szCs w:val="21"/>
                <w:highlight w:val="none"/>
                <w:lang w:val="en-US" w:eastAsia="zh-CN"/>
              </w:rPr>
              <w:t>三</w:t>
            </w:r>
            <w:r>
              <w:rPr>
                <w:rFonts w:hint="default" w:ascii="Times New Roman" w:hAnsi="Times New Roman" w:eastAsia="宋体" w:cs="Times New Roman"/>
                <w:color w:val="0000FF"/>
                <w:sz w:val="21"/>
                <w:szCs w:val="21"/>
                <w:highlight w:val="none"/>
              </w:rPr>
              <w:t>级</w:t>
            </w:r>
          </w:p>
        </w:tc>
      </w:tr>
      <w:tr w14:paraId="004FF61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rPr>
        <w:tc>
          <w:tcPr>
            <w:tcW w:w="580" w:type="dxa"/>
            <w:vMerge w:val="continue"/>
            <w:tcBorders>
              <w:tl2br w:val="nil"/>
              <w:tr2bl w:val="nil"/>
            </w:tcBorders>
            <w:vAlign w:val="center"/>
          </w:tcPr>
          <w:p w14:paraId="33BD57C5">
            <w:pPr>
              <w:pStyle w:val="50"/>
              <w:pageBreakBefore w:val="0"/>
              <w:wordWrap/>
              <w:topLinePunct w:val="0"/>
              <w:bidi w:val="0"/>
              <w:adjustRightInd/>
              <w:snapToGrid/>
              <w:spacing w:line="240" w:lineRule="auto"/>
              <w:ind w:left="-63" w:leftChars="-30" w:right="-63" w:rightChars="-30"/>
              <w:jc w:val="center"/>
              <w:rPr>
                <w:rFonts w:hint="eastAsia" w:ascii="Times New Roman" w:hAnsi="Times New Roman" w:eastAsia="宋体" w:cs="Times New Roman"/>
                <w:color w:val="0000FF"/>
                <w:sz w:val="21"/>
                <w:szCs w:val="21"/>
                <w:highlight w:val="none"/>
                <w:lang w:val="en-US" w:eastAsia="zh-CN"/>
              </w:rPr>
            </w:pPr>
          </w:p>
        </w:tc>
        <w:tc>
          <w:tcPr>
            <w:tcW w:w="2111" w:type="dxa"/>
            <w:vMerge w:val="continue"/>
            <w:tcBorders>
              <w:tl2br w:val="nil"/>
              <w:tr2bl w:val="nil"/>
            </w:tcBorders>
            <w:vAlign w:val="center"/>
          </w:tcPr>
          <w:p w14:paraId="4D20F9F4">
            <w:pPr>
              <w:pageBreakBefore w:val="0"/>
              <w:widowControl/>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lang w:val="en-US" w:eastAsia="zh-CN"/>
              </w:rPr>
            </w:pPr>
          </w:p>
        </w:tc>
        <w:tc>
          <w:tcPr>
            <w:tcW w:w="1071" w:type="dxa"/>
            <w:tcBorders>
              <w:tl2br w:val="nil"/>
              <w:tr2bl w:val="nil"/>
            </w:tcBorders>
            <w:shd w:val="clear" w:color="auto" w:fill="auto"/>
            <w:vAlign w:val="center"/>
          </w:tcPr>
          <w:p w14:paraId="2B82067D">
            <w:pPr>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default" w:ascii="Times New Roman" w:hAnsi="Times New Roman" w:eastAsia="宋体" w:cs="Times New Roman"/>
                <w:snapToGrid w:val="0"/>
                <w:color w:val="0000FF"/>
                <w:kern w:val="0"/>
                <w:sz w:val="21"/>
                <w:szCs w:val="21"/>
                <w:highlight w:val="none"/>
              </w:rPr>
              <w:t>NH</w:t>
            </w:r>
            <w:r>
              <w:rPr>
                <w:rFonts w:hint="default" w:ascii="Times New Roman" w:hAnsi="Times New Roman" w:eastAsia="宋体" w:cs="Times New Roman"/>
                <w:snapToGrid w:val="0"/>
                <w:color w:val="0000FF"/>
                <w:kern w:val="0"/>
                <w:sz w:val="21"/>
                <w:szCs w:val="21"/>
                <w:highlight w:val="none"/>
                <w:vertAlign w:val="subscript"/>
              </w:rPr>
              <w:t>3</w:t>
            </w:r>
          </w:p>
        </w:tc>
        <w:tc>
          <w:tcPr>
            <w:tcW w:w="1071" w:type="dxa"/>
            <w:tcBorders>
              <w:tl2br w:val="nil"/>
              <w:tr2bl w:val="nil"/>
            </w:tcBorders>
            <w:shd w:val="clear" w:color="auto" w:fill="auto"/>
            <w:vAlign w:val="center"/>
          </w:tcPr>
          <w:p w14:paraId="50D53088">
            <w:pPr>
              <w:pageBreakBefore w:val="0"/>
              <w:wordWrap/>
              <w:topLinePunct w:val="0"/>
              <w:bidi w:val="0"/>
              <w:adjustRightInd/>
              <w:snapToGrid/>
              <w:spacing w:line="240" w:lineRule="auto"/>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default" w:ascii="Times New Roman" w:hAnsi="Times New Roman" w:eastAsia="宋体" w:cs="Times New Roman"/>
                <w:color w:val="0000FF"/>
                <w:sz w:val="21"/>
                <w:szCs w:val="21"/>
                <w:highlight w:val="none"/>
              </w:rPr>
              <w:t>200</w:t>
            </w:r>
          </w:p>
        </w:tc>
        <w:tc>
          <w:tcPr>
            <w:tcW w:w="1071" w:type="dxa"/>
            <w:tcBorders>
              <w:tl2br w:val="nil"/>
              <w:tr2bl w:val="nil"/>
            </w:tcBorders>
            <w:vAlign w:val="center"/>
          </w:tcPr>
          <w:p w14:paraId="35C391DF">
            <w:pPr>
              <w:pageBreakBefore w:val="0"/>
              <w:widowControl/>
              <w:wordWrap/>
              <w:topLinePunct w:val="0"/>
              <w:bidi w:val="0"/>
              <w:adjustRightInd/>
              <w:snapToGrid/>
              <w:spacing w:line="240" w:lineRule="auto"/>
              <w:jc w:val="center"/>
              <w:textAlignment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0.000941</w:t>
            </w:r>
          </w:p>
        </w:tc>
        <w:tc>
          <w:tcPr>
            <w:tcW w:w="1071" w:type="dxa"/>
            <w:tcBorders>
              <w:tl2br w:val="nil"/>
              <w:tr2bl w:val="nil"/>
            </w:tcBorders>
            <w:vAlign w:val="center"/>
          </w:tcPr>
          <w:p w14:paraId="197A1E4E">
            <w:pPr>
              <w:pageBreakBefore w:val="0"/>
              <w:wordWrap/>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0.47</w:t>
            </w:r>
          </w:p>
        </w:tc>
        <w:tc>
          <w:tcPr>
            <w:tcW w:w="774" w:type="dxa"/>
            <w:vMerge w:val="continue"/>
            <w:tcBorders>
              <w:tl2br w:val="nil"/>
              <w:tr2bl w:val="nil"/>
            </w:tcBorders>
            <w:vAlign w:val="center"/>
          </w:tcPr>
          <w:p w14:paraId="256F84B9">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c>
          <w:tcPr>
            <w:tcW w:w="777" w:type="dxa"/>
            <w:vMerge w:val="continue"/>
            <w:tcBorders>
              <w:tl2br w:val="nil"/>
              <w:tr2bl w:val="nil"/>
            </w:tcBorders>
            <w:vAlign w:val="center"/>
          </w:tcPr>
          <w:p w14:paraId="38D2CBC3">
            <w:pPr>
              <w:pStyle w:val="50"/>
              <w:pageBreakBefore w:val="0"/>
              <w:wordWrap/>
              <w:topLinePunct w:val="0"/>
              <w:bidi w:val="0"/>
              <w:adjustRightInd/>
              <w:snapToGrid/>
              <w:spacing w:line="240" w:lineRule="auto"/>
              <w:ind w:left="-63" w:leftChars="-30" w:right="-63" w:rightChars="-30"/>
              <w:jc w:val="center"/>
              <w:rPr>
                <w:rFonts w:hint="default" w:ascii="Times New Roman" w:hAnsi="Times New Roman" w:eastAsia="宋体" w:cs="Times New Roman"/>
                <w:color w:val="0000FF"/>
                <w:sz w:val="21"/>
                <w:szCs w:val="21"/>
                <w:highlight w:val="none"/>
              </w:rPr>
            </w:pPr>
          </w:p>
        </w:tc>
      </w:tr>
    </w:tbl>
    <w:p w14:paraId="0826F6D4">
      <w:pPr>
        <w:keepNext w:val="0"/>
        <w:keepLines w:val="0"/>
        <w:pageBreakBefore w:val="0"/>
        <w:kinsoku/>
        <w:wordWrap w:val="0"/>
        <w:overflowPunct/>
        <w:topLinePunct/>
        <w:autoSpaceDE/>
        <w:autoSpaceDN/>
        <w:bidi w:val="0"/>
        <w:adjustRightInd w:val="0"/>
        <w:snapToGrid w:val="0"/>
        <w:spacing w:before="33" w:line="357" w:lineRule="auto"/>
        <w:ind w:left="131" w:right="110" w:firstLine="479"/>
        <w:jc w:val="both"/>
        <w:textAlignment w:val="baseline"/>
        <w:rPr>
          <w:rFonts w:hint="default" w:ascii="Times New Roman" w:hAnsi="Times New Roman" w:eastAsia="宋体" w:cs="Times New Roman"/>
          <w:color w:val="auto"/>
          <w:spacing w:val="-4"/>
          <w:sz w:val="24"/>
          <w:szCs w:val="24"/>
          <w:highlight w:val="none"/>
        </w:rPr>
      </w:pPr>
      <w:r>
        <w:rPr>
          <w:rFonts w:hint="default" w:ascii="Times New Roman" w:hAnsi="Times New Roman" w:eastAsia="宋体" w:cs="Times New Roman"/>
          <w:color w:val="auto"/>
          <w:sz w:val="24"/>
          <w:szCs w:val="24"/>
          <w:highlight w:val="none"/>
        </w:rPr>
        <w:t>根据《环境影响评价技术导则大气环境》（</w:t>
      </w:r>
      <w:r>
        <w:rPr>
          <w:rFonts w:hint="default" w:ascii="Times New Roman" w:hAnsi="Times New Roman" w:eastAsia="Times New Roman" w:cs="Times New Roman"/>
          <w:color w:val="auto"/>
          <w:sz w:val="24"/>
          <w:szCs w:val="24"/>
          <w:highlight w:val="none"/>
        </w:rPr>
        <w:t>HJ2.2-2018</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宋体" w:cs="Times New Roman"/>
          <w:color w:val="auto"/>
          <w:sz w:val="24"/>
          <w:szCs w:val="24"/>
          <w:highlight w:val="none"/>
        </w:rPr>
        <w:t>同一个项目有多个</w:t>
      </w:r>
      <w:r>
        <w:rPr>
          <w:rFonts w:hint="default" w:ascii="Times New Roman" w:hAnsi="Times New Roman" w:eastAsia="宋体" w:cs="Times New Roman"/>
          <w:color w:val="auto"/>
          <w:spacing w:val="-3"/>
          <w:sz w:val="24"/>
          <w:szCs w:val="24"/>
          <w:highlight w:val="none"/>
        </w:rPr>
        <w:t>污染源（两个及以上）取等级最高者作为本项目的评价等级，因此，本项目大气环境</w:t>
      </w:r>
      <w:r>
        <w:rPr>
          <w:rFonts w:hint="default" w:ascii="Times New Roman" w:hAnsi="Times New Roman" w:eastAsia="宋体" w:cs="Times New Roman"/>
          <w:color w:val="auto"/>
          <w:spacing w:val="-4"/>
          <w:sz w:val="24"/>
          <w:szCs w:val="24"/>
          <w:highlight w:val="none"/>
        </w:rPr>
        <w:t>影响评价等级为二级。</w:t>
      </w:r>
    </w:p>
    <w:p w14:paraId="4EBBA8A8">
      <w:pPr>
        <w:pStyle w:val="11"/>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rPr>
        <w:drawing>
          <wp:inline distT="0" distB="0" distL="114300" distR="114300">
            <wp:extent cx="5027295" cy="2479040"/>
            <wp:effectExtent l="0" t="0" r="1905" b="16510"/>
            <wp:docPr id="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6"/>
                    <pic:cNvPicPr>
                      <a:picLocks noChangeAspect="1"/>
                    </pic:cNvPicPr>
                  </pic:nvPicPr>
                  <pic:blipFill>
                    <a:blip r:embed="rId60"/>
                    <a:stretch>
                      <a:fillRect/>
                    </a:stretch>
                  </pic:blipFill>
                  <pic:spPr>
                    <a:xfrm>
                      <a:off x="0" y="0"/>
                      <a:ext cx="5027295" cy="2479040"/>
                    </a:xfrm>
                    <a:prstGeom prst="rect">
                      <a:avLst/>
                    </a:prstGeom>
                    <a:noFill/>
                    <a:ln>
                      <a:noFill/>
                    </a:ln>
                  </pic:spPr>
                </pic:pic>
              </a:graphicData>
            </a:graphic>
          </wp:inline>
        </w:drawing>
      </w:r>
    </w:p>
    <w:p w14:paraId="69604947">
      <w:pPr>
        <w:pStyle w:val="11"/>
        <w:jc w:val="center"/>
        <w:rPr>
          <w:rFonts w:hint="default" w:ascii="Times New Roman" w:hAnsi="Times New Roman" w:cs="Times New Roman"/>
          <w:b/>
          <w:bCs/>
          <w:color w:val="auto"/>
          <w:sz w:val="24"/>
          <w:szCs w:val="24"/>
          <w:highlight w:val="none"/>
          <w:lang w:val="en-US" w:eastAsia="zh-CN"/>
        </w:rPr>
        <w:sectPr>
          <w:headerReference r:id="rId13" w:type="default"/>
          <w:footerReference r:id="rId14"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r>
        <w:rPr>
          <w:rFonts w:hint="default" w:ascii="Times New Roman" w:hAnsi="Times New Roman" w:cs="Times New Roman"/>
          <w:b/>
          <w:bCs/>
          <w:color w:val="auto"/>
          <w:sz w:val="24"/>
          <w:szCs w:val="24"/>
          <w:highlight w:val="none"/>
          <w:lang w:val="en-US" w:eastAsia="zh-CN"/>
        </w:rPr>
        <w:t>图2.5-1 大气评价范围图</w:t>
      </w:r>
    </w:p>
    <w:p w14:paraId="26C40AC9">
      <w:pPr>
        <w:keepNext w:val="0"/>
        <w:keepLines w:val="0"/>
        <w:pageBreakBefore w:val="0"/>
        <w:kinsoku/>
        <w:wordWrap w:val="0"/>
        <w:overflowPunct/>
        <w:topLinePunct/>
        <w:autoSpaceDE/>
        <w:autoSpaceDN/>
        <w:bidi w:val="0"/>
        <w:adjustRightInd w:val="0"/>
        <w:snapToGrid w:val="0"/>
        <w:spacing w:before="8" w:line="233" w:lineRule="auto"/>
        <w:ind w:left="128"/>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2"/>
          <w:sz w:val="24"/>
          <w:szCs w:val="24"/>
          <w:highlight w:val="none"/>
        </w:rPr>
        <w:t>2.5.1.3</w:t>
      </w:r>
      <w:r>
        <w:rPr>
          <w:rFonts w:hint="default" w:ascii="Times New Roman" w:hAnsi="Times New Roman" w:eastAsia="宋体" w:cs="Times New Roman"/>
          <w:b/>
          <w:bCs/>
          <w:color w:val="auto"/>
          <w:spacing w:val="-2"/>
          <w:sz w:val="24"/>
          <w:szCs w:val="24"/>
          <w:highlight w:val="none"/>
        </w:rPr>
        <w:t>地下水</w:t>
      </w:r>
    </w:p>
    <w:p w14:paraId="2C8E17E5">
      <w:pPr>
        <w:keepNext w:val="0"/>
        <w:keepLines w:val="0"/>
        <w:pageBreakBefore w:val="0"/>
        <w:kinsoku/>
        <w:wordWrap w:val="0"/>
        <w:overflowPunct/>
        <w:topLinePunct/>
        <w:autoSpaceDE/>
        <w:autoSpaceDN/>
        <w:bidi w:val="0"/>
        <w:adjustRightInd w:val="0"/>
        <w:snapToGrid w:val="0"/>
        <w:spacing w:before="165" w:line="351" w:lineRule="auto"/>
        <w:ind w:left="130" w:right="125" w:firstLine="48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根据《环境影响评价技术导则地下水环境》（</w:t>
      </w:r>
      <w:r>
        <w:rPr>
          <w:rFonts w:hint="default" w:ascii="Times New Roman" w:hAnsi="Times New Roman" w:eastAsia="Times New Roman" w:cs="Times New Roman"/>
          <w:color w:val="auto"/>
          <w:sz w:val="24"/>
          <w:szCs w:val="24"/>
          <w:highlight w:val="none"/>
        </w:rPr>
        <w:t>HJ610-2016</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宋体" w:cs="Times New Roman"/>
          <w:color w:val="auto"/>
          <w:sz w:val="24"/>
          <w:szCs w:val="24"/>
          <w:highlight w:val="none"/>
        </w:rPr>
        <w:t>评价工作等级的</w:t>
      </w:r>
      <w:r>
        <w:rPr>
          <w:rFonts w:hint="default" w:ascii="Times New Roman" w:hAnsi="Times New Roman" w:eastAsia="宋体" w:cs="Times New Roman"/>
          <w:color w:val="auto"/>
          <w:spacing w:val="-2"/>
          <w:sz w:val="24"/>
          <w:szCs w:val="24"/>
          <w:highlight w:val="none"/>
        </w:rPr>
        <w:t>划分应依据建设项目行业分类和地下水环境敏感程度分级进行判定。</w:t>
      </w:r>
    </w:p>
    <w:p w14:paraId="27AB13E5">
      <w:pPr>
        <w:keepNext w:val="0"/>
        <w:keepLines w:val="0"/>
        <w:pageBreakBefore w:val="0"/>
        <w:kinsoku/>
        <w:wordWrap w:val="0"/>
        <w:overflowPunct/>
        <w:topLinePunct/>
        <w:autoSpaceDE/>
        <w:autoSpaceDN/>
        <w:bidi w:val="0"/>
        <w:adjustRightInd w:val="0"/>
        <w:snapToGrid w:val="0"/>
        <w:spacing w:before="19" w:line="296" w:lineRule="auto"/>
        <w:ind w:left="131" w:right="108" w:firstLine="486"/>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）根据《环境影响评价技术导则地下水环境》附录</w:t>
      </w:r>
      <w:r>
        <w:rPr>
          <w:rFonts w:hint="default" w:ascii="Times New Roman" w:hAnsi="Times New Roman" w:eastAsia="Times New Roman" w:cs="Times New Roman"/>
          <w:color w:val="auto"/>
          <w:spacing w:val="-2"/>
          <w:sz w:val="24"/>
          <w:szCs w:val="24"/>
          <w:highlight w:val="none"/>
        </w:rPr>
        <w:t>A</w:t>
      </w:r>
      <w:r>
        <w:rPr>
          <w:rFonts w:hint="default" w:ascii="Times New Roman" w:hAnsi="Times New Roman" w:eastAsia="宋体" w:cs="Times New Roman"/>
          <w:color w:val="auto"/>
          <w:spacing w:val="-2"/>
          <w:sz w:val="24"/>
          <w:szCs w:val="24"/>
          <w:highlight w:val="none"/>
        </w:rPr>
        <w:t>确定，本项目所属的地下水环境影响评价项目类别为</w:t>
      </w:r>
      <w:r>
        <w:rPr>
          <w:rFonts w:hint="default" w:ascii="Times New Roman" w:hAnsi="Times New Roman" w:eastAsia="宋体" w:cs="Times New Roman"/>
          <w:color w:val="auto"/>
          <w:spacing w:val="-2"/>
          <w:sz w:val="24"/>
          <w:szCs w:val="24"/>
          <w:highlight w:val="none"/>
          <w:lang w:eastAsia="zh-CN"/>
        </w:rPr>
        <w:t>Ⅲ类</w:t>
      </w:r>
      <w:r>
        <w:rPr>
          <w:rFonts w:hint="default" w:ascii="Times New Roman" w:hAnsi="Times New Roman" w:eastAsia="宋体" w:cs="Times New Roman"/>
          <w:color w:val="auto"/>
          <w:spacing w:val="-2"/>
          <w:sz w:val="24"/>
          <w:szCs w:val="24"/>
          <w:highlight w:val="none"/>
        </w:rPr>
        <w:t>。</w:t>
      </w:r>
    </w:p>
    <w:p w14:paraId="10AC43F9">
      <w:pPr>
        <w:keepNext w:val="0"/>
        <w:keepLines w:val="0"/>
        <w:pageBreakBefore w:val="0"/>
        <w:kinsoku/>
        <w:wordWrap w:val="0"/>
        <w:overflowPunct/>
        <w:topLinePunct/>
        <w:autoSpaceDE/>
        <w:autoSpaceDN/>
        <w:bidi w:val="0"/>
        <w:adjustRightInd w:val="0"/>
        <w:snapToGrid w:val="0"/>
        <w:spacing w:before="164" w:line="290" w:lineRule="auto"/>
        <w:ind w:left="134" w:right="164" w:firstLine="483"/>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2</w:t>
      </w:r>
      <w:r>
        <w:rPr>
          <w:rFonts w:hint="default" w:ascii="Times New Roman" w:hAnsi="Times New Roman" w:eastAsia="宋体" w:cs="Times New Roman"/>
          <w:color w:val="auto"/>
          <w:spacing w:val="-1"/>
          <w:sz w:val="24"/>
          <w:szCs w:val="24"/>
          <w:highlight w:val="none"/>
        </w:rPr>
        <w:t>）建设项目场地的地下水环境敏感程度可分为敏感、较敏</w:t>
      </w:r>
      <w:r>
        <w:rPr>
          <w:rFonts w:hint="default" w:ascii="Times New Roman" w:hAnsi="Times New Roman" w:eastAsia="宋体" w:cs="Times New Roman"/>
          <w:color w:val="auto"/>
          <w:spacing w:val="-2"/>
          <w:sz w:val="24"/>
          <w:szCs w:val="24"/>
          <w:highlight w:val="none"/>
        </w:rPr>
        <w:t>感、不敏感三级，</w:t>
      </w:r>
      <w:r>
        <w:rPr>
          <w:rFonts w:hint="default" w:ascii="Times New Roman" w:hAnsi="Times New Roman" w:eastAsia="宋体" w:cs="Times New Roman"/>
          <w:color w:val="auto"/>
          <w:spacing w:val="-6"/>
          <w:sz w:val="24"/>
          <w:szCs w:val="24"/>
          <w:highlight w:val="none"/>
        </w:rPr>
        <w:t>分级原则见下表。</w:t>
      </w:r>
    </w:p>
    <w:p w14:paraId="01A995EB">
      <w:pPr>
        <w:keepNext w:val="0"/>
        <w:keepLines w:val="0"/>
        <w:pageBreakBefore w:val="0"/>
        <w:kinsoku/>
        <w:wordWrap w:val="0"/>
        <w:overflowPunct/>
        <w:topLinePunct/>
        <w:autoSpaceDE/>
        <w:autoSpaceDN/>
        <w:bidi w:val="0"/>
        <w:adjustRightInd w:val="0"/>
        <w:snapToGrid w:val="0"/>
        <w:spacing w:before="180" w:line="214" w:lineRule="auto"/>
        <w:ind w:left="2776"/>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w:t>
      </w:r>
      <w:r>
        <w:rPr>
          <w:rFonts w:hint="eastAsia" w:ascii="Times New Roman" w:hAnsi="Times New Roman" w:eastAsia="宋体" w:cs="Times New Roman"/>
          <w:b/>
          <w:bCs/>
          <w:color w:val="auto"/>
          <w:spacing w:val="-1"/>
          <w:sz w:val="24"/>
          <w:szCs w:val="24"/>
          <w:highlight w:val="none"/>
          <w:lang w:val="en-US" w:eastAsia="zh-CN"/>
        </w:rPr>
        <w:t>10</w:t>
      </w:r>
      <w:r>
        <w:rPr>
          <w:rFonts w:hint="default" w:ascii="Times New Roman" w:hAnsi="Times New Roman" w:eastAsia="宋体" w:cs="Times New Roman"/>
          <w:b/>
          <w:bCs/>
          <w:color w:val="auto"/>
          <w:spacing w:val="-1"/>
          <w:sz w:val="24"/>
          <w:szCs w:val="24"/>
          <w:highlight w:val="none"/>
        </w:rPr>
        <w:t>地下水环境敏感程度分级</w:t>
      </w:r>
    </w:p>
    <w:tbl>
      <w:tblPr>
        <w:tblStyle w:val="34"/>
        <w:tblW w:w="863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00"/>
        <w:gridCol w:w="7739"/>
      </w:tblGrid>
      <w:tr w14:paraId="13A017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jc w:val="center"/>
        </w:trPr>
        <w:tc>
          <w:tcPr>
            <w:tcW w:w="900" w:type="dxa"/>
            <w:tcBorders>
              <w:top w:val="single" w:color="000000" w:sz="12" w:space="0"/>
              <w:left w:val="nil"/>
            </w:tcBorders>
            <w:vAlign w:val="center"/>
          </w:tcPr>
          <w:p w14:paraId="5965D1A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b w:val="0"/>
                <w:bCs w:val="0"/>
                <w:color w:val="auto"/>
                <w:highlight w:val="none"/>
              </w:rPr>
            </w:pPr>
            <w:r>
              <w:rPr>
                <w:rFonts w:hint="default" w:ascii="Times New Roman" w:hAnsi="Times New Roman" w:cs="Times New Roman"/>
                <w:b w:val="0"/>
                <w:bCs w:val="0"/>
                <w:color w:val="auto"/>
                <w:spacing w:val="-5"/>
                <w:highlight w:val="none"/>
              </w:rPr>
              <w:t>分级</w:t>
            </w:r>
          </w:p>
        </w:tc>
        <w:tc>
          <w:tcPr>
            <w:tcW w:w="7739" w:type="dxa"/>
            <w:tcBorders>
              <w:top w:val="single" w:color="000000" w:sz="12" w:space="0"/>
              <w:right w:val="nil"/>
            </w:tcBorders>
            <w:vAlign w:val="center"/>
          </w:tcPr>
          <w:p w14:paraId="5F714048">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b w:val="0"/>
                <w:bCs w:val="0"/>
                <w:color w:val="auto"/>
                <w:highlight w:val="none"/>
              </w:rPr>
            </w:pPr>
            <w:r>
              <w:rPr>
                <w:rFonts w:hint="default" w:ascii="Times New Roman" w:hAnsi="Times New Roman" w:cs="Times New Roman"/>
                <w:b w:val="0"/>
                <w:bCs w:val="0"/>
                <w:color w:val="auto"/>
                <w:spacing w:val="-3"/>
                <w:highlight w:val="none"/>
              </w:rPr>
              <w:t>项目场地的地下水环境敏感程度</w:t>
            </w:r>
          </w:p>
        </w:tc>
      </w:tr>
      <w:tr w14:paraId="1016C3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92" w:hRule="atLeast"/>
          <w:jc w:val="center"/>
        </w:trPr>
        <w:tc>
          <w:tcPr>
            <w:tcW w:w="900" w:type="dxa"/>
            <w:tcBorders>
              <w:left w:val="nil"/>
            </w:tcBorders>
            <w:vAlign w:val="center"/>
          </w:tcPr>
          <w:p w14:paraId="5147A5C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敏感</w:t>
            </w:r>
          </w:p>
        </w:tc>
        <w:tc>
          <w:tcPr>
            <w:tcW w:w="7739" w:type="dxa"/>
            <w:tcBorders>
              <w:right w:val="nil"/>
            </w:tcBorders>
            <w:vAlign w:val="center"/>
          </w:tcPr>
          <w:p w14:paraId="086EB8FD">
            <w:pPr>
              <w:pStyle w:val="35"/>
              <w:keepNext w:val="0"/>
              <w:keepLines w:val="0"/>
              <w:pageBreakBefore w:val="0"/>
              <w:widowControl/>
              <w:kinsoku/>
              <w:wordWrap w:val="0"/>
              <w:overflowPunct/>
              <w:topLinePunct/>
              <w:autoSpaceDE/>
              <w:autoSpaceDN/>
              <w:bidi w:val="0"/>
              <w:adjustRightInd w:val="0"/>
              <w:snapToGrid w:val="0"/>
              <w:spacing w:line="240" w:lineRule="auto"/>
              <w:ind w:left="0" w:right="17"/>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集中式饮用水水源地（包括已建成的在用、备用、应急水源地，在建</w:t>
            </w:r>
            <w:r>
              <w:rPr>
                <w:rFonts w:hint="default" w:ascii="Times New Roman" w:hAnsi="Times New Roman" w:cs="Times New Roman"/>
                <w:color w:val="auto"/>
                <w:spacing w:val="-6"/>
                <w:highlight w:val="none"/>
              </w:rPr>
              <w:t>和规划的水源地）</w:t>
            </w:r>
            <w:r>
              <w:rPr>
                <w:rFonts w:hint="default" w:ascii="Times New Roman" w:hAnsi="Times New Roman" w:cs="Times New Roman"/>
                <w:color w:val="auto"/>
                <w:spacing w:val="-2"/>
                <w:highlight w:val="none"/>
              </w:rPr>
              <w:t>准保护区；除生活供水水源地以外的国家或地方政府设定的与地下水环境相关</w:t>
            </w:r>
            <w:r>
              <w:rPr>
                <w:rFonts w:hint="default" w:ascii="Times New Roman" w:hAnsi="Times New Roman" w:cs="Times New Roman"/>
                <w:color w:val="auto"/>
                <w:spacing w:val="-3"/>
                <w:highlight w:val="none"/>
              </w:rPr>
              <w:t>的其它</w:t>
            </w:r>
            <w:r>
              <w:rPr>
                <w:rFonts w:hint="default" w:ascii="Times New Roman" w:hAnsi="Times New Roman" w:cs="Times New Roman"/>
                <w:color w:val="auto"/>
                <w:spacing w:val="-5"/>
                <w:highlight w:val="none"/>
              </w:rPr>
              <w:t>保护区，如热水、矿泉水、温泉等特殊地下水资源保护区；生态脆弱</w:t>
            </w:r>
            <w:r>
              <w:rPr>
                <w:rFonts w:hint="default" w:ascii="Times New Roman" w:hAnsi="Times New Roman" w:cs="Times New Roman"/>
                <w:color w:val="auto"/>
                <w:spacing w:val="-6"/>
                <w:highlight w:val="none"/>
              </w:rPr>
              <w:t>区重点保护区域；</w:t>
            </w:r>
            <w:r>
              <w:rPr>
                <w:rFonts w:hint="default" w:ascii="Times New Roman" w:hAnsi="Times New Roman" w:cs="Times New Roman"/>
                <w:color w:val="auto"/>
                <w:highlight w:val="none"/>
              </w:rPr>
              <w:t>地质灾害易发区；重要湿地、水土流失重点防治区、沙化土地封禁保护</w:t>
            </w:r>
            <w:r>
              <w:rPr>
                <w:rFonts w:hint="default" w:ascii="Times New Roman" w:hAnsi="Times New Roman" w:cs="Times New Roman"/>
                <w:color w:val="auto"/>
                <w:spacing w:val="-1"/>
                <w:highlight w:val="none"/>
              </w:rPr>
              <w:t>区等。</w:t>
            </w:r>
          </w:p>
        </w:tc>
      </w:tr>
      <w:tr w14:paraId="0E8685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2" w:hRule="atLeast"/>
          <w:jc w:val="center"/>
        </w:trPr>
        <w:tc>
          <w:tcPr>
            <w:tcW w:w="900" w:type="dxa"/>
            <w:tcBorders>
              <w:left w:val="nil"/>
            </w:tcBorders>
            <w:vAlign w:val="center"/>
          </w:tcPr>
          <w:p w14:paraId="641F268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较敏感</w:t>
            </w:r>
          </w:p>
        </w:tc>
        <w:tc>
          <w:tcPr>
            <w:tcW w:w="7739" w:type="dxa"/>
            <w:tcBorders>
              <w:right w:val="nil"/>
            </w:tcBorders>
            <w:vAlign w:val="center"/>
          </w:tcPr>
          <w:p w14:paraId="293AC108">
            <w:pPr>
              <w:pStyle w:val="35"/>
              <w:keepNext w:val="0"/>
              <w:keepLines w:val="0"/>
              <w:pageBreakBefore w:val="0"/>
              <w:widowControl/>
              <w:kinsoku/>
              <w:wordWrap w:val="0"/>
              <w:overflowPunct/>
              <w:topLinePunct/>
              <w:autoSpaceDE/>
              <w:autoSpaceDN/>
              <w:bidi w:val="0"/>
              <w:adjustRightInd w:val="0"/>
              <w:snapToGrid w:val="0"/>
              <w:spacing w:line="240" w:lineRule="auto"/>
              <w:ind w:left="0" w:right="17"/>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集中式饮用水水源地（包括已建成的在用、备用、应急水源地，在建</w:t>
            </w:r>
            <w:r>
              <w:rPr>
                <w:rFonts w:hint="default" w:ascii="Times New Roman" w:hAnsi="Times New Roman" w:cs="Times New Roman"/>
                <w:color w:val="auto"/>
                <w:spacing w:val="-6"/>
                <w:highlight w:val="none"/>
              </w:rPr>
              <w:t>和规划的水源地）</w:t>
            </w:r>
            <w:r>
              <w:rPr>
                <w:rFonts w:hint="default" w:ascii="Times New Roman" w:hAnsi="Times New Roman" w:cs="Times New Roman"/>
                <w:color w:val="auto"/>
                <w:spacing w:val="-2"/>
                <w:highlight w:val="none"/>
              </w:rPr>
              <w:t>准保护区以外的补给径流区；特殊地下水资源（如矿泉水、温泉等）保护</w:t>
            </w:r>
            <w:r>
              <w:rPr>
                <w:rFonts w:hint="default" w:ascii="Times New Roman" w:hAnsi="Times New Roman" w:cs="Times New Roman"/>
                <w:color w:val="auto"/>
                <w:spacing w:val="-3"/>
                <w:highlight w:val="none"/>
              </w:rPr>
              <w:t>区以外的分</w:t>
            </w:r>
            <w:r>
              <w:rPr>
                <w:rFonts w:hint="default" w:ascii="Times New Roman" w:hAnsi="Times New Roman" w:cs="Times New Roman"/>
                <w:color w:val="auto"/>
                <w:spacing w:val="-1"/>
                <w:highlight w:val="none"/>
              </w:rPr>
              <w:t>布区以及分散居民饮用水源等其它未列入上述敏感分级的环境敏感区。</w:t>
            </w:r>
          </w:p>
        </w:tc>
      </w:tr>
      <w:tr w14:paraId="007735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jc w:val="center"/>
        </w:trPr>
        <w:tc>
          <w:tcPr>
            <w:tcW w:w="900" w:type="dxa"/>
            <w:tcBorders>
              <w:left w:val="nil"/>
            </w:tcBorders>
            <w:vAlign w:val="center"/>
          </w:tcPr>
          <w:p w14:paraId="2D93A32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不敏感</w:t>
            </w:r>
          </w:p>
        </w:tc>
        <w:tc>
          <w:tcPr>
            <w:tcW w:w="7739" w:type="dxa"/>
            <w:tcBorders>
              <w:right w:val="nil"/>
            </w:tcBorders>
            <w:vAlign w:val="center"/>
          </w:tcPr>
          <w:p w14:paraId="6485876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上述地区之外的其它地区。</w:t>
            </w:r>
          </w:p>
        </w:tc>
      </w:tr>
      <w:tr w14:paraId="7ED87F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0" w:hRule="atLeast"/>
          <w:jc w:val="center"/>
        </w:trPr>
        <w:tc>
          <w:tcPr>
            <w:tcW w:w="8639" w:type="dxa"/>
            <w:gridSpan w:val="2"/>
            <w:tcBorders>
              <w:left w:val="nil"/>
              <w:bottom w:val="single" w:color="000000" w:sz="12" w:space="0"/>
              <w:right w:val="nil"/>
            </w:tcBorders>
            <w:vAlign w:val="center"/>
          </w:tcPr>
          <w:p w14:paraId="2BF70EA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pacing w:val="-1"/>
                <w:highlight w:val="none"/>
              </w:rPr>
            </w:pPr>
            <w:r>
              <w:rPr>
                <w:rFonts w:hint="default" w:ascii="Times New Roman" w:hAnsi="Times New Roman" w:eastAsia="宋体" w:cs="Times New Roman"/>
                <w:color w:val="auto"/>
                <w:spacing w:val="-4"/>
                <w:sz w:val="21"/>
                <w:szCs w:val="21"/>
                <w:highlight w:val="none"/>
              </w:rPr>
              <w:t>注：</w:t>
            </w:r>
            <w:r>
              <w:rPr>
                <w:rFonts w:hint="default" w:ascii="Times New Roman" w:hAnsi="Times New Roman" w:eastAsia="Times New Roman" w:cs="Times New Roman"/>
                <w:color w:val="auto"/>
                <w:spacing w:val="-4"/>
                <w:sz w:val="21"/>
                <w:szCs w:val="21"/>
                <w:highlight w:val="none"/>
              </w:rPr>
              <w:t>a</w:t>
            </w:r>
            <w:r>
              <w:rPr>
                <w:rFonts w:hint="default" w:ascii="Times New Roman" w:hAnsi="Times New Roman" w:eastAsia="宋体" w:cs="Times New Roman"/>
                <w:color w:val="auto"/>
                <w:spacing w:val="-4"/>
                <w:sz w:val="21"/>
                <w:szCs w:val="21"/>
                <w:highlight w:val="none"/>
                <w:lang w:eastAsia="zh-CN"/>
              </w:rPr>
              <w:t>“</w:t>
            </w:r>
            <w:r>
              <w:rPr>
                <w:rFonts w:hint="default" w:ascii="Times New Roman" w:hAnsi="Times New Roman" w:eastAsia="宋体" w:cs="Times New Roman"/>
                <w:color w:val="auto"/>
                <w:spacing w:val="-4"/>
                <w:sz w:val="21"/>
                <w:szCs w:val="21"/>
                <w:highlight w:val="none"/>
              </w:rPr>
              <w:t>环境敏感区</w:t>
            </w:r>
            <w:r>
              <w:rPr>
                <w:rFonts w:hint="default" w:ascii="Times New Roman" w:hAnsi="Times New Roman" w:eastAsia="宋体" w:cs="Times New Roman"/>
                <w:color w:val="auto"/>
                <w:spacing w:val="-4"/>
                <w:sz w:val="21"/>
                <w:szCs w:val="21"/>
                <w:highlight w:val="none"/>
                <w:lang w:eastAsia="zh-CN"/>
              </w:rPr>
              <w:t>”</w:t>
            </w:r>
            <w:r>
              <w:rPr>
                <w:rFonts w:hint="default" w:ascii="Times New Roman" w:hAnsi="Times New Roman" w:eastAsia="宋体" w:cs="Times New Roman"/>
                <w:color w:val="auto"/>
                <w:spacing w:val="-4"/>
                <w:sz w:val="21"/>
                <w:szCs w:val="21"/>
                <w:highlight w:val="none"/>
              </w:rPr>
              <w:t>是指《建设项目环境影响评价分类管理名录》中</w:t>
            </w:r>
            <w:r>
              <w:rPr>
                <w:rFonts w:hint="default" w:ascii="Times New Roman" w:hAnsi="Times New Roman" w:eastAsia="宋体" w:cs="Times New Roman"/>
                <w:color w:val="auto"/>
                <w:spacing w:val="-5"/>
                <w:sz w:val="21"/>
                <w:szCs w:val="21"/>
                <w:highlight w:val="none"/>
              </w:rPr>
              <w:t>所界定的涉及地下水的敏感区</w:t>
            </w:r>
          </w:p>
        </w:tc>
      </w:tr>
    </w:tbl>
    <w:p w14:paraId="2E02B0FA">
      <w:pPr>
        <w:keepNext w:val="0"/>
        <w:keepLines w:val="0"/>
        <w:pageBreakBefore w:val="0"/>
        <w:kinsoku/>
        <w:wordWrap w:val="0"/>
        <w:overflowPunct/>
        <w:topLinePunct/>
        <w:autoSpaceDE/>
        <w:autoSpaceDN/>
        <w:bidi w:val="0"/>
        <w:adjustRightInd w:val="0"/>
        <w:snapToGrid w:val="0"/>
        <w:spacing w:before="165" w:line="351" w:lineRule="auto"/>
        <w:ind w:left="130" w:right="125" w:firstLine="480"/>
        <w:textAlignment w:val="baseline"/>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调查评价范围内无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p w14:paraId="30DA40B9">
      <w:pPr>
        <w:pageBreakBefore w:val="0"/>
        <w:kinsoku/>
        <w:wordWrap w:val="0"/>
        <w:overflowPunct/>
        <w:topLinePunct/>
        <w:autoSpaceDE/>
        <w:autoSpaceDN/>
        <w:bidi w:val="0"/>
        <w:adjustRightInd/>
        <w:snapToGrid/>
        <w:spacing w:line="360" w:lineRule="auto"/>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对于未划定准保护区的“中小型”集中式地下饮用水水源地，可参照二级保护区外地下水质点运移2000天对应距离划定为准保护区-敏感区，准保护区外地下水质点运移3000天对应距离为较敏感区；并将较敏感区外界定为不敏感区。</w:t>
      </w:r>
    </w:p>
    <w:p w14:paraId="4D35A135">
      <w:pPr>
        <w:pageBreakBefore w:val="0"/>
        <w:kinsoku/>
        <w:wordWrap w:val="0"/>
        <w:overflowPunct/>
        <w:topLinePunct/>
        <w:autoSpaceDE/>
        <w:autoSpaceDN/>
        <w:bidi w:val="0"/>
        <w:adjustRightInd/>
        <w:snapToGrid/>
        <w:spacing w:line="360" w:lineRule="auto"/>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根据地下水质点运移距离计算公式：</w:t>
      </w:r>
    </w:p>
    <w:p w14:paraId="2BE8C972">
      <w:pPr>
        <w:pageBreakBefore w:val="0"/>
        <w:kinsoku/>
        <w:wordWrap w:val="0"/>
        <w:overflowPunct/>
        <w:topLinePunct/>
        <w:autoSpaceDE/>
        <w:autoSpaceDN/>
        <w:bidi w:val="0"/>
        <w:adjustRightInd/>
        <w:snapToGrid/>
        <w:spacing w:line="360" w:lineRule="auto"/>
        <w:ind w:firstLine="480" w:firstLineChars="20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position w:val="2"/>
          <w:sz w:val="24"/>
          <w:szCs w:val="24"/>
          <w:highlight w:val="none"/>
        </w:rPr>
        <w:t>L＝α×K×I×T/n</w:t>
      </w:r>
      <w:r>
        <w:rPr>
          <w:rFonts w:hint="default" w:ascii="Times New Roman" w:hAnsi="Times New Roman" w:eastAsia="宋体" w:cs="Times New Roman"/>
          <w:color w:val="auto"/>
          <w:position w:val="2"/>
          <w:sz w:val="24"/>
          <w:szCs w:val="24"/>
          <w:highlight w:val="none"/>
          <w:vertAlign w:val="subscript"/>
        </w:rPr>
        <w:t>e</w:t>
      </w:r>
    </w:p>
    <w:p w14:paraId="57A4BFBC">
      <w:pPr>
        <w:keepNext w:val="0"/>
        <w:keepLines w:val="0"/>
        <w:pageBreakBefore w:val="0"/>
        <w:widowControl w:val="0"/>
        <w:kinsoku/>
        <w:wordWrap w:val="0"/>
        <w:overflowPunct/>
        <w:topLinePunct/>
        <w:autoSpaceDE/>
        <w:autoSpaceDN/>
        <w:bidi w:val="0"/>
        <w:adjustRightInd/>
        <w:snapToGrid/>
        <w:spacing w:line="360" w:lineRule="auto"/>
        <w:ind w:firstLine="480" w:firstLineChars="200"/>
        <w:textAlignment w:val="auto"/>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z w:val="24"/>
          <w:szCs w:val="24"/>
          <w:highlight w:val="none"/>
        </w:rPr>
        <w:t>式中：L—下游迁移距离，m；</w:t>
      </w:r>
    </w:p>
    <w:p w14:paraId="704CDCCD">
      <w:pPr>
        <w:keepNext w:val="0"/>
        <w:keepLines w:val="0"/>
        <w:pageBreakBefore w:val="0"/>
        <w:widowControl w:val="0"/>
        <w:kinsoku/>
        <w:wordWrap w:val="0"/>
        <w:overflowPunct/>
        <w:topLinePunct/>
        <w:autoSpaceDE/>
        <w:autoSpaceDN/>
        <w:bidi w:val="0"/>
        <w:adjustRightInd/>
        <w:snapToGrid/>
        <w:spacing w:line="360" w:lineRule="auto"/>
        <w:ind w:firstLine="1200" w:firstLineChars="500"/>
        <w:textAlignment w:val="auto"/>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z w:val="24"/>
          <w:szCs w:val="24"/>
          <w:highlight w:val="none"/>
        </w:rPr>
        <w:t>α—变化系数，α≥1，一般取2；</w:t>
      </w:r>
    </w:p>
    <w:p w14:paraId="0927A7FD">
      <w:pPr>
        <w:keepNext w:val="0"/>
        <w:keepLines w:val="0"/>
        <w:pageBreakBefore w:val="0"/>
        <w:widowControl w:val="0"/>
        <w:kinsoku/>
        <w:wordWrap w:val="0"/>
        <w:overflowPunct/>
        <w:topLinePunct/>
        <w:autoSpaceDE w:val="0"/>
        <w:autoSpaceDN w:val="0"/>
        <w:bidi w:val="0"/>
        <w:adjustRightInd/>
        <w:snapToGrid/>
        <w:spacing w:line="360" w:lineRule="auto"/>
        <w:ind w:left="1197" w:leftChars="57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rPr>
        <w:t>K—渗透系数，m/d，</w:t>
      </w:r>
      <w:r>
        <w:rPr>
          <w:rFonts w:hint="default" w:ascii="Times New Roman" w:hAnsi="Times New Roman" w:eastAsia="宋体" w:cs="Times New Roman"/>
          <w:bCs/>
          <w:color w:val="FF0000"/>
          <w:kern w:val="0"/>
          <w:sz w:val="24"/>
          <w:szCs w:val="24"/>
          <w:highlight w:val="none"/>
        </w:rPr>
        <w:t>常见渗透系数查附录B表B.1获取，根据地下水概况分析渗透系数取（K=</w:t>
      </w:r>
      <w:r>
        <w:rPr>
          <w:rFonts w:hint="default" w:ascii="Times New Roman" w:hAnsi="Times New Roman" w:eastAsia="宋体" w:cs="Times New Roman"/>
          <w:bCs/>
          <w:color w:val="FF0000"/>
          <w:kern w:val="0"/>
          <w:sz w:val="24"/>
          <w:szCs w:val="24"/>
          <w:highlight w:val="none"/>
          <w:lang w:val="en-US" w:eastAsia="zh-CN"/>
        </w:rPr>
        <w:t>25</w:t>
      </w:r>
      <w:r>
        <w:rPr>
          <w:rFonts w:hint="default" w:ascii="Times New Roman" w:hAnsi="Times New Roman" w:eastAsia="宋体" w:cs="Times New Roman"/>
          <w:bCs/>
          <w:color w:val="FF0000"/>
          <w:kern w:val="0"/>
          <w:sz w:val="24"/>
          <w:szCs w:val="24"/>
          <w:highlight w:val="none"/>
        </w:rPr>
        <w:t>m/d）</w:t>
      </w:r>
      <w:r>
        <w:rPr>
          <w:rFonts w:hint="default" w:ascii="Times New Roman" w:hAnsi="Times New Roman" w:eastAsia="宋体" w:cs="Times New Roman"/>
          <w:color w:val="FF0000"/>
          <w:sz w:val="24"/>
          <w:szCs w:val="24"/>
          <w:highlight w:val="none"/>
        </w:rPr>
        <w:t>；本项目区含水岩组由中粗砂、砂砾石组成</w:t>
      </w: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highlight w:val="none"/>
          <w:lang w:val="en-US" w:eastAsia="zh-CN"/>
        </w:rPr>
        <w:t>本渗透系数取25m/d</w:t>
      </w:r>
    </w:p>
    <w:p w14:paraId="35372767">
      <w:pPr>
        <w:keepNext w:val="0"/>
        <w:keepLines w:val="0"/>
        <w:pageBreakBefore w:val="0"/>
        <w:widowControl w:val="0"/>
        <w:kinsoku/>
        <w:wordWrap w:val="0"/>
        <w:overflowPunct/>
        <w:topLinePunct/>
        <w:autoSpaceDE w:val="0"/>
        <w:autoSpaceDN w:val="0"/>
        <w:bidi w:val="0"/>
        <w:adjustRightInd/>
        <w:snapToGrid/>
        <w:spacing w:line="360" w:lineRule="auto"/>
        <w:ind w:left="1197" w:leftChars="570"/>
        <w:textAlignment w:val="auto"/>
        <w:rPr>
          <w:rFonts w:hint="default" w:ascii="Times New Roman" w:hAnsi="Times New Roman" w:eastAsia="宋体" w:cs="Times New Roman"/>
          <w:color w:val="0000FF"/>
          <w:sz w:val="24"/>
          <w:szCs w:val="24"/>
          <w:highlight w:val="none"/>
        </w:rPr>
      </w:pPr>
      <w:r>
        <w:rPr>
          <w:rFonts w:hint="default" w:ascii="Times New Roman" w:hAnsi="Times New Roman" w:eastAsia="宋体" w:cs="Times New Roman"/>
          <w:color w:val="0000FF"/>
          <w:sz w:val="24"/>
          <w:szCs w:val="24"/>
          <w:highlight w:val="none"/>
        </w:rPr>
        <w:t>I—水力坡度，无量纲，取</w:t>
      </w:r>
      <w:r>
        <w:rPr>
          <w:rFonts w:hint="eastAsia" w:ascii="Times New Roman" w:hAnsi="Times New Roman" w:eastAsia="宋体" w:cs="Times New Roman"/>
          <w:color w:val="0000FF"/>
          <w:sz w:val="24"/>
          <w:szCs w:val="24"/>
          <w:highlight w:val="none"/>
          <w:lang w:val="en-US" w:eastAsia="zh-CN"/>
        </w:rPr>
        <w:t>3</w:t>
      </w:r>
      <w:r>
        <w:rPr>
          <w:color w:val="0000FF"/>
          <w:kern w:val="0"/>
        </w:rPr>
        <w:t>‰</w:t>
      </w:r>
      <w:r>
        <w:rPr>
          <w:rFonts w:hint="default" w:ascii="Times New Roman" w:hAnsi="Times New Roman" w:eastAsia="宋体" w:cs="Times New Roman"/>
          <w:color w:val="0000FF"/>
          <w:sz w:val="24"/>
          <w:szCs w:val="24"/>
          <w:highlight w:val="none"/>
        </w:rPr>
        <w:t>；根据《环境影响评价技术导则 地下水环境》（HJ 610-2016）附录B，渗透系数取25m/d；水力梯度I由1:5万等水位线图上量取，取0.003；</w:t>
      </w:r>
    </w:p>
    <w:p w14:paraId="7C515D02">
      <w:pPr>
        <w:keepNext w:val="0"/>
        <w:keepLines w:val="0"/>
        <w:pageBreakBefore w:val="0"/>
        <w:widowControl w:val="0"/>
        <w:kinsoku/>
        <w:wordWrap w:val="0"/>
        <w:overflowPunct/>
        <w:topLinePunct/>
        <w:autoSpaceDE w:val="0"/>
        <w:autoSpaceDN w:val="0"/>
        <w:bidi w:val="0"/>
        <w:adjustRightInd/>
        <w:snapToGrid/>
        <w:spacing w:line="360" w:lineRule="auto"/>
        <w:ind w:left="1197" w:leftChars="570"/>
        <w:textAlignment w:val="auto"/>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z w:val="24"/>
          <w:szCs w:val="24"/>
          <w:highlight w:val="none"/>
        </w:rPr>
        <w:t>T—质点迁移天数，</w:t>
      </w:r>
      <w:r>
        <w:rPr>
          <w:rFonts w:hint="default" w:ascii="Times New Roman" w:hAnsi="Times New Roman" w:eastAsia="宋体" w:cs="Times New Roman"/>
          <w:color w:val="FF0000"/>
          <w:sz w:val="24"/>
          <w:szCs w:val="24"/>
          <w:highlight w:val="none"/>
          <w:lang w:val="en-US" w:eastAsia="zh-CN"/>
        </w:rPr>
        <w:t>取</w:t>
      </w:r>
      <w:r>
        <w:rPr>
          <w:rFonts w:hint="eastAsia" w:ascii="Times New Roman" w:hAnsi="Times New Roman" w:eastAsia="宋体" w:cs="Times New Roman"/>
          <w:color w:val="FF0000"/>
          <w:sz w:val="24"/>
          <w:szCs w:val="24"/>
          <w:highlight w:val="none"/>
          <w:lang w:val="en-US" w:eastAsia="zh-CN"/>
        </w:rPr>
        <w:t>3</w:t>
      </w:r>
      <w:r>
        <w:rPr>
          <w:rFonts w:hint="default" w:ascii="Times New Roman" w:hAnsi="Times New Roman" w:eastAsia="宋体" w:cs="Times New Roman"/>
          <w:color w:val="FF0000"/>
          <w:sz w:val="24"/>
          <w:szCs w:val="24"/>
          <w:highlight w:val="none"/>
          <w:lang w:eastAsia="zh-CN"/>
        </w:rPr>
        <w:t>000d</w:t>
      </w:r>
      <w:r>
        <w:rPr>
          <w:rFonts w:hint="default" w:ascii="Times New Roman" w:hAnsi="Times New Roman" w:eastAsia="宋体" w:cs="Times New Roman"/>
          <w:color w:val="FF0000"/>
          <w:sz w:val="24"/>
          <w:szCs w:val="24"/>
          <w:highlight w:val="none"/>
        </w:rPr>
        <w:t>；</w:t>
      </w:r>
    </w:p>
    <w:p w14:paraId="22DAA233">
      <w:pPr>
        <w:keepNext w:val="0"/>
        <w:keepLines w:val="0"/>
        <w:pageBreakBefore w:val="0"/>
        <w:widowControl w:val="0"/>
        <w:kinsoku/>
        <w:wordWrap w:val="0"/>
        <w:overflowPunct/>
        <w:topLinePunct/>
        <w:autoSpaceDE w:val="0"/>
        <w:autoSpaceDN w:val="0"/>
        <w:bidi w:val="0"/>
        <w:adjustRightInd/>
        <w:snapToGrid/>
        <w:spacing w:line="360" w:lineRule="auto"/>
        <w:ind w:left="1197" w:leftChars="570"/>
        <w:textAlignment w:val="auto"/>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position w:val="2"/>
          <w:sz w:val="24"/>
          <w:szCs w:val="24"/>
          <w:highlight w:val="none"/>
        </w:rPr>
        <w:t>n</w:t>
      </w:r>
      <w:r>
        <w:rPr>
          <w:rFonts w:hint="default" w:ascii="Times New Roman" w:hAnsi="Times New Roman" w:eastAsia="宋体" w:cs="Times New Roman"/>
          <w:color w:val="FF0000"/>
          <w:position w:val="2"/>
          <w:sz w:val="24"/>
          <w:szCs w:val="24"/>
          <w:highlight w:val="none"/>
          <w:vertAlign w:val="subscript"/>
        </w:rPr>
        <w:t>e</w:t>
      </w:r>
      <w:r>
        <w:rPr>
          <w:rFonts w:hint="default" w:ascii="Times New Roman" w:hAnsi="Times New Roman" w:eastAsia="宋体" w:cs="Times New Roman"/>
          <w:color w:val="FF0000"/>
          <w:position w:val="2"/>
          <w:sz w:val="24"/>
          <w:szCs w:val="24"/>
          <w:highlight w:val="none"/>
        </w:rPr>
        <w:t>—有效孔隙度，无量纲，取</w:t>
      </w:r>
      <w:r>
        <w:rPr>
          <w:rFonts w:hint="default" w:ascii="Times New Roman" w:hAnsi="Times New Roman" w:eastAsia="宋体" w:cs="Times New Roman"/>
          <w:color w:val="FF0000"/>
          <w:position w:val="2"/>
          <w:sz w:val="24"/>
          <w:szCs w:val="24"/>
          <w:highlight w:val="none"/>
          <w:lang w:val="en-US" w:eastAsia="zh-CN"/>
        </w:rPr>
        <w:t>0.3</w:t>
      </w:r>
      <w:r>
        <w:rPr>
          <w:rFonts w:hint="default" w:ascii="Times New Roman" w:hAnsi="Times New Roman" w:eastAsia="宋体" w:cs="Times New Roman"/>
          <w:color w:val="FF0000"/>
          <w:position w:val="2"/>
          <w:sz w:val="24"/>
          <w:szCs w:val="24"/>
          <w:highlight w:val="none"/>
        </w:rPr>
        <w:t>。有效孔隙度（n）：根据《地下水》（弗里泽Freeze，R.A.)，彻里(Cherry，J.A.)，地震出版社，1987），孔隙度变化区间砾石为25%~40%，砂为25~50%，本项目区含水岩组由中粗砂、砂砾石组成，则本项目有效孔隙度取平均值0.3。</w:t>
      </w:r>
    </w:p>
    <w:p w14:paraId="2682193D">
      <w:pPr>
        <w:pageBreakBefore w:val="0"/>
        <w:kinsoku/>
        <w:wordWrap w:val="0"/>
        <w:overflowPunct/>
        <w:topLinePunct/>
        <w:autoSpaceDE/>
        <w:autoSpaceDN/>
        <w:bidi w:val="0"/>
        <w:adjustRightInd/>
        <w:snapToGrid/>
        <w:spacing w:line="360" w:lineRule="auto"/>
        <w:ind w:firstLine="480" w:firstLineChars="200"/>
        <w:jc w:val="both"/>
        <w:rPr>
          <w:rFonts w:hint="default" w:ascii="Times New Roman" w:hAnsi="Times New Roman" w:eastAsia="宋体" w:cs="Times New Roman"/>
          <w:color w:val="0000FF"/>
          <w:sz w:val="24"/>
          <w:szCs w:val="24"/>
          <w:highlight w:val="none"/>
          <w:lang w:val="en-US" w:eastAsia="zh-CN"/>
        </w:rPr>
      </w:pPr>
      <w:r>
        <w:rPr>
          <w:rFonts w:hint="default" w:ascii="Times New Roman" w:hAnsi="Times New Roman" w:eastAsia="宋体" w:cs="Times New Roman"/>
          <w:color w:val="0000FF"/>
          <w:position w:val="2"/>
          <w:sz w:val="24"/>
          <w:szCs w:val="24"/>
          <w:highlight w:val="none"/>
          <w:lang w:val="en-US" w:eastAsia="zh-CN"/>
        </w:rPr>
        <w:t>计算如下：</w:t>
      </w:r>
      <w:r>
        <w:rPr>
          <w:rFonts w:hint="default" w:ascii="Times New Roman" w:hAnsi="Times New Roman" w:eastAsia="宋体" w:cs="Times New Roman"/>
          <w:color w:val="0000FF"/>
          <w:position w:val="2"/>
          <w:sz w:val="24"/>
          <w:szCs w:val="24"/>
          <w:highlight w:val="none"/>
        </w:rPr>
        <w:t>L＝</w:t>
      </w:r>
      <w:r>
        <w:rPr>
          <w:rFonts w:hint="default" w:ascii="Times New Roman" w:hAnsi="Times New Roman" w:eastAsia="宋体" w:cs="Times New Roman"/>
          <w:color w:val="0000FF"/>
          <w:position w:val="2"/>
          <w:sz w:val="24"/>
          <w:szCs w:val="24"/>
          <w:highlight w:val="none"/>
          <w:lang w:val="en-US" w:eastAsia="zh-CN"/>
        </w:rPr>
        <w:t>2</w:t>
      </w:r>
      <w:r>
        <w:rPr>
          <w:rFonts w:hint="default" w:ascii="Times New Roman" w:hAnsi="Times New Roman" w:eastAsia="宋体" w:cs="Times New Roman"/>
          <w:color w:val="0000FF"/>
          <w:position w:val="2"/>
          <w:sz w:val="24"/>
          <w:szCs w:val="24"/>
          <w:highlight w:val="none"/>
        </w:rPr>
        <w:t>×</w:t>
      </w:r>
      <w:r>
        <w:rPr>
          <w:rFonts w:hint="default" w:ascii="Times New Roman" w:hAnsi="Times New Roman" w:eastAsia="宋体" w:cs="Times New Roman"/>
          <w:color w:val="0000FF"/>
          <w:position w:val="2"/>
          <w:sz w:val="24"/>
          <w:szCs w:val="24"/>
          <w:highlight w:val="none"/>
          <w:lang w:val="en-US" w:eastAsia="zh-CN"/>
        </w:rPr>
        <w:t>25</w:t>
      </w:r>
      <w:r>
        <w:rPr>
          <w:rFonts w:hint="default" w:ascii="Times New Roman" w:hAnsi="Times New Roman" w:eastAsia="宋体" w:cs="Times New Roman"/>
          <w:color w:val="0000FF"/>
          <w:position w:val="2"/>
          <w:sz w:val="24"/>
          <w:szCs w:val="24"/>
          <w:highlight w:val="none"/>
        </w:rPr>
        <w:t>×</w:t>
      </w:r>
      <w:r>
        <w:rPr>
          <w:rFonts w:hint="eastAsia" w:ascii="Times New Roman" w:hAnsi="Times New Roman" w:eastAsia="宋体" w:cs="Times New Roman"/>
          <w:color w:val="0000FF"/>
          <w:position w:val="2"/>
          <w:sz w:val="24"/>
          <w:szCs w:val="24"/>
          <w:highlight w:val="none"/>
          <w:lang w:val="en-US" w:eastAsia="zh-CN"/>
        </w:rPr>
        <w:t>3</w:t>
      </w:r>
      <w:r>
        <w:rPr>
          <w:color w:val="0000FF"/>
          <w:kern w:val="0"/>
        </w:rPr>
        <w:t>‰</w:t>
      </w:r>
      <w:r>
        <w:rPr>
          <w:rFonts w:hint="default" w:ascii="Times New Roman" w:hAnsi="Times New Roman" w:eastAsia="宋体" w:cs="Times New Roman"/>
          <w:color w:val="0000FF"/>
          <w:position w:val="2"/>
          <w:sz w:val="24"/>
          <w:szCs w:val="24"/>
          <w:highlight w:val="none"/>
        </w:rPr>
        <w:t>×</w:t>
      </w:r>
      <w:r>
        <w:rPr>
          <w:rFonts w:hint="eastAsia" w:ascii="Times New Roman" w:hAnsi="Times New Roman" w:eastAsia="宋体" w:cs="Times New Roman"/>
          <w:color w:val="0000FF"/>
          <w:position w:val="2"/>
          <w:sz w:val="24"/>
          <w:szCs w:val="24"/>
          <w:highlight w:val="none"/>
          <w:lang w:val="en-US" w:eastAsia="zh-CN"/>
        </w:rPr>
        <w:t>3</w:t>
      </w:r>
      <w:r>
        <w:rPr>
          <w:rFonts w:hint="default" w:ascii="Times New Roman" w:hAnsi="Times New Roman" w:eastAsia="宋体" w:cs="Times New Roman"/>
          <w:color w:val="0000FF"/>
          <w:position w:val="2"/>
          <w:sz w:val="24"/>
          <w:szCs w:val="24"/>
          <w:highlight w:val="none"/>
          <w:lang w:val="en-US" w:eastAsia="zh-CN"/>
        </w:rPr>
        <w:t>000/0.3=</w:t>
      </w:r>
      <w:r>
        <w:rPr>
          <w:rFonts w:hint="eastAsia" w:ascii="Times New Roman" w:hAnsi="Times New Roman" w:eastAsia="宋体" w:cs="Times New Roman"/>
          <w:color w:val="0000FF"/>
          <w:position w:val="2"/>
          <w:sz w:val="24"/>
          <w:szCs w:val="24"/>
          <w:highlight w:val="none"/>
          <w:lang w:val="en-US" w:eastAsia="zh-CN"/>
        </w:rPr>
        <w:t>1500</w:t>
      </w:r>
      <w:r>
        <w:rPr>
          <w:rFonts w:hint="default" w:ascii="Times New Roman" w:hAnsi="Times New Roman" w:eastAsia="宋体" w:cs="Times New Roman"/>
          <w:color w:val="0000FF"/>
          <w:position w:val="2"/>
          <w:sz w:val="24"/>
          <w:szCs w:val="24"/>
          <w:highlight w:val="none"/>
          <w:lang w:val="en-US" w:eastAsia="zh-CN"/>
        </w:rPr>
        <w:t>m</w:t>
      </w:r>
    </w:p>
    <w:p w14:paraId="08DFE173">
      <w:pPr>
        <w:keepNext w:val="0"/>
        <w:keepLines w:val="0"/>
        <w:pageBreakBefore w:val="0"/>
        <w:widowControl w:val="0"/>
        <w:kinsoku/>
        <w:wordWrap w:val="0"/>
        <w:overflowPunct/>
        <w:topLinePunct/>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FF"/>
          <w:sz w:val="24"/>
          <w:szCs w:val="24"/>
          <w:highlight w:val="none"/>
        </w:rPr>
      </w:pPr>
      <w:r>
        <w:rPr>
          <w:rFonts w:hint="default" w:ascii="Times New Roman" w:hAnsi="Times New Roman" w:eastAsia="宋体" w:cs="Times New Roman"/>
          <w:color w:val="0000FF"/>
          <w:sz w:val="24"/>
          <w:szCs w:val="24"/>
          <w:highlight w:val="none"/>
        </w:rPr>
        <w:t>经计算，较敏感区距离为</w:t>
      </w:r>
      <w:r>
        <w:rPr>
          <w:rFonts w:hint="eastAsia" w:ascii="Times New Roman" w:hAnsi="Times New Roman" w:eastAsia="宋体" w:cs="Times New Roman"/>
          <w:color w:val="0000FF"/>
          <w:sz w:val="24"/>
          <w:szCs w:val="24"/>
          <w:highlight w:val="none"/>
          <w:lang w:val="en-US" w:eastAsia="zh-CN"/>
        </w:rPr>
        <w:t>1500</w:t>
      </w:r>
      <w:r>
        <w:rPr>
          <w:rFonts w:hint="default" w:ascii="Times New Roman" w:hAnsi="Times New Roman" w:eastAsia="宋体" w:cs="Times New Roman"/>
          <w:color w:val="0000FF"/>
          <w:sz w:val="24"/>
          <w:szCs w:val="24"/>
          <w:highlight w:val="none"/>
          <w:lang w:val="en-US" w:eastAsia="zh-CN"/>
        </w:rPr>
        <w:t>m</w:t>
      </w:r>
      <w:r>
        <w:rPr>
          <w:rFonts w:hint="default" w:ascii="Times New Roman" w:hAnsi="Times New Roman" w:eastAsia="宋体" w:cs="Times New Roman"/>
          <w:color w:val="0000FF"/>
          <w:sz w:val="24"/>
          <w:szCs w:val="24"/>
          <w:highlight w:val="none"/>
          <w:lang w:eastAsia="zh-CN"/>
        </w:rPr>
        <w:t>之外为不敏感区</w:t>
      </w:r>
      <w:r>
        <w:rPr>
          <w:rFonts w:hint="default" w:ascii="Times New Roman" w:hAnsi="Times New Roman" w:eastAsia="宋体" w:cs="Times New Roman"/>
          <w:color w:val="0000FF"/>
          <w:sz w:val="24"/>
          <w:szCs w:val="24"/>
          <w:highlight w:val="none"/>
        </w:rPr>
        <w:t>。</w:t>
      </w:r>
      <w:r>
        <w:rPr>
          <w:rFonts w:hint="default" w:ascii="Times New Roman" w:hAnsi="Times New Roman" w:eastAsia="宋体" w:cs="Times New Roman"/>
          <w:color w:val="0000FF"/>
          <w:sz w:val="24"/>
          <w:szCs w:val="24"/>
          <w:highlight w:val="none"/>
          <w:lang w:val="en-US" w:eastAsia="zh-CN"/>
        </w:rPr>
        <w:t>本项目</w:t>
      </w:r>
      <w:r>
        <w:rPr>
          <w:rFonts w:hint="default" w:ascii="Times New Roman" w:hAnsi="Times New Roman" w:eastAsia="宋体" w:cs="Times New Roman"/>
          <w:snapToGrid w:val="0"/>
          <w:color w:val="0000FF"/>
          <w:sz w:val="24"/>
          <w:szCs w:val="24"/>
          <w:highlight w:val="none"/>
        </w:rPr>
        <w:t>最近的敏感点为项目</w:t>
      </w:r>
      <w:r>
        <w:rPr>
          <w:rFonts w:hint="default" w:ascii="Times New Roman" w:hAnsi="Times New Roman" w:cs="Times New Roman"/>
          <w:snapToGrid w:val="0"/>
          <w:color w:val="0000FF"/>
          <w:sz w:val="24"/>
          <w:szCs w:val="32"/>
          <w:highlight w:val="none"/>
          <w:lang w:val="en-US" w:eastAsia="zh-CN"/>
        </w:rPr>
        <w:t>北</w:t>
      </w:r>
      <w:r>
        <w:rPr>
          <w:rFonts w:hint="default" w:ascii="Times New Roman" w:hAnsi="Times New Roman" w:eastAsia="宋体" w:cs="Times New Roman"/>
          <w:snapToGrid w:val="0"/>
          <w:color w:val="0000FF"/>
          <w:sz w:val="24"/>
          <w:szCs w:val="32"/>
          <w:highlight w:val="none"/>
          <w:lang w:eastAsia="zh-CN"/>
        </w:rPr>
        <w:t>侧</w:t>
      </w:r>
      <w:r>
        <w:rPr>
          <w:rFonts w:hint="default" w:ascii="Times New Roman" w:hAnsi="Times New Roman" w:cs="Times New Roman"/>
          <w:snapToGrid w:val="0"/>
          <w:color w:val="0000FF"/>
          <w:sz w:val="24"/>
          <w:szCs w:val="32"/>
          <w:highlight w:val="none"/>
          <w:lang w:val="en-US" w:eastAsia="zh-CN"/>
        </w:rPr>
        <w:t>720</w:t>
      </w:r>
      <w:r>
        <w:rPr>
          <w:rFonts w:hint="default" w:ascii="Times New Roman" w:hAnsi="Times New Roman" w:eastAsia="宋体" w:cs="Times New Roman"/>
          <w:snapToGrid w:val="0"/>
          <w:color w:val="0000FF"/>
          <w:sz w:val="24"/>
          <w:szCs w:val="32"/>
          <w:highlight w:val="none"/>
          <w:lang w:eastAsia="zh-CN"/>
        </w:rPr>
        <w:t>m处</w:t>
      </w:r>
      <w:r>
        <w:rPr>
          <w:rFonts w:hint="default" w:ascii="Times New Roman" w:hAnsi="Times New Roman" w:cs="Times New Roman"/>
          <w:snapToGrid w:val="0"/>
          <w:color w:val="0000FF"/>
          <w:sz w:val="24"/>
          <w:szCs w:val="32"/>
          <w:highlight w:val="none"/>
          <w:lang w:val="en-US" w:eastAsia="zh-CN"/>
        </w:rPr>
        <w:t>康家屯</w:t>
      </w:r>
      <w:r>
        <w:rPr>
          <w:rFonts w:hint="default" w:ascii="Times New Roman" w:hAnsi="Times New Roman" w:eastAsia="宋体" w:cs="Times New Roman"/>
          <w:snapToGrid w:val="0"/>
          <w:color w:val="0000FF"/>
          <w:sz w:val="24"/>
          <w:szCs w:val="32"/>
          <w:highlight w:val="none"/>
          <w:lang w:eastAsia="zh-CN"/>
        </w:rPr>
        <w:t>的分散饮用水井</w:t>
      </w:r>
      <w:r>
        <w:rPr>
          <w:rFonts w:hint="default" w:ascii="Times New Roman" w:hAnsi="Times New Roman" w:eastAsia="宋体" w:cs="Times New Roman"/>
          <w:color w:val="0000FF"/>
          <w:sz w:val="24"/>
          <w:szCs w:val="24"/>
          <w:highlight w:val="none"/>
        </w:rPr>
        <w:t>。因此，本项目地下水敏感程度为</w:t>
      </w:r>
      <w:r>
        <w:rPr>
          <w:rFonts w:hint="default" w:ascii="Times New Roman" w:hAnsi="Times New Roman" w:eastAsia="宋体" w:cs="Times New Roman"/>
          <w:color w:val="0000FF"/>
          <w:sz w:val="24"/>
          <w:szCs w:val="24"/>
          <w:highlight w:val="none"/>
          <w:lang w:val="en-US" w:eastAsia="zh-CN"/>
        </w:rPr>
        <w:t>较</w:t>
      </w:r>
      <w:r>
        <w:rPr>
          <w:rFonts w:hint="default" w:ascii="Times New Roman" w:hAnsi="Times New Roman" w:eastAsia="宋体" w:cs="Times New Roman"/>
          <w:color w:val="0000FF"/>
          <w:sz w:val="24"/>
          <w:szCs w:val="24"/>
          <w:highlight w:val="none"/>
        </w:rPr>
        <w:t>敏感。</w:t>
      </w:r>
    </w:p>
    <w:p w14:paraId="17AA9841">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（3）建设项目评价工作等级</w:t>
      </w:r>
    </w:p>
    <w:p w14:paraId="069FB3F5">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建设项目地下水环境影响评价工作等级的划分见表2-5-</w:t>
      </w:r>
      <w:r>
        <w:rPr>
          <w:rFonts w:hint="eastAsia" w:ascii="Times New Roman" w:hAnsi="Times New Roman" w:eastAsia="宋体" w:cs="Times New Roman"/>
          <w:snapToGrid w:val="0"/>
          <w:color w:val="auto"/>
          <w:kern w:val="0"/>
          <w:sz w:val="24"/>
          <w:szCs w:val="24"/>
          <w:highlight w:val="none"/>
          <w:lang w:val="en-US" w:eastAsia="zh-CN" w:bidi="ar-SA"/>
        </w:rPr>
        <w:t>11</w:t>
      </w:r>
      <w:r>
        <w:rPr>
          <w:rFonts w:hint="default" w:ascii="Times New Roman" w:hAnsi="Times New Roman" w:eastAsia="宋体" w:cs="Times New Roman"/>
          <w:snapToGrid w:val="0"/>
          <w:color w:val="auto"/>
          <w:kern w:val="0"/>
          <w:sz w:val="24"/>
          <w:szCs w:val="24"/>
          <w:highlight w:val="none"/>
          <w:lang w:val="en-US" w:eastAsia="en-US" w:bidi="ar-SA"/>
        </w:rPr>
        <w:t>。</w:t>
      </w:r>
    </w:p>
    <w:p w14:paraId="1AAE5954">
      <w:pPr>
        <w:keepNext w:val="0"/>
        <w:keepLines w:val="0"/>
        <w:pageBreakBefore w:val="0"/>
        <w:widowControl w:val="0"/>
        <w:kinsoku/>
        <w:wordWrap w:val="0"/>
        <w:overflowPunct/>
        <w:topLinePunct/>
        <w:autoSpaceDE/>
        <w:autoSpaceDN/>
        <w:bidi w:val="0"/>
        <w:adjustRightInd/>
        <w:snapToGrid/>
        <w:spacing w:line="240" w:lineRule="auto"/>
        <w:jc w:val="center"/>
        <w:textAlignment w:val="auto"/>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w:t>
      </w:r>
      <w:r>
        <w:rPr>
          <w:rFonts w:hint="eastAsia" w:ascii="Times New Roman" w:hAnsi="Times New Roman" w:eastAsia="宋体" w:cs="Times New Roman"/>
          <w:b/>
          <w:bCs/>
          <w:color w:val="auto"/>
          <w:spacing w:val="-1"/>
          <w:sz w:val="24"/>
          <w:szCs w:val="24"/>
          <w:highlight w:val="none"/>
          <w:lang w:val="en-US" w:eastAsia="zh-CN"/>
        </w:rPr>
        <w:t>11</w:t>
      </w:r>
      <w:r>
        <w:rPr>
          <w:rFonts w:hint="default" w:ascii="Times New Roman" w:hAnsi="Times New Roman" w:eastAsia="宋体" w:cs="Times New Roman"/>
          <w:b/>
          <w:bCs/>
          <w:color w:val="auto"/>
          <w:spacing w:val="-1"/>
          <w:sz w:val="24"/>
          <w:szCs w:val="24"/>
          <w:highlight w:val="none"/>
        </w:rPr>
        <w:t>评价工作等级分级表</w:t>
      </w:r>
    </w:p>
    <w:tbl>
      <w:tblPr>
        <w:tblStyle w:val="34"/>
        <w:tblW w:w="8578" w:type="dxa"/>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2040"/>
        <w:gridCol w:w="2328"/>
        <w:gridCol w:w="2329"/>
        <w:gridCol w:w="1881"/>
      </w:tblGrid>
      <w:tr w14:paraId="027E01C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2040" w:type="dxa"/>
            <w:tcBorders>
              <w:tl2br w:val="nil"/>
              <w:tr2bl w:val="nil"/>
            </w:tcBorders>
            <w:vAlign w:val="top"/>
          </w:tcPr>
          <w:p w14:paraId="78197062">
            <w:pPr>
              <w:pStyle w:val="35"/>
              <w:keepNext w:val="0"/>
              <w:keepLines w:val="0"/>
              <w:pageBreakBefore w:val="0"/>
              <w:kinsoku/>
              <w:wordWrap w:val="0"/>
              <w:overflowPunct/>
              <w:topLinePunct/>
              <w:autoSpaceDE/>
              <w:autoSpaceDN/>
              <w:bidi w:val="0"/>
              <w:adjustRightInd w:val="0"/>
              <w:snapToGrid w:val="0"/>
              <w:spacing w:before="98" w:line="219" w:lineRule="auto"/>
              <w:ind w:left="588"/>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6"/>
                <w:highlight w:val="none"/>
              </w:rPr>
              <w:t>评价等级</w:t>
            </w:r>
          </w:p>
        </w:tc>
        <w:tc>
          <w:tcPr>
            <w:tcW w:w="2328" w:type="dxa"/>
            <w:tcBorders>
              <w:tl2br w:val="nil"/>
              <w:tr2bl w:val="nil"/>
            </w:tcBorders>
            <w:vAlign w:val="top"/>
          </w:tcPr>
          <w:p w14:paraId="26BEB617">
            <w:pPr>
              <w:pStyle w:val="35"/>
              <w:keepNext w:val="0"/>
              <w:keepLines w:val="0"/>
              <w:pageBreakBefore w:val="0"/>
              <w:kinsoku/>
              <w:wordWrap w:val="0"/>
              <w:overflowPunct/>
              <w:topLinePunct/>
              <w:autoSpaceDE/>
              <w:autoSpaceDN/>
              <w:bidi w:val="0"/>
              <w:adjustRightInd w:val="0"/>
              <w:snapToGrid w:val="0"/>
              <w:spacing w:before="97" w:line="221" w:lineRule="auto"/>
              <w:ind w:left="792"/>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17"/>
                <w:highlight w:val="none"/>
              </w:rPr>
              <w:t>Ⅰ类项目</w:t>
            </w:r>
          </w:p>
        </w:tc>
        <w:tc>
          <w:tcPr>
            <w:tcW w:w="2329" w:type="dxa"/>
            <w:tcBorders>
              <w:tl2br w:val="nil"/>
              <w:tr2bl w:val="nil"/>
            </w:tcBorders>
            <w:vAlign w:val="top"/>
          </w:tcPr>
          <w:p w14:paraId="2E9E38C9">
            <w:pPr>
              <w:pStyle w:val="35"/>
              <w:keepNext w:val="0"/>
              <w:keepLines w:val="0"/>
              <w:pageBreakBefore w:val="0"/>
              <w:kinsoku/>
              <w:wordWrap w:val="0"/>
              <w:overflowPunct/>
              <w:topLinePunct/>
              <w:autoSpaceDE/>
              <w:autoSpaceDN/>
              <w:bidi w:val="0"/>
              <w:adjustRightInd w:val="0"/>
              <w:snapToGrid w:val="0"/>
              <w:spacing w:before="97" w:line="221" w:lineRule="auto"/>
              <w:ind w:left="758"/>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Ⅱ类项目</w:t>
            </w:r>
          </w:p>
        </w:tc>
        <w:tc>
          <w:tcPr>
            <w:tcW w:w="1881" w:type="dxa"/>
            <w:tcBorders>
              <w:tl2br w:val="nil"/>
              <w:tr2bl w:val="nil"/>
            </w:tcBorders>
            <w:vAlign w:val="top"/>
          </w:tcPr>
          <w:p w14:paraId="7E0DD78A">
            <w:pPr>
              <w:pStyle w:val="35"/>
              <w:keepNext w:val="0"/>
              <w:keepLines w:val="0"/>
              <w:pageBreakBefore w:val="0"/>
              <w:kinsoku/>
              <w:wordWrap w:val="0"/>
              <w:overflowPunct/>
              <w:topLinePunct/>
              <w:autoSpaceDE/>
              <w:autoSpaceDN/>
              <w:bidi w:val="0"/>
              <w:adjustRightInd w:val="0"/>
              <w:snapToGrid w:val="0"/>
              <w:spacing w:before="97" w:line="221" w:lineRule="auto"/>
              <w:ind w:left="718"/>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6"/>
                <w:highlight w:val="none"/>
              </w:rPr>
              <w:t>Ⅲ类项目</w:t>
            </w:r>
          </w:p>
        </w:tc>
      </w:tr>
      <w:tr w14:paraId="5DA5B90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2040" w:type="dxa"/>
            <w:tcBorders>
              <w:tl2br w:val="nil"/>
              <w:tr2bl w:val="nil"/>
            </w:tcBorders>
            <w:vAlign w:val="top"/>
          </w:tcPr>
          <w:p w14:paraId="2EC26608">
            <w:pPr>
              <w:pStyle w:val="35"/>
              <w:keepNext w:val="0"/>
              <w:keepLines w:val="0"/>
              <w:pageBreakBefore w:val="0"/>
              <w:kinsoku/>
              <w:wordWrap w:val="0"/>
              <w:overflowPunct/>
              <w:topLinePunct/>
              <w:autoSpaceDE/>
              <w:autoSpaceDN/>
              <w:bidi w:val="0"/>
              <w:adjustRightInd w:val="0"/>
              <w:snapToGrid w:val="0"/>
              <w:spacing w:before="97" w:line="221" w:lineRule="auto"/>
              <w:ind w:left="813"/>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敏感</w:t>
            </w:r>
          </w:p>
        </w:tc>
        <w:tc>
          <w:tcPr>
            <w:tcW w:w="2328" w:type="dxa"/>
            <w:tcBorders>
              <w:tl2br w:val="nil"/>
              <w:tr2bl w:val="nil"/>
            </w:tcBorders>
            <w:vAlign w:val="top"/>
          </w:tcPr>
          <w:p w14:paraId="0896A49D">
            <w:pPr>
              <w:pStyle w:val="35"/>
              <w:keepNext w:val="0"/>
              <w:keepLines w:val="0"/>
              <w:pageBreakBefore w:val="0"/>
              <w:kinsoku/>
              <w:wordWrap w:val="0"/>
              <w:overflowPunct/>
              <w:topLinePunct/>
              <w:autoSpaceDE/>
              <w:autoSpaceDN/>
              <w:bidi w:val="0"/>
              <w:adjustRightInd w:val="0"/>
              <w:snapToGrid w:val="0"/>
              <w:spacing w:before="177" w:line="162" w:lineRule="exact"/>
              <w:ind w:left="1060"/>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4"/>
                <w:highlight w:val="none"/>
              </w:rPr>
              <w:t>一</w:t>
            </w:r>
          </w:p>
        </w:tc>
        <w:tc>
          <w:tcPr>
            <w:tcW w:w="2329" w:type="dxa"/>
            <w:tcBorders>
              <w:tl2br w:val="nil"/>
              <w:tr2bl w:val="nil"/>
            </w:tcBorders>
            <w:vAlign w:val="top"/>
          </w:tcPr>
          <w:p w14:paraId="68F88E4B">
            <w:pPr>
              <w:pStyle w:val="35"/>
              <w:keepNext w:val="0"/>
              <w:keepLines w:val="0"/>
              <w:pageBreakBefore w:val="0"/>
              <w:kinsoku/>
              <w:wordWrap w:val="0"/>
              <w:overflowPunct/>
              <w:topLinePunct/>
              <w:autoSpaceDE/>
              <w:autoSpaceDN/>
              <w:bidi w:val="0"/>
              <w:adjustRightInd w:val="0"/>
              <w:snapToGrid w:val="0"/>
              <w:spacing w:before="177" w:line="162" w:lineRule="exact"/>
              <w:ind w:left="1058"/>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4"/>
                <w:highlight w:val="none"/>
              </w:rPr>
              <w:t>一</w:t>
            </w:r>
          </w:p>
        </w:tc>
        <w:tc>
          <w:tcPr>
            <w:tcW w:w="1881" w:type="dxa"/>
            <w:tcBorders>
              <w:tl2br w:val="nil"/>
              <w:tr2bl w:val="nil"/>
            </w:tcBorders>
            <w:vAlign w:val="top"/>
          </w:tcPr>
          <w:p w14:paraId="7EAEDE05">
            <w:pPr>
              <w:pStyle w:val="35"/>
              <w:keepNext w:val="0"/>
              <w:keepLines w:val="0"/>
              <w:pageBreakBefore w:val="0"/>
              <w:kinsoku/>
              <w:wordWrap w:val="0"/>
              <w:overflowPunct/>
              <w:topLinePunct/>
              <w:autoSpaceDE/>
              <w:autoSpaceDN/>
              <w:bidi w:val="0"/>
              <w:adjustRightInd w:val="0"/>
              <w:snapToGrid w:val="0"/>
              <w:spacing w:before="136" w:line="179" w:lineRule="auto"/>
              <w:ind w:left="1056"/>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二</w:t>
            </w:r>
          </w:p>
        </w:tc>
      </w:tr>
      <w:tr w14:paraId="4786F74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4" w:hRule="atLeast"/>
        </w:trPr>
        <w:tc>
          <w:tcPr>
            <w:tcW w:w="2040" w:type="dxa"/>
            <w:tcBorders>
              <w:tl2br w:val="nil"/>
              <w:tr2bl w:val="nil"/>
            </w:tcBorders>
            <w:vAlign w:val="top"/>
          </w:tcPr>
          <w:p w14:paraId="50671222">
            <w:pPr>
              <w:pStyle w:val="35"/>
              <w:keepNext w:val="0"/>
              <w:keepLines w:val="0"/>
              <w:pageBreakBefore w:val="0"/>
              <w:kinsoku/>
              <w:wordWrap w:val="0"/>
              <w:overflowPunct/>
              <w:topLinePunct/>
              <w:autoSpaceDE/>
              <w:autoSpaceDN/>
              <w:bidi w:val="0"/>
              <w:adjustRightInd w:val="0"/>
              <w:snapToGrid w:val="0"/>
              <w:spacing w:before="103" w:line="221" w:lineRule="auto"/>
              <w:ind w:left="701"/>
              <w:textAlignment w:val="baseline"/>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spacing w:val="6"/>
                <w:highlight w:val="none"/>
              </w:rPr>
              <w:t>较敏感</w:t>
            </w:r>
            <w:r>
              <w:rPr>
                <w:rFonts w:hint="default" w:ascii="Times New Roman" w:hAnsi="Times New Roman" w:cs="Times New Roman"/>
                <w:color w:val="auto"/>
                <w:spacing w:val="6"/>
                <w:highlight w:val="none"/>
                <w:lang w:eastAsia="zh-CN"/>
              </w:rPr>
              <w:t>（√）</w:t>
            </w:r>
          </w:p>
        </w:tc>
        <w:tc>
          <w:tcPr>
            <w:tcW w:w="2328" w:type="dxa"/>
            <w:tcBorders>
              <w:tl2br w:val="nil"/>
              <w:tr2bl w:val="nil"/>
            </w:tcBorders>
            <w:vAlign w:val="top"/>
          </w:tcPr>
          <w:p w14:paraId="2760B81A">
            <w:pPr>
              <w:pStyle w:val="35"/>
              <w:keepNext w:val="0"/>
              <w:keepLines w:val="0"/>
              <w:pageBreakBefore w:val="0"/>
              <w:kinsoku/>
              <w:wordWrap w:val="0"/>
              <w:overflowPunct/>
              <w:topLinePunct/>
              <w:autoSpaceDE/>
              <w:autoSpaceDN/>
              <w:bidi w:val="0"/>
              <w:adjustRightInd w:val="0"/>
              <w:snapToGrid w:val="0"/>
              <w:spacing w:before="183" w:line="162" w:lineRule="exact"/>
              <w:ind w:left="1060"/>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4"/>
                <w:highlight w:val="none"/>
              </w:rPr>
              <w:t>一</w:t>
            </w:r>
          </w:p>
        </w:tc>
        <w:tc>
          <w:tcPr>
            <w:tcW w:w="2329" w:type="dxa"/>
            <w:tcBorders>
              <w:tl2br w:val="nil"/>
              <w:tr2bl w:val="nil"/>
            </w:tcBorders>
            <w:vAlign w:val="top"/>
          </w:tcPr>
          <w:p w14:paraId="5CB5E26B">
            <w:pPr>
              <w:pStyle w:val="35"/>
              <w:keepNext w:val="0"/>
              <w:keepLines w:val="0"/>
              <w:pageBreakBefore w:val="0"/>
              <w:kinsoku/>
              <w:wordWrap w:val="0"/>
              <w:overflowPunct/>
              <w:topLinePunct/>
              <w:autoSpaceDE/>
              <w:autoSpaceDN/>
              <w:bidi w:val="0"/>
              <w:adjustRightInd w:val="0"/>
              <w:snapToGrid w:val="0"/>
              <w:spacing w:before="142" w:line="179" w:lineRule="auto"/>
              <w:ind w:left="1058"/>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二</w:t>
            </w:r>
          </w:p>
        </w:tc>
        <w:tc>
          <w:tcPr>
            <w:tcW w:w="1881" w:type="dxa"/>
            <w:tcBorders>
              <w:tl2br w:val="nil"/>
              <w:tr2bl w:val="nil"/>
            </w:tcBorders>
            <w:vAlign w:val="top"/>
          </w:tcPr>
          <w:p w14:paraId="57A85802">
            <w:pPr>
              <w:pStyle w:val="35"/>
              <w:keepNext w:val="0"/>
              <w:keepLines w:val="0"/>
              <w:pageBreakBefore w:val="0"/>
              <w:kinsoku/>
              <w:wordWrap w:val="0"/>
              <w:overflowPunct/>
              <w:topLinePunct/>
              <w:autoSpaceDE/>
              <w:autoSpaceDN/>
              <w:bidi w:val="0"/>
              <w:adjustRightInd w:val="0"/>
              <w:snapToGrid w:val="0"/>
              <w:spacing w:before="103" w:line="238" w:lineRule="auto"/>
              <w:ind w:left="1052"/>
              <w:textAlignment w:val="baseline"/>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三</w:t>
            </w:r>
            <w:r>
              <w:rPr>
                <w:rFonts w:hint="default" w:ascii="Times New Roman" w:hAnsi="Times New Roman" w:cs="Times New Roman"/>
                <w:color w:val="auto"/>
                <w:highlight w:val="none"/>
                <w:lang w:eastAsia="zh-CN"/>
              </w:rPr>
              <w:t>（√）</w:t>
            </w:r>
          </w:p>
        </w:tc>
      </w:tr>
      <w:tr w14:paraId="49B02DE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2040" w:type="dxa"/>
            <w:tcBorders>
              <w:tl2br w:val="nil"/>
              <w:tr2bl w:val="nil"/>
            </w:tcBorders>
            <w:vAlign w:val="top"/>
          </w:tcPr>
          <w:p w14:paraId="368E5E92">
            <w:pPr>
              <w:pStyle w:val="35"/>
              <w:keepNext w:val="0"/>
              <w:keepLines w:val="0"/>
              <w:pageBreakBefore w:val="0"/>
              <w:kinsoku/>
              <w:wordWrap w:val="0"/>
              <w:overflowPunct/>
              <w:topLinePunct/>
              <w:autoSpaceDE/>
              <w:autoSpaceDN/>
              <w:bidi w:val="0"/>
              <w:adjustRightInd w:val="0"/>
              <w:snapToGrid w:val="0"/>
              <w:spacing w:before="110" w:line="221" w:lineRule="auto"/>
              <w:ind w:left="70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不敏感</w:t>
            </w:r>
          </w:p>
        </w:tc>
        <w:tc>
          <w:tcPr>
            <w:tcW w:w="2328" w:type="dxa"/>
            <w:tcBorders>
              <w:tl2br w:val="nil"/>
              <w:tr2bl w:val="nil"/>
            </w:tcBorders>
            <w:vAlign w:val="top"/>
          </w:tcPr>
          <w:p w14:paraId="675285D9">
            <w:pPr>
              <w:pStyle w:val="35"/>
              <w:keepNext w:val="0"/>
              <w:keepLines w:val="0"/>
              <w:pageBreakBefore w:val="0"/>
              <w:kinsoku/>
              <w:wordWrap w:val="0"/>
              <w:overflowPunct/>
              <w:topLinePunct/>
              <w:autoSpaceDE/>
              <w:autoSpaceDN/>
              <w:bidi w:val="0"/>
              <w:adjustRightInd w:val="0"/>
              <w:snapToGrid w:val="0"/>
              <w:spacing w:before="149" w:line="179" w:lineRule="auto"/>
              <w:ind w:left="106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二</w:t>
            </w:r>
          </w:p>
        </w:tc>
        <w:tc>
          <w:tcPr>
            <w:tcW w:w="2329" w:type="dxa"/>
            <w:tcBorders>
              <w:tl2br w:val="nil"/>
              <w:tr2bl w:val="nil"/>
            </w:tcBorders>
            <w:vAlign w:val="top"/>
          </w:tcPr>
          <w:p w14:paraId="2A0B4D6A">
            <w:pPr>
              <w:pStyle w:val="35"/>
              <w:keepNext w:val="0"/>
              <w:keepLines w:val="0"/>
              <w:pageBreakBefore w:val="0"/>
              <w:kinsoku/>
              <w:wordWrap w:val="0"/>
              <w:overflowPunct/>
              <w:topLinePunct/>
              <w:autoSpaceDE/>
              <w:autoSpaceDN/>
              <w:bidi w:val="0"/>
              <w:adjustRightInd w:val="0"/>
              <w:snapToGrid w:val="0"/>
              <w:spacing w:before="110" w:line="238" w:lineRule="auto"/>
              <w:ind w:left="1055"/>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三</w:t>
            </w:r>
          </w:p>
        </w:tc>
        <w:tc>
          <w:tcPr>
            <w:tcW w:w="1881" w:type="dxa"/>
            <w:tcBorders>
              <w:tl2br w:val="nil"/>
              <w:tr2bl w:val="nil"/>
            </w:tcBorders>
            <w:vAlign w:val="top"/>
          </w:tcPr>
          <w:p w14:paraId="29153BF8">
            <w:pPr>
              <w:pStyle w:val="35"/>
              <w:keepNext w:val="0"/>
              <w:keepLines w:val="0"/>
              <w:pageBreakBefore w:val="0"/>
              <w:kinsoku/>
              <w:wordWrap w:val="0"/>
              <w:overflowPunct/>
              <w:topLinePunct/>
              <w:autoSpaceDE/>
              <w:autoSpaceDN/>
              <w:bidi w:val="0"/>
              <w:adjustRightInd w:val="0"/>
              <w:snapToGrid w:val="0"/>
              <w:spacing w:before="110" w:line="238" w:lineRule="auto"/>
              <w:ind w:left="1052"/>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三</w:t>
            </w:r>
          </w:p>
        </w:tc>
      </w:tr>
    </w:tbl>
    <w:p w14:paraId="17945CD7">
      <w:pPr>
        <w:keepNext w:val="0"/>
        <w:keepLines w:val="0"/>
        <w:pageBreakBefore w:val="0"/>
        <w:kinsoku/>
        <w:wordWrap w:val="0"/>
        <w:overflowPunct/>
        <w:topLinePunct/>
        <w:autoSpaceDE/>
        <w:autoSpaceDN/>
        <w:bidi w:val="0"/>
        <w:adjustRightInd w:val="0"/>
        <w:snapToGrid w:val="0"/>
        <w:spacing w:before="165" w:line="351" w:lineRule="auto"/>
        <w:ind w:right="125" w:firstLine="480" w:firstLineChars="200"/>
        <w:textAlignment w:val="baseline"/>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根据《环境影响评价技术导则地下水环境》（HJ610-2016）附录A地下水环境影响评价行业分类表，本项目属于Ⅲ类建设项目；项目所在区域地下水</w:t>
      </w:r>
      <w:r>
        <w:rPr>
          <w:rFonts w:hint="default" w:ascii="Times New Roman" w:hAnsi="Times New Roman" w:eastAsia="宋体" w:cs="Times New Roman"/>
          <w:color w:val="FF0000"/>
          <w:sz w:val="24"/>
          <w:szCs w:val="24"/>
          <w:highlight w:val="none"/>
          <w:lang w:val="en-US" w:eastAsia="zh-CN"/>
        </w:rPr>
        <w:t>环境敏感程度为较敏感。因此，本项目地下水评价等级应为三级。</w:t>
      </w:r>
    </w:p>
    <w:p w14:paraId="44102197">
      <w:pPr>
        <w:keepNext w:val="0"/>
        <w:keepLines w:val="0"/>
        <w:pageBreakBefore w:val="0"/>
        <w:kinsoku/>
        <w:wordWrap w:val="0"/>
        <w:overflowPunct/>
        <w:topLinePunct/>
        <w:autoSpaceDE/>
        <w:autoSpaceDN/>
        <w:bidi w:val="0"/>
        <w:adjustRightInd w:val="0"/>
        <w:snapToGrid w:val="0"/>
        <w:spacing w:before="26" w:line="218" w:lineRule="auto"/>
        <w:ind w:left="757"/>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宋体" w:cs="Times New Roman"/>
          <w:color w:val="auto"/>
          <w:spacing w:val="-2"/>
          <w:sz w:val="24"/>
          <w:szCs w:val="24"/>
          <w:highlight w:val="none"/>
          <w:lang w:val="en-US" w:eastAsia="zh-CN"/>
        </w:rPr>
        <w:t>3</w:t>
      </w: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宋体" w:cs="Times New Roman"/>
          <w:color w:val="auto"/>
          <w:spacing w:val="-2"/>
          <w:sz w:val="24"/>
          <w:szCs w:val="24"/>
          <w:highlight w:val="none"/>
        </w:rPr>
        <w:t>评价范围</w:t>
      </w:r>
    </w:p>
    <w:p w14:paraId="4C5CD853">
      <w:pPr>
        <w:keepNext w:val="0"/>
        <w:keepLines w:val="0"/>
        <w:pageBreakBefore w:val="0"/>
        <w:kinsoku/>
        <w:wordWrap w:val="0"/>
        <w:overflowPunct/>
        <w:topLinePunct/>
        <w:autoSpaceDE/>
        <w:autoSpaceDN/>
        <w:bidi w:val="0"/>
        <w:adjustRightInd w:val="0"/>
        <w:snapToGrid w:val="0"/>
        <w:spacing w:before="182" w:line="351" w:lineRule="auto"/>
        <w:ind w:left="274" w:right="255" w:firstLine="478"/>
        <w:textAlignment w:val="baseline"/>
        <w:rPr>
          <w:rFonts w:hint="default" w:ascii="Times New Roman" w:hAnsi="Times New Roman" w:eastAsia="宋体" w:cs="Times New Roman"/>
          <w:color w:val="auto"/>
          <w:spacing w:val="-2"/>
          <w:sz w:val="24"/>
          <w:szCs w:val="24"/>
          <w:highlight w:val="none"/>
          <w:lang w:val="en-US" w:eastAsia="zh-CN"/>
        </w:rPr>
      </w:pPr>
      <w:r>
        <w:rPr>
          <w:rFonts w:hint="default" w:ascii="Times New Roman" w:hAnsi="Times New Roman" w:eastAsia="宋体" w:cs="Times New Roman"/>
          <w:color w:val="auto"/>
          <w:spacing w:val="1"/>
          <w:sz w:val="24"/>
          <w:szCs w:val="24"/>
          <w:highlight w:val="none"/>
        </w:rPr>
        <w:t>根据《环境影响评价技术导则地下水环境》（</w:t>
      </w:r>
      <w:r>
        <w:rPr>
          <w:rFonts w:hint="default" w:ascii="Times New Roman" w:hAnsi="Times New Roman" w:eastAsia="Times New Roman" w:cs="Times New Roman"/>
          <w:color w:val="auto"/>
          <w:sz w:val="24"/>
          <w:szCs w:val="24"/>
          <w:highlight w:val="none"/>
        </w:rPr>
        <w:t>HJ</w:t>
      </w:r>
      <w:r>
        <w:rPr>
          <w:rFonts w:hint="default" w:ascii="Times New Roman" w:hAnsi="Times New Roman" w:eastAsia="Times New Roman" w:cs="Times New Roman"/>
          <w:color w:val="auto"/>
          <w:spacing w:val="1"/>
          <w:sz w:val="24"/>
          <w:szCs w:val="24"/>
          <w:highlight w:val="none"/>
        </w:rPr>
        <w:t>610-2016</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lang w:val="en-US" w:eastAsia="zh-CN"/>
        </w:rPr>
        <w:t>，建设项目地下水环境影响现状调查评价范围可采用公式法、查表法和自定义法确定。本次评价采用查表法确定地下水评价范围。地下水环境现状调查评价范围参照表如下。</w:t>
      </w:r>
    </w:p>
    <w:p w14:paraId="6F520022">
      <w:pPr>
        <w:keepNext w:val="0"/>
        <w:keepLines w:val="0"/>
        <w:pageBreakBefore w:val="0"/>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bCs/>
          <w:color w:val="auto"/>
          <w:spacing w:val="-1"/>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w:t>
      </w:r>
      <w:r>
        <w:rPr>
          <w:rFonts w:hint="eastAsia" w:ascii="Times New Roman" w:hAnsi="Times New Roman" w:eastAsia="宋体" w:cs="Times New Roman"/>
          <w:b/>
          <w:bCs/>
          <w:color w:val="auto"/>
          <w:spacing w:val="-1"/>
          <w:sz w:val="24"/>
          <w:szCs w:val="24"/>
          <w:highlight w:val="none"/>
          <w:lang w:val="en-US" w:eastAsia="zh-CN"/>
        </w:rPr>
        <w:t>12</w:t>
      </w:r>
      <w:r>
        <w:rPr>
          <w:rFonts w:hint="default" w:ascii="Times New Roman" w:hAnsi="Times New Roman" w:eastAsia="Times New Roman" w:cs="Times New Roman"/>
          <w:b/>
          <w:bCs/>
          <w:color w:val="auto"/>
          <w:spacing w:val="-1"/>
          <w:sz w:val="24"/>
          <w:szCs w:val="24"/>
          <w:highlight w:val="none"/>
          <w:lang w:val="en-US" w:eastAsia="zh-CN"/>
        </w:rPr>
        <w:t>地下水环境现状调查评价范围参照表</w:t>
      </w:r>
    </w:p>
    <w:tbl>
      <w:tblPr>
        <w:tblStyle w:val="2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410"/>
        <w:gridCol w:w="2715"/>
        <w:gridCol w:w="2402"/>
      </w:tblGrid>
      <w:tr w14:paraId="4B2F31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3836" w:type="dxa"/>
            <w:tcBorders>
              <w:tl2br w:val="nil"/>
              <w:tr2bl w:val="nil"/>
            </w:tcBorders>
            <w:vAlign w:val="center"/>
          </w:tcPr>
          <w:p w14:paraId="2FCE4B98">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bCs/>
                <w:color w:val="auto"/>
                <w:spacing w:val="6"/>
                <w:highlight w:val="none"/>
                <w:lang w:val="en-US" w:eastAsia="zh-CN"/>
              </w:rPr>
            </w:pPr>
            <w:r>
              <w:rPr>
                <w:rFonts w:hint="default" w:ascii="Times New Roman" w:hAnsi="Times New Roman" w:cs="Times New Roman"/>
                <w:b/>
                <w:bCs/>
                <w:color w:val="auto"/>
                <w:spacing w:val="6"/>
                <w:highlight w:val="none"/>
                <w:lang w:val="en-US" w:eastAsia="zh-CN"/>
              </w:rPr>
              <w:t>评价等级</w:t>
            </w:r>
          </w:p>
        </w:tc>
        <w:tc>
          <w:tcPr>
            <w:tcW w:w="3031" w:type="dxa"/>
            <w:tcBorders>
              <w:tl2br w:val="nil"/>
              <w:tr2bl w:val="nil"/>
            </w:tcBorders>
            <w:vAlign w:val="center"/>
          </w:tcPr>
          <w:p w14:paraId="7FC3C934">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bCs/>
                <w:color w:val="auto"/>
                <w:spacing w:val="6"/>
                <w:highlight w:val="none"/>
                <w:lang w:val="en-US" w:eastAsia="zh-CN"/>
              </w:rPr>
            </w:pPr>
            <w:r>
              <w:rPr>
                <w:rFonts w:hint="default" w:ascii="Times New Roman" w:hAnsi="Times New Roman" w:cs="Times New Roman"/>
                <w:b/>
                <w:bCs/>
                <w:color w:val="auto"/>
                <w:spacing w:val="6"/>
                <w:highlight w:val="none"/>
                <w:lang w:val="en-US" w:eastAsia="zh-CN"/>
              </w:rPr>
              <w:t>调查评价范围（km</w:t>
            </w:r>
            <w:r>
              <w:rPr>
                <w:rFonts w:hint="default" w:ascii="Times New Roman" w:hAnsi="Times New Roman" w:cs="Times New Roman"/>
                <w:b/>
                <w:bCs/>
                <w:color w:val="auto"/>
                <w:spacing w:val="6"/>
                <w:highlight w:val="none"/>
                <w:vertAlign w:val="superscript"/>
                <w:lang w:val="en-US" w:eastAsia="zh-CN"/>
              </w:rPr>
              <w:t>2</w:t>
            </w:r>
            <w:r>
              <w:rPr>
                <w:rFonts w:hint="default" w:ascii="Times New Roman" w:hAnsi="Times New Roman" w:cs="Times New Roman"/>
                <w:b/>
                <w:bCs/>
                <w:color w:val="auto"/>
                <w:spacing w:val="6"/>
                <w:highlight w:val="none"/>
                <w:lang w:val="en-US" w:eastAsia="zh-CN"/>
              </w:rPr>
              <w:t>）</w:t>
            </w:r>
          </w:p>
        </w:tc>
        <w:tc>
          <w:tcPr>
            <w:tcW w:w="2652" w:type="dxa"/>
            <w:tcBorders>
              <w:tl2br w:val="nil"/>
              <w:tr2bl w:val="nil"/>
            </w:tcBorders>
            <w:vAlign w:val="center"/>
          </w:tcPr>
          <w:p w14:paraId="7AC25800">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bCs/>
                <w:color w:val="auto"/>
                <w:spacing w:val="6"/>
                <w:highlight w:val="none"/>
                <w:lang w:val="en-US" w:eastAsia="zh-CN"/>
              </w:rPr>
            </w:pPr>
            <w:r>
              <w:rPr>
                <w:rFonts w:hint="default" w:ascii="Times New Roman" w:hAnsi="Times New Roman" w:cs="Times New Roman"/>
                <w:b/>
                <w:bCs/>
                <w:color w:val="auto"/>
                <w:spacing w:val="6"/>
                <w:highlight w:val="none"/>
                <w:lang w:val="en-US" w:eastAsia="zh-CN"/>
              </w:rPr>
              <w:t>备注</w:t>
            </w:r>
          </w:p>
        </w:tc>
      </w:tr>
      <w:tr w14:paraId="733DB1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3836" w:type="dxa"/>
            <w:tcBorders>
              <w:tl2br w:val="nil"/>
              <w:tr2bl w:val="nil"/>
            </w:tcBorders>
            <w:vAlign w:val="center"/>
          </w:tcPr>
          <w:p w14:paraId="04BEE085">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val="0"/>
                <w:bCs w:val="0"/>
                <w:color w:val="auto"/>
                <w:spacing w:val="6"/>
                <w:highlight w:val="none"/>
                <w:lang w:val="en-US" w:eastAsia="zh-CN"/>
              </w:rPr>
            </w:pPr>
            <w:r>
              <w:rPr>
                <w:rFonts w:hint="default" w:ascii="Times New Roman" w:hAnsi="Times New Roman" w:cs="Times New Roman"/>
                <w:b w:val="0"/>
                <w:bCs w:val="0"/>
                <w:color w:val="auto"/>
                <w:spacing w:val="6"/>
                <w:highlight w:val="none"/>
                <w:lang w:val="en-US" w:eastAsia="zh-CN"/>
              </w:rPr>
              <w:t>一级</w:t>
            </w:r>
          </w:p>
        </w:tc>
        <w:tc>
          <w:tcPr>
            <w:tcW w:w="3031" w:type="dxa"/>
            <w:tcBorders>
              <w:tl2br w:val="nil"/>
              <w:tr2bl w:val="nil"/>
            </w:tcBorders>
            <w:vAlign w:val="center"/>
          </w:tcPr>
          <w:p w14:paraId="7EFF55E3">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val="0"/>
                <w:bCs w:val="0"/>
                <w:color w:val="auto"/>
                <w:spacing w:val="6"/>
                <w:highlight w:val="none"/>
                <w:lang w:val="en-US" w:eastAsia="zh-CN"/>
              </w:rPr>
            </w:pPr>
            <w:r>
              <w:rPr>
                <w:rFonts w:hint="default" w:ascii="Times New Roman" w:hAnsi="Times New Roman" w:cs="Times New Roman"/>
                <w:b w:val="0"/>
                <w:bCs w:val="0"/>
                <w:color w:val="auto"/>
                <w:spacing w:val="6"/>
                <w:highlight w:val="none"/>
                <w:lang w:val="en-US" w:eastAsia="zh-CN"/>
              </w:rPr>
              <w:t>≥20</w:t>
            </w:r>
          </w:p>
        </w:tc>
        <w:tc>
          <w:tcPr>
            <w:tcW w:w="2652" w:type="dxa"/>
            <w:vMerge w:val="restart"/>
            <w:tcBorders>
              <w:tl2br w:val="nil"/>
              <w:tr2bl w:val="nil"/>
            </w:tcBorders>
            <w:vAlign w:val="center"/>
          </w:tcPr>
          <w:p w14:paraId="3D467F73">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val="0"/>
                <w:bCs w:val="0"/>
                <w:color w:val="auto"/>
                <w:spacing w:val="6"/>
                <w:highlight w:val="none"/>
                <w:lang w:val="en-US" w:eastAsia="zh-CN"/>
              </w:rPr>
            </w:pPr>
            <w:r>
              <w:rPr>
                <w:rFonts w:hint="default" w:ascii="Times New Roman" w:hAnsi="Times New Roman" w:cs="Times New Roman"/>
                <w:b w:val="0"/>
                <w:bCs w:val="0"/>
                <w:color w:val="auto"/>
                <w:spacing w:val="6"/>
                <w:highlight w:val="none"/>
                <w:lang w:val="en-US" w:eastAsia="zh-CN"/>
              </w:rPr>
              <w:t>应包括重要的地下水环境保护目标，必要时适当扩大范围。</w:t>
            </w:r>
          </w:p>
        </w:tc>
      </w:tr>
      <w:tr w14:paraId="253DF8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36" w:type="dxa"/>
            <w:tcBorders>
              <w:tl2br w:val="nil"/>
              <w:tr2bl w:val="nil"/>
            </w:tcBorders>
            <w:vAlign w:val="center"/>
          </w:tcPr>
          <w:p w14:paraId="3984B845">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val="0"/>
                <w:bCs w:val="0"/>
                <w:color w:val="auto"/>
                <w:spacing w:val="6"/>
                <w:highlight w:val="none"/>
                <w:lang w:val="en-US" w:eastAsia="zh-CN"/>
              </w:rPr>
            </w:pPr>
            <w:r>
              <w:rPr>
                <w:rFonts w:hint="default" w:ascii="Times New Roman" w:hAnsi="Times New Roman" w:cs="Times New Roman"/>
                <w:b w:val="0"/>
                <w:bCs w:val="0"/>
                <w:color w:val="auto"/>
                <w:spacing w:val="6"/>
                <w:highlight w:val="none"/>
                <w:lang w:val="en-US" w:eastAsia="zh-CN"/>
              </w:rPr>
              <w:t>二级</w:t>
            </w:r>
          </w:p>
        </w:tc>
        <w:tc>
          <w:tcPr>
            <w:tcW w:w="3031" w:type="dxa"/>
            <w:tcBorders>
              <w:tl2br w:val="nil"/>
              <w:tr2bl w:val="nil"/>
            </w:tcBorders>
            <w:vAlign w:val="center"/>
          </w:tcPr>
          <w:p w14:paraId="29103625">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val="0"/>
                <w:bCs w:val="0"/>
                <w:color w:val="auto"/>
                <w:spacing w:val="6"/>
                <w:highlight w:val="none"/>
                <w:lang w:val="en-US" w:eastAsia="zh-CN"/>
              </w:rPr>
            </w:pPr>
            <w:r>
              <w:rPr>
                <w:rFonts w:hint="default" w:ascii="Times New Roman" w:hAnsi="Times New Roman" w:cs="Times New Roman"/>
                <w:b w:val="0"/>
                <w:bCs w:val="0"/>
                <w:color w:val="auto"/>
                <w:spacing w:val="6"/>
                <w:highlight w:val="none"/>
                <w:lang w:val="en-US" w:eastAsia="zh-CN"/>
              </w:rPr>
              <w:t>6-20</w:t>
            </w:r>
          </w:p>
        </w:tc>
        <w:tc>
          <w:tcPr>
            <w:tcW w:w="2652" w:type="dxa"/>
            <w:vMerge w:val="continue"/>
            <w:tcBorders>
              <w:tl2br w:val="nil"/>
              <w:tr2bl w:val="nil"/>
            </w:tcBorders>
            <w:vAlign w:val="center"/>
          </w:tcPr>
          <w:p w14:paraId="2A2D3045">
            <w:pPr>
              <w:pStyle w:val="35"/>
              <w:keepNext w:val="0"/>
              <w:keepLines w:val="0"/>
              <w:pageBreakBefore w:val="0"/>
              <w:widowControl w:val="0"/>
              <w:kinsoku/>
              <w:wordWrap w:val="0"/>
              <w:overflowPunct/>
              <w:topLinePunct/>
              <w:autoSpaceDE/>
              <w:autoSpaceDN/>
              <w:bidi w:val="0"/>
              <w:adjustRightInd w:val="0"/>
              <w:snapToGrid w:val="0"/>
              <w:spacing w:before="98" w:line="219" w:lineRule="auto"/>
              <w:ind w:left="588"/>
              <w:textAlignment w:val="baseline"/>
              <w:rPr>
                <w:rFonts w:hint="default" w:ascii="Times New Roman" w:hAnsi="Times New Roman" w:cs="Times New Roman"/>
                <w:b w:val="0"/>
                <w:bCs w:val="0"/>
                <w:color w:val="auto"/>
                <w:spacing w:val="6"/>
                <w:highlight w:val="none"/>
                <w:lang w:val="en-US" w:eastAsia="zh-CN"/>
              </w:rPr>
            </w:pPr>
          </w:p>
        </w:tc>
      </w:tr>
      <w:tr w14:paraId="17D29F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36" w:type="dxa"/>
            <w:tcBorders>
              <w:tl2br w:val="nil"/>
              <w:tr2bl w:val="nil"/>
            </w:tcBorders>
            <w:vAlign w:val="center"/>
          </w:tcPr>
          <w:p w14:paraId="004E915C">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val="0"/>
                <w:bCs w:val="0"/>
                <w:color w:val="auto"/>
                <w:spacing w:val="6"/>
                <w:highlight w:val="none"/>
                <w:lang w:val="en-US" w:eastAsia="zh-CN"/>
              </w:rPr>
            </w:pPr>
            <w:r>
              <w:rPr>
                <w:rFonts w:hint="default" w:ascii="Times New Roman" w:hAnsi="Times New Roman" w:cs="Times New Roman"/>
                <w:b w:val="0"/>
                <w:bCs w:val="0"/>
                <w:color w:val="auto"/>
                <w:spacing w:val="6"/>
                <w:highlight w:val="none"/>
                <w:lang w:val="en-US" w:eastAsia="zh-CN"/>
              </w:rPr>
              <w:t>三级</w:t>
            </w:r>
          </w:p>
        </w:tc>
        <w:tc>
          <w:tcPr>
            <w:tcW w:w="3031" w:type="dxa"/>
            <w:tcBorders>
              <w:tl2br w:val="nil"/>
              <w:tr2bl w:val="nil"/>
            </w:tcBorders>
            <w:vAlign w:val="center"/>
          </w:tcPr>
          <w:p w14:paraId="53520E46">
            <w:pPr>
              <w:pStyle w:val="35"/>
              <w:keepNext w:val="0"/>
              <w:keepLines w:val="0"/>
              <w:pageBreakBefore w:val="0"/>
              <w:widowControl w:val="0"/>
              <w:kinsoku/>
              <w:wordWrap w:val="0"/>
              <w:overflowPunct/>
              <w:topLinePunct/>
              <w:autoSpaceDE/>
              <w:autoSpaceDN/>
              <w:bidi w:val="0"/>
              <w:adjustRightInd w:val="0"/>
              <w:snapToGrid w:val="0"/>
              <w:spacing w:before="98" w:line="219" w:lineRule="auto"/>
              <w:jc w:val="center"/>
              <w:textAlignment w:val="baseline"/>
              <w:rPr>
                <w:rFonts w:hint="default" w:ascii="Times New Roman" w:hAnsi="Times New Roman" w:cs="Times New Roman"/>
                <w:b w:val="0"/>
                <w:bCs w:val="0"/>
                <w:color w:val="auto"/>
                <w:spacing w:val="6"/>
                <w:highlight w:val="none"/>
                <w:lang w:val="en-US" w:eastAsia="zh-CN"/>
              </w:rPr>
            </w:pPr>
            <w:r>
              <w:rPr>
                <w:rFonts w:hint="default" w:ascii="Times New Roman" w:hAnsi="Times New Roman" w:cs="Times New Roman"/>
                <w:b w:val="0"/>
                <w:bCs w:val="0"/>
                <w:color w:val="auto"/>
                <w:spacing w:val="6"/>
                <w:highlight w:val="none"/>
                <w:lang w:val="en-US" w:eastAsia="zh-CN"/>
              </w:rPr>
              <w:t>≤6</w:t>
            </w:r>
          </w:p>
        </w:tc>
        <w:tc>
          <w:tcPr>
            <w:tcW w:w="2652" w:type="dxa"/>
            <w:vMerge w:val="continue"/>
            <w:tcBorders>
              <w:tl2br w:val="nil"/>
              <w:tr2bl w:val="nil"/>
            </w:tcBorders>
            <w:vAlign w:val="center"/>
          </w:tcPr>
          <w:p w14:paraId="5EBEEF31">
            <w:pPr>
              <w:pStyle w:val="35"/>
              <w:keepNext w:val="0"/>
              <w:keepLines w:val="0"/>
              <w:pageBreakBefore w:val="0"/>
              <w:widowControl w:val="0"/>
              <w:kinsoku/>
              <w:wordWrap w:val="0"/>
              <w:overflowPunct/>
              <w:topLinePunct/>
              <w:autoSpaceDE/>
              <w:autoSpaceDN/>
              <w:bidi w:val="0"/>
              <w:adjustRightInd w:val="0"/>
              <w:snapToGrid w:val="0"/>
              <w:spacing w:before="98" w:line="219" w:lineRule="auto"/>
              <w:ind w:left="588"/>
              <w:textAlignment w:val="baseline"/>
              <w:rPr>
                <w:rFonts w:hint="default" w:ascii="Times New Roman" w:hAnsi="Times New Roman" w:cs="Times New Roman"/>
                <w:b w:val="0"/>
                <w:bCs w:val="0"/>
                <w:color w:val="auto"/>
                <w:spacing w:val="6"/>
                <w:highlight w:val="none"/>
                <w:lang w:val="en-US" w:eastAsia="zh-CN"/>
              </w:rPr>
            </w:pPr>
          </w:p>
        </w:tc>
      </w:tr>
    </w:tbl>
    <w:p w14:paraId="16F77258">
      <w:pPr>
        <w:keepNext w:val="0"/>
        <w:keepLines w:val="0"/>
        <w:pageBreakBefore w:val="0"/>
        <w:kinsoku/>
        <w:wordWrap w:val="0"/>
        <w:overflowPunct/>
        <w:topLinePunct/>
        <w:autoSpaceDE/>
        <w:autoSpaceDN/>
        <w:bidi w:val="0"/>
        <w:adjustRightInd w:val="0"/>
        <w:snapToGrid w:val="0"/>
        <w:spacing w:before="158" w:line="360" w:lineRule="auto"/>
        <w:ind w:left="274" w:right="247" w:firstLine="478"/>
        <w:jc w:val="both"/>
        <w:textAlignment w:val="baseline"/>
        <w:rPr>
          <w:rFonts w:hint="default" w:ascii="Times New Roman" w:hAnsi="Times New Roman" w:eastAsia="宋体" w:cs="Times New Roman"/>
          <w:color w:val="auto"/>
          <w:spacing w:val="-2"/>
          <w:sz w:val="24"/>
          <w:szCs w:val="24"/>
          <w:highlight w:val="none"/>
        </w:rPr>
      </w:pPr>
      <w:r>
        <w:rPr>
          <w:rFonts w:hint="default" w:ascii="Times New Roman" w:hAnsi="Times New Roman" w:eastAsia="宋体" w:cs="Times New Roman"/>
          <w:color w:val="auto"/>
          <w:spacing w:val="-2"/>
          <w:sz w:val="24"/>
          <w:szCs w:val="24"/>
          <w:highlight w:val="none"/>
        </w:rPr>
        <w:t>综上分析，拟建项目属于地下水环境影响评价分类的</w:t>
      </w:r>
      <w:r>
        <w:rPr>
          <w:rFonts w:hint="default" w:ascii="Times New Roman" w:hAnsi="Times New Roman" w:eastAsia="宋体" w:cs="Times New Roman"/>
          <w:color w:val="auto"/>
          <w:spacing w:val="-2"/>
          <w:sz w:val="24"/>
          <w:szCs w:val="24"/>
          <w:highlight w:val="none"/>
        </w:rPr>
        <w:fldChar w:fldCharType="begin"/>
      </w:r>
      <w:r>
        <w:rPr>
          <w:rFonts w:hint="default" w:ascii="Times New Roman" w:hAnsi="Times New Roman" w:eastAsia="宋体" w:cs="Times New Roman"/>
          <w:color w:val="auto"/>
          <w:spacing w:val="-2"/>
          <w:sz w:val="24"/>
          <w:szCs w:val="24"/>
          <w:highlight w:val="none"/>
        </w:rPr>
        <w:instrText xml:space="preserve"> = 3 \* ROMAN </w:instrText>
      </w:r>
      <w:r>
        <w:rPr>
          <w:rFonts w:hint="default" w:ascii="Times New Roman" w:hAnsi="Times New Roman" w:eastAsia="宋体" w:cs="Times New Roman"/>
          <w:color w:val="auto"/>
          <w:spacing w:val="-2"/>
          <w:sz w:val="24"/>
          <w:szCs w:val="24"/>
          <w:highlight w:val="none"/>
        </w:rPr>
        <w:fldChar w:fldCharType="separate"/>
      </w:r>
      <w:r>
        <w:rPr>
          <w:rFonts w:hint="default" w:ascii="Times New Roman" w:hAnsi="Times New Roman" w:eastAsia="宋体" w:cs="Times New Roman"/>
          <w:color w:val="auto"/>
          <w:spacing w:val="-2"/>
          <w:sz w:val="24"/>
          <w:szCs w:val="24"/>
          <w:highlight w:val="none"/>
        </w:rPr>
        <w:t>Ⅲ</w:t>
      </w:r>
      <w:r>
        <w:rPr>
          <w:rFonts w:hint="default" w:ascii="Times New Roman" w:hAnsi="Times New Roman" w:eastAsia="宋体" w:cs="Times New Roman"/>
          <w:color w:val="auto"/>
          <w:spacing w:val="-2"/>
          <w:sz w:val="24"/>
          <w:szCs w:val="24"/>
          <w:highlight w:val="none"/>
        </w:rPr>
        <w:fldChar w:fldCharType="end"/>
      </w:r>
      <w:r>
        <w:rPr>
          <w:rFonts w:hint="default" w:ascii="Times New Roman" w:hAnsi="Times New Roman" w:eastAsia="宋体" w:cs="Times New Roman"/>
          <w:color w:val="auto"/>
          <w:spacing w:val="-2"/>
          <w:sz w:val="24"/>
          <w:szCs w:val="24"/>
          <w:highlight w:val="none"/>
        </w:rPr>
        <w:t>类项目，地下水环境敏感程度为</w:t>
      </w:r>
      <w:r>
        <w:rPr>
          <w:rFonts w:hint="default" w:ascii="Times New Roman" w:hAnsi="Times New Roman" w:eastAsia="宋体" w:cs="Times New Roman"/>
          <w:color w:val="FF0000"/>
          <w:spacing w:val="-2"/>
          <w:sz w:val="24"/>
          <w:szCs w:val="24"/>
          <w:highlight w:val="none"/>
          <w:lang w:val="en-US" w:eastAsia="zh-CN"/>
        </w:rPr>
        <w:t>较</w:t>
      </w:r>
      <w:r>
        <w:rPr>
          <w:rFonts w:hint="default" w:ascii="Times New Roman" w:hAnsi="Times New Roman" w:eastAsia="宋体" w:cs="Times New Roman"/>
          <w:color w:val="FF0000"/>
          <w:spacing w:val="-2"/>
          <w:sz w:val="24"/>
          <w:szCs w:val="24"/>
          <w:highlight w:val="none"/>
        </w:rPr>
        <w:t>敏感</w:t>
      </w:r>
      <w:r>
        <w:rPr>
          <w:rFonts w:hint="default" w:ascii="Times New Roman" w:hAnsi="Times New Roman" w:eastAsia="宋体" w:cs="Times New Roman"/>
          <w:color w:val="auto"/>
          <w:spacing w:val="-2"/>
          <w:sz w:val="24"/>
          <w:szCs w:val="24"/>
          <w:highlight w:val="none"/>
        </w:rPr>
        <w:t>，因此评价工作等级确定为三级。</w:t>
      </w:r>
    </w:p>
    <w:p w14:paraId="61130B4E">
      <w:pPr>
        <w:keepNext w:val="0"/>
        <w:keepLines w:val="0"/>
        <w:pageBreakBefore w:val="0"/>
        <w:kinsoku/>
        <w:wordWrap w:val="0"/>
        <w:overflowPunct/>
        <w:topLinePunct/>
        <w:autoSpaceDE/>
        <w:autoSpaceDN/>
        <w:bidi w:val="0"/>
        <w:adjustRightInd w:val="0"/>
        <w:snapToGrid w:val="0"/>
        <w:spacing w:before="158" w:line="360" w:lineRule="auto"/>
        <w:ind w:right="247"/>
        <w:jc w:val="both"/>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75580" cy="3103880"/>
            <wp:effectExtent l="0" t="0" r="1270" b="127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
                    <pic:cNvPicPr>
                      <a:picLocks noChangeAspect="1"/>
                    </pic:cNvPicPr>
                  </pic:nvPicPr>
                  <pic:blipFill>
                    <a:blip r:embed="rId61"/>
                    <a:stretch>
                      <a:fillRect/>
                    </a:stretch>
                  </pic:blipFill>
                  <pic:spPr>
                    <a:xfrm>
                      <a:off x="0" y="0"/>
                      <a:ext cx="5275580" cy="3103880"/>
                    </a:xfrm>
                    <a:prstGeom prst="rect">
                      <a:avLst/>
                    </a:prstGeom>
                    <a:noFill/>
                    <a:ln>
                      <a:noFill/>
                    </a:ln>
                  </pic:spPr>
                </pic:pic>
              </a:graphicData>
            </a:graphic>
          </wp:inline>
        </w:drawing>
      </w:r>
    </w:p>
    <w:p w14:paraId="23E98AED">
      <w:pPr>
        <w:pStyle w:val="11"/>
        <w:jc w:val="center"/>
        <w:rPr>
          <w:rFonts w:hint="default" w:ascii="Times New Roman" w:hAnsi="Times New Roman" w:cs="Times New Roman"/>
          <w:b/>
          <w:bCs/>
          <w:color w:val="auto"/>
          <w:sz w:val="24"/>
          <w:szCs w:val="24"/>
          <w:highlight w:val="none"/>
          <w:lang w:val="en-US" w:eastAsia="zh-CN"/>
        </w:rPr>
      </w:pPr>
      <w:r>
        <w:rPr>
          <w:rFonts w:hint="default" w:ascii="Times New Roman" w:hAnsi="Times New Roman" w:cs="Times New Roman"/>
          <w:b/>
          <w:bCs/>
          <w:color w:val="auto"/>
          <w:sz w:val="24"/>
          <w:szCs w:val="24"/>
          <w:highlight w:val="none"/>
          <w:lang w:val="en-US" w:eastAsia="zh-CN"/>
        </w:rPr>
        <w:t>图2.5-3 地下水评价范围图</w:t>
      </w:r>
    </w:p>
    <w:p w14:paraId="0D7F0808">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3"/>
          <w:sz w:val="24"/>
          <w:szCs w:val="24"/>
          <w:highlight w:val="none"/>
        </w:rPr>
        <w:t>2.5.1.4</w:t>
      </w:r>
      <w:r>
        <w:rPr>
          <w:rFonts w:hint="default" w:ascii="Times New Roman" w:hAnsi="Times New Roman" w:eastAsia="宋体" w:cs="Times New Roman"/>
          <w:b/>
          <w:bCs/>
          <w:color w:val="auto"/>
          <w:spacing w:val="-3"/>
          <w:sz w:val="24"/>
          <w:szCs w:val="24"/>
          <w:highlight w:val="none"/>
        </w:rPr>
        <w:t>声环境</w:t>
      </w:r>
    </w:p>
    <w:p w14:paraId="3BD24200">
      <w:pPr>
        <w:keepNext w:val="0"/>
        <w:keepLines w:val="0"/>
        <w:pageBreakBefore w:val="0"/>
        <w:widowControl/>
        <w:kinsoku/>
        <w:wordWrap w:val="0"/>
        <w:overflowPunct/>
        <w:topLinePunct/>
        <w:autoSpaceDE/>
        <w:autoSpaceDN/>
        <w:bidi w:val="0"/>
        <w:adjustRightInd w:val="0"/>
        <w:snapToGrid w:val="0"/>
        <w:spacing w:line="360" w:lineRule="auto"/>
        <w:ind w:left="274" w:right="0" w:firstLine="478"/>
        <w:jc w:val="left"/>
        <w:textAlignment w:val="baseline"/>
        <w:rPr>
          <w:rFonts w:hint="default" w:ascii="Times New Roman" w:hAnsi="Times New Roman" w:eastAsia="宋体" w:cs="Times New Roman"/>
          <w:color w:val="auto"/>
          <w:spacing w:val="-2"/>
          <w:sz w:val="24"/>
          <w:szCs w:val="24"/>
          <w:highlight w:val="none"/>
        </w:rPr>
      </w:pPr>
      <w:r>
        <w:rPr>
          <w:rFonts w:hint="default" w:ascii="Times New Roman" w:hAnsi="Times New Roman" w:eastAsia="宋体" w:cs="Times New Roman"/>
          <w:color w:val="auto"/>
          <w:spacing w:val="2"/>
          <w:sz w:val="24"/>
          <w:szCs w:val="24"/>
          <w:highlight w:val="none"/>
        </w:rPr>
        <w:t>根据《环境影响评价技术导则声环境》（</w:t>
      </w:r>
      <w:r>
        <w:rPr>
          <w:rFonts w:hint="default" w:ascii="Times New Roman" w:hAnsi="Times New Roman" w:eastAsia="Times New Roman" w:cs="Times New Roman"/>
          <w:color w:val="auto"/>
          <w:sz w:val="24"/>
          <w:szCs w:val="24"/>
          <w:highlight w:val="none"/>
        </w:rPr>
        <w:t>HJ</w:t>
      </w:r>
      <w:r>
        <w:rPr>
          <w:rFonts w:hint="default" w:ascii="Times New Roman" w:hAnsi="Times New Roman" w:eastAsia="Times New Roman" w:cs="Times New Roman"/>
          <w:color w:val="auto"/>
          <w:spacing w:val="2"/>
          <w:sz w:val="24"/>
          <w:szCs w:val="24"/>
          <w:highlight w:val="none"/>
        </w:rPr>
        <w:t>2.4-2021</w:t>
      </w:r>
      <w:r>
        <w:rPr>
          <w:rFonts w:hint="default" w:ascii="Times New Roman" w:hAnsi="Times New Roman" w:eastAsia="宋体" w:cs="Times New Roman"/>
          <w:color w:val="auto"/>
          <w:spacing w:val="2"/>
          <w:sz w:val="24"/>
          <w:szCs w:val="24"/>
          <w:highlight w:val="none"/>
        </w:rPr>
        <w:t>）中规定的声环境影响评</w:t>
      </w:r>
      <w:r>
        <w:rPr>
          <w:rFonts w:hint="default" w:ascii="Times New Roman" w:hAnsi="Times New Roman" w:eastAsia="宋体" w:cs="Times New Roman"/>
          <w:color w:val="auto"/>
          <w:spacing w:val="-2"/>
          <w:sz w:val="24"/>
          <w:szCs w:val="24"/>
          <w:highlight w:val="none"/>
        </w:rPr>
        <w:t>价工作等级划分的基本原则：建设项目所处的声环境功能区为</w:t>
      </w:r>
      <w:r>
        <w:rPr>
          <w:rFonts w:hint="default" w:ascii="Times New Roman" w:hAnsi="Times New Roman" w:eastAsia="Times New Roman" w:cs="Times New Roman"/>
          <w:color w:val="auto"/>
          <w:spacing w:val="-2"/>
          <w:sz w:val="24"/>
          <w:szCs w:val="24"/>
          <w:highlight w:val="none"/>
        </w:rPr>
        <w:t>GB3096</w:t>
      </w:r>
      <w:r>
        <w:rPr>
          <w:rFonts w:hint="default" w:ascii="Times New Roman" w:hAnsi="Times New Roman" w:eastAsia="宋体" w:cs="Times New Roman"/>
          <w:color w:val="auto"/>
          <w:spacing w:val="-3"/>
          <w:sz w:val="24"/>
          <w:szCs w:val="24"/>
          <w:highlight w:val="none"/>
        </w:rPr>
        <w:t>规定的</w:t>
      </w:r>
      <w:r>
        <w:rPr>
          <w:rFonts w:hint="default" w:ascii="Times New Roman" w:hAnsi="Times New Roman" w:eastAsia="宋体" w:cs="Times New Roman"/>
          <w:color w:val="FF0000"/>
          <w:spacing w:val="-3"/>
          <w:sz w:val="24"/>
          <w:szCs w:val="24"/>
          <w:highlight w:val="none"/>
          <w:lang w:val="en-US" w:eastAsia="zh-CN"/>
        </w:rPr>
        <w:t>1</w:t>
      </w:r>
      <w:r>
        <w:rPr>
          <w:rFonts w:hint="default" w:ascii="Times New Roman" w:hAnsi="Times New Roman" w:eastAsia="宋体" w:cs="Times New Roman"/>
          <w:color w:val="FF0000"/>
          <w:spacing w:val="-3"/>
          <w:sz w:val="24"/>
          <w:szCs w:val="24"/>
          <w:highlight w:val="none"/>
        </w:rPr>
        <w:t>类</w:t>
      </w:r>
      <w:r>
        <w:rPr>
          <w:rFonts w:hint="default" w:ascii="Times New Roman" w:hAnsi="Times New Roman" w:eastAsia="宋体" w:cs="Times New Roman"/>
          <w:color w:val="auto"/>
          <w:spacing w:val="-3"/>
          <w:sz w:val="24"/>
          <w:szCs w:val="24"/>
          <w:highlight w:val="none"/>
        </w:rPr>
        <w:t>地区，或建设项目建设前后评价范围内敏感目标噪声级增高量达</w:t>
      </w:r>
      <w:r>
        <w:rPr>
          <w:rFonts w:hint="default" w:ascii="Times New Roman" w:hAnsi="Times New Roman" w:eastAsia="Times New Roman" w:cs="Times New Roman"/>
          <w:color w:val="auto"/>
          <w:spacing w:val="-3"/>
          <w:sz w:val="24"/>
          <w:szCs w:val="24"/>
          <w:highlight w:val="none"/>
        </w:rPr>
        <w:t>3</w:t>
      </w:r>
      <w:r>
        <w:rPr>
          <w:rFonts w:hint="default" w:ascii="Times New Roman" w:hAnsi="Times New Roman" w:eastAsia="Times New Roman" w:cs="Times New Roman"/>
          <w:color w:val="auto"/>
          <w:spacing w:val="-4"/>
          <w:sz w:val="24"/>
          <w:szCs w:val="24"/>
          <w:highlight w:val="none"/>
        </w:rPr>
        <w:t>dB</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Times New Roman" w:cs="Times New Roman"/>
          <w:color w:val="auto"/>
          <w:spacing w:val="-4"/>
          <w:sz w:val="24"/>
          <w:szCs w:val="24"/>
          <w:highlight w:val="none"/>
        </w:rPr>
        <w:t>A</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Times New Roman" w:cs="Times New Roman"/>
          <w:color w:val="auto"/>
          <w:spacing w:val="-4"/>
          <w:sz w:val="24"/>
          <w:szCs w:val="24"/>
          <w:highlight w:val="none"/>
        </w:rPr>
        <w:t>~5dB</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Times New Roman" w:cs="Times New Roman"/>
          <w:color w:val="auto"/>
          <w:spacing w:val="-4"/>
          <w:sz w:val="24"/>
          <w:szCs w:val="24"/>
          <w:highlight w:val="none"/>
        </w:rPr>
        <w:t>A</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含</w:t>
      </w:r>
      <w:r>
        <w:rPr>
          <w:rFonts w:hint="default" w:ascii="Times New Roman" w:hAnsi="Times New Roman" w:eastAsia="Times New Roman" w:cs="Times New Roman"/>
          <w:color w:val="auto"/>
          <w:spacing w:val="-4"/>
          <w:sz w:val="24"/>
          <w:szCs w:val="24"/>
          <w:highlight w:val="none"/>
        </w:rPr>
        <w:t>5dB</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A</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rPr>
        <w:t>，或受噪声影响人口数量增加较多时按二级评价。本项目所在声环</w:t>
      </w:r>
      <w:r>
        <w:rPr>
          <w:rFonts w:hint="default" w:ascii="Times New Roman" w:hAnsi="Times New Roman" w:eastAsia="宋体" w:cs="Times New Roman"/>
          <w:color w:val="auto"/>
          <w:spacing w:val="-4"/>
          <w:sz w:val="24"/>
          <w:szCs w:val="24"/>
          <w:highlight w:val="none"/>
        </w:rPr>
        <w:t>境功能区为</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GB3096-2008</w:t>
      </w:r>
      <w:r>
        <w:rPr>
          <w:rFonts w:hint="default" w:ascii="Times New Roman" w:hAnsi="Times New Roman" w:eastAsia="宋体" w:cs="Times New Roman"/>
          <w:color w:val="auto"/>
          <w:spacing w:val="-1"/>
          <w:sz w:val="24"/>
          <w:szCs w:val="24"/>
          <w:highlight w:val="none"/>
        </w:rPr>
        <w:t>）规定的</w:t>
      </w:r>
      <w:r>
        <w:rPr>
          <w:rFonts w:hint="default" w:ascii="Times New Roman" w:hAnsi="Times New Roman" w:eastAsia="宋体" w:cs="Times New Roman"/>
          <w:color w:val="FF0000"/>
          <w:spacing w:val="-1"/>
          <w:sz w:val="24"/>
          <w:szCs w:val="24"/>
          <w:highlight w:val="none"/>
          <w:lang w:val="en-US" w:eastAsia="zh-CN"/>
        </w:rPr>
        <w:t>1</w:t>
      </w:r>
      <w:r>
        <w:rPr>
          <w:rFonts w:hint="default" w:ascii="Times New Roman" w:hAnsi="Times New Roman" w:eastAsia="宋体" w:cs="Times New Roman"/>
          <w:color w:val="FF0000"/>
          <w:spacing w:val="-1"/>
          <w:sz w:val="24"/>
          <w:szCs w:val="24"/>
          <w:highlight w:val="none"/>
        </w:rPr>
        <w:t>类</w:t>
      </w:r>
      <w:r>
        <w:rPr>
          <w:rFonts w:hint="default" w:ascii="Times New Roman" w:hAnsi="Times New Roman" w:eastAsia="宋体" w:cs="Times New Roman"/>
          <w:color w:val="auto"/>
          <w:spacing w:val="-1"/>
          <w:sz w:val="24"/>
          <w:szCs w:val="24"/>
          <w:highlight w:val="none"/>
        </w:rPr>
        <w:t>功能区，因此确定声环境影响评价工作等级为二级。详</w:t>
      </w:r>
      <w:r>
        <w:rPr>
          <w:rFonts w:hint="default" w:ascii="Times New Roman" w:hAnsi="Times New Roman" w:eastAsia="宋体" w:cs="Times New Roman"/>
          <w:color w:val="auto"/>
          <w:spacing w:val="-2"/>
          <w:sz w:val="24"/>
          <w:szCs w:val="24"/>
          <w:highlight w:val="none"/>
        </w:rPr>
        <w:t>见表</w:t>
      </w:r>
      <w:r>
        <w:rPr>
          <w:rFonts w:hint="default" w:ascii="Times New Roman" w:hAnsi="Times New Roman" w:eastAsia="Times New Roman" w:cs="Times New Roman"/>
          <w:color w:val="auto"/>
          <w:spacing w:val="-2"/>
          <w:sz w:val="24"/>
          <w:szCs w:val="24"/>
          <w:highlight w:val="none"/>
        </w:rPr>
        <w:t>2.5-1</w:t>
      </w:r>
      <w:r>
        <w:rPr>
          <w:rFonts w:hint="eastAsia" w:ascii="Times New Roman" w:hAnsi="Times New Roman" w:eastAsia="宋体" w:cs="Times New Roman"/>
          <w:color w:val="auto"/>
          <w:spacing w:val="-2"/>
          <w:sz w:val="24"/>
          <w:szCs w:val="24"/>
          <w:highlight w:val="none"/>
          <w:lang w:val="en-US" w:eastAsia="zh-CN"/>
        </w:rPr>
        <w:t>3</w:t>
      </w:r>
      <w:r>
        <w:rPr>
          <w:rFonts w:hint="default" w:ascii="Times New Roman" w:hAnsi="Times New Roman" w:eastAsia="宋体" w:cs="Times New Roman"/>
          <w:color w:val="auto"/>
          <w:spacing w:val="-2"/>
          <w:sz w:val="24"/>
          <w:szCs w:val="24"/>
          <w:highlight w:val="none"/>
        </w:rPr>
        <w:t>。</w:t>
      </w:r>
    </w:p>
    <w:p w14:paraId="198F262F">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w:t>
      </w:r>
      <w:r>
        <w:rPr>
          <w:rFonts w:hint="default" w:ascii="Times New Roman" w:hAnsi="Times New Roman" w:eastAsia="宋体" w:cs="Times New Roman"/>
          <w:b/>
          <w:bCs/>
          <w:color w:val="auto"/>
          <w:spacing w:val="-1"/>
          <w:sz w:val="24"/>
          <w:szCs w:val="24"/>
          <w:highlight w:val="none"/>
          <w:lang w:val="en-US" w:eastAsia="zh-CN"/>
        </w:rPr>
        <w:t>1</w:t>
      </w:r>
      <w:r>
        <w:rPr>
          <w:rFonts w:hint="eastAsia"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宋体" w:cs="Times New Roman"/>
          <w:b/>
          <w:bCs/>
          <w:color w:val="auto"/>
          <w:spacing w:val="-1"/>
          <w:sz w:val="24"/>
          <w:szCs w:val="24"/>
          <w:highlight w:val="none"/>
        </w:rPr>
        <w:t>声环境评价工作等级判断表</w:t>
      </w:r>
    </w:p>
    <w:tbl>
      <w:tblPr>
        <w:tblStyle w:val="34"/>
        <w:tblW w:w="9018"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1980"/>
        <w:gridCol w:w="7038"/>
      </w:tblGrid>
      <w:tr w14:paraId="1716855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980" w:type="dxa"/>
            <w:tcBorders>
              <w:tl2br w:val="nil"/>
              <w:tr2bl w:val="nil"/>
            </w:tcBorders>
            <w:vAlign w:val="center"/>
          </w:tcPr>
          <w:p w14:paraId="228BFAF1">
            <w:pPr>
              <w:pStyle w:val="35"/>
              <w:keepNext w:val="0"/>
              <w:keepLines w:val="0"/>
              <w:pageBreakBefore w:val="0"/>
              <w:widowControl/>
              <w:kinsoku/>
              <w:wordWrap w:val="0"/>
              <w:overflowPunct/>
              <w:topLinePunct/>
              <w:autoSpaceDE/>
              <w:autoSpaceDN/>
              <w:bidi w:val="0"/>
              <w:adjustRightInd w:val="0"/>
              <w:snapToGrid w:val="0"/>
              <w:spacing w:line="222" w:lineRule="auto"/>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环境因素</w:t>
            </w:r>
          </w:p>
        </w:tc>
        <w:tc>
          <w:tcPr>
            <w:tcW w:w="7038" w:type="dxa"/>
            <w:tcBorders>
              <w:tl2br w:val="nil"/>
              <w:tr2bl w:val="nil"/>
            </w:tcBorders>
            <w:vAlign w:val="center"/>
          </w:tcPr>
          <w:p w14:paraId="377C032B">
            <w:pPr>
              <w:pStyle w:val="35"/>
              <w:keepNext w:val="0"/>
              <w:keepLines w:val="0"/>
              <w:pageBreakBefore w:val="0"/>
              <w:widowControl/>
              <w:kinsoku/>
              <w:wordWrap w:val="0"/>
              <w:overflowPunct/>
              <w:topLinePunct/>
              <w:autoSpaceDE/>
              <w:autoSpaceDN/>
              <w:bidi w:val="0"/>
              <w:adjustRightInd w:val="0"/>
              <w:snapToGrid w:val="0"/>
              <w:spacing w:line="221" w:lineRule="auto"/>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评价分级判据</w:t>
            </w:r>
          </w:p>
        </w:tc>
      </w:tr>
      <w:tr w14:paraId="6054E45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980" w:type="dxa"/>
            <w:tcBorders>
              <w:tl2br w:val="nil"/>
              <w:tr2bl w:val="nil"/>
            </w:tcBorders>
            <w:vAlign w:val="center"/>
          </w:tcPr>
          <w:p w14:paraId="65C41D97">
            <w:pPr>
              <w:keepNext w:val="0"/>
              <w:keepLines w:val="0"/>
              <w:pageBreakBefore w:val="0"/>
              <w:widowControl/>
              <w:kinsoku/>
              <w:wordWrap w:val="0"/>
              <w:overflowPunct/>
              <w:topLinePunct/>
              <w:autoSpaceDE/>
              <w:autoSpaceDN/>
              <w:bidi w:val="0"/>
              <w:adjustRightInd w:val="0"/>
              <w:snapToGrid w:val="0"/>
              <w:spacing w:line="356" w:lineRule="auto"/>
              <w:ind w:right="106"/>
              <w:jc w:val="center"/>
              <w:textAlignment w:val="baseline"/>
              <w:rPr>
                <w:rFonts w:hint="default" w:ascii="Times New Roman" w:hAnsi="Times New Roman" w:eastAsia="宋体" w:cs="Times New Roman"/>
                <w:snapToGrid w:val="0"/>
                <w:color w:val="auto"/>
                <w:spacing w:val="-2"/>
                <w:kern w:val="0"/>
                <w:sz w:val="21"/>
                <w:szCs w:val="21"/>
                <w:highlight w:val="none"/>
                <w:lang w:val="en-US" w:eastAsia="en-US"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一级</w:t>
            </w:r>
          </w:p>
        </w:tc>
        <w:tc>
          <w:tcPr>
            <w:tcW w:w="7038" w:type="dxa"/>
            <w:tcBorders>
              <w:tl2br w:val="nil"/>
              <w:tr2bl w:val="nil"/>
            </w:tcBorders>
            <w:vAlign w:val="center"/>
          </w:tcPr>
          <w:p w14:paraId="7C3103E4">
            <w:pPr>
              <w:keepNext w:val="0"/>
              <w:keepLines w:val="0"/>
              <w:pageBreakBefore w:val="0"/>
              <w:widowControl/>
              <w:kinsoku/>
              <w:wordWrap w:val="0"/>
              <w:overflowPunct/>
              <w:topLinePunct/>
              <w:autoSpaceDE/>
              <w:autoSpaceDN/>
              <w:bidi w:val="0"/>
              <w:adjustRightInd w:val="0"/>
              <w:snapToGrid w:val="0"/>
              <w:spacing w:line="240" w:lineRule="auto"/>
              <w:ind w:right="0"/>
              <w:jc w:val="left"/>
              <w:textAlignment w:val="baseline"/>
              <w:rPr>
                <w:rFonts w:hint="default" w:ascii="Times New Roman" w:hAnsi="Times New Roman" w:eastAsia="宋体" w:cs="Times New Roman"/>
                <w:snapToGrid w:val="0"/>
                <w:color w:val="auto"/>
                <w:spacing w:val="-2"/>
                <w:kern w:val="0"/>
                <w:sz w:val="21"/>
                <w:szCs w:val="21"/>
                <w:highlight w:val="none"/>
                <w:lang w:val="en-US" w:eastAsia="en-US"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评价范围内有适用于GB3096规定的0类声环境功能区域，以及对噪声有特别限制要求的保护区等敏感目标，或建设项目建设前后评价范围内敏感目标噪声级增高量达5dB（A）以上[不含5dB（A）]，或受影响人口数量显著增多时，按一级评价。</w:t>
            </w:r>
          </w:p>
        </w:tc>
      </w:tr>
      <w:tr w14:paraId="6BFF89D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980" w:type="dxa"/>
            <w:tcBorders>
              <w:tl2br w:val="nil"/>
              <w:tr2bl w:val="nil"/>
            </w:tcBorders>
            <w:vAlign w:val="center"/>
          </w:tcPr>
          <w:p w14:paraId="57BF1125">
            <w:pPr>
              <w:pStyle w:val="35"/>
              <w:keepNext w:val="0"/>
              <w:keepLines w:val="0"/>
              <w:pageBreakBefore w:val="0"/>
              <w:widowControl/>
              <w:kinsoku/>
              <w:wordWrap w:val="0"/>
              <w:overflowPunct/>
              <w:topLinePunct/>
              <w:autoSpaceDE/>
              <w:autoSpaceDN/>
              <w:bidi w:val="0"/>
              <w:adjustRightInd w:val="0"/>
              <w:snapToGrid w:val="0"/>
              <w:spacing w:line="234" w:lineRule="auto"/>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二级</w:t>
            </w:r>
          </w:p>
        </w:tc>
        <w:tc>
          <w:tcPr>
            <w:tcW w:w="7038" w:type="dxa"/>
            <w:tcBorders>
              <w:tl2br w:val="nil"/>
              <w:tr2bl w:val="nil"/>
            </w:tcBorders>
            <w:vAlign w:val="center"/>
          </w:tcPr>
          <w:p w14:paraId="05A8E7D1">
            <w:pPr>
              <w:keepNext w:val="0"/>
              <w:keepLines w:val="0"/>
              <w:pageBreakBefore w:val="0"/>
              <w:widowControl/>
              <w:kinsoku/>
              <w:wordWrap w:val="0"/>
              <w:overflowPunct/>
              <w:topLinePunct/>
              <w:autoSpaceDE/>
              <w:autoSpaceDN/>
              <w:bidi w:val="0"/>
              <w:adjustRightInd w:val="0"/>
              <w:snapToGrid w:val="0"/>
              <w:spacing w:line="240" w:lineRule="auto"/>
              <w:ind w:right="0"/>
              <w:jc w:val="left"/>
              <w:textAlignment w:val="baseline"/>
              <w:rPr>
                <w:rFonts w:hint="default" w:ascii="Times New Roman" w:hAnsi="Times New Roman" w:eastAsia="宋体" w:cs="Times New Roman"/>
                <w:snapToGrid w:val="0"/>
                <w:color w:val="auto"/>
                <w:spacing w:val="-2"/>
                <w:kern w:val="0"/>
                <w:sz w:val="21"/>
                <w:szCs w:val="21"/>
                <w:highlight w:val="none"/>
                <w:lang w:val="en-US" w:eastAsia="en-US"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建设项目所处的声环境功能区为GB3096规定的1类、2类地区，或建设项目建设前后评价范围内敏感目标噪声级增高量达3～5dB（A）[含5dB（A）]，或受噪声影响人口数量增加较多时，按二级评价。</w:t>
            </w:r>
          </w:p>
        </w:tc>
      </w:tr>
      <w:tr w14:paraId="5812763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980" w:type="dxa"/>
            <w:tcBorders>
              <w:tl2br w:val="nil"/>
              <w:tr2bl w:val="nil"/>
            </w:tcBorders>
            <w:vAlign w:val="center"/>
          </w:tcPr>
          <w:p w14:paraId="441A008B">
            <w:pPr>
              <w:pStyle w:val="35"/>
              <w:keepNext w:val="0"/>
              <w:keepLines w:val="0"/>
              <w:pageBreakBefore w:val="0"/>
              <w:widowControl/>
              <w:kinsoku/>
              <w:wordWrap w:val="0"/>
              <w:overflowPunct/>
              <w:topLinePunct/>
              <w:autoSpaceDE/>
              <w:autoSpaceDN/>
              <w:bidi w:val="0"/>
              <w:adjustRightInd w:val="0"/>
              <w:snapToGrid w:val="0"/>
              <w:spacing w:line="234" w:lineRule="auto"/>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三级</w:t>
            </w:r>
          </w:p>
        </w:tc>
        <w:tc>
          <w:tcPr>
            <w:tcW w:w="7038" w:type="dxa"/>
            <w:tcBorders>
              <w:tl2br w:val="nil"/>
              <w:tr2bl w:val="nil"/>
            </w:tcBorders>
            <w:vAlign w:val="center"/>
          </w:tcPr>
          <w:p w14:paraId="5CD47BEE">
            <w:pPr>
              <w:keepNext w:val="0"/>
              <w:keepLines w:val="0"/>
              <w:pageBreakBefore w:val="0"/>
              <w:widowControl/>
              <w:kinsoku/>
              <w:wordWrap w:val="0"/>
              <w:overflowPunct/>
              <w:topLinePunct/>
              <w:autoSpaceDE/>
              <w:autoSpaceDN/>
              <w:bidi w:val="0"/>
              <w:adjustRightInd w:val="0"/>
              <w:snapToGrid w:val="0"/>
              <w:spacing w:line="240" w:lineRule="auto"/>
              <w:ind w:right="0"/>
              <w:jc w:val="left"/>
              <w:textAlignment w:val="baseline"/>
              <w:rPr>
                <w:rFonts w:hint="default" w:ascii="Times New Roman" w:hAnsi="Times New Roman" w:eastAsia="宋体" w:cs="Times New Roman"/>
                <w:snapToGrid w:val="0"/>
                <w:color w:val="auto"/>
                <w:spacing w:val="-2"/>
                <w:kern w:val="0"/>
                <w:sz w:val="21"/>
                <w:szCs w:val="21"/>
                <w:highlight w:val="none"/>
                <w:lang w:val="en-US" w:eastAsia="en-US"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建设项目所处的声环境功能区为GB3096规定的3类、4类地区，或建设项目建设前后评价范围内敏感目标噪声级增高量在3dB（A）以下[不含3dB（A）]，且受影响人口数量变化不大时，按三级评价。</w:t>
            </w:r>
          </w:p>
        </w:tc>
      </w:tr>
    </w:tbl>
    <w:p w14:paraId="72E5A88F">
      <w:pPr>
        <w:keepNext w:val="0"/>
        <w:keepLines w:val="0"/>
        <w:pageBreakBefore w:val="0"/>
        <w:kinsoku/>
        <w:wordWrap w:val="0"/>
        <w:overflowPunct/>
        <w:topLinePunct/>
        <w:autoSpaceDE/>
        <w:autoSpaceDN/>
        <w:bidi w:val="0"/>
        <w:adjustRightInd w:val="0"/>
        <w:snapToGrid w:val="0"/>
        <w:spacing w:before="180" w:line="356" w:lineRule="auto"/>
        <w:ind w:left="132" w:right="106" w:firstLine="478"/>
        <w:jc w:val="both"/>
        <w:textAlignment w:val="baseline"/>
        <w:rPr>
          <w:rFonts w:hint="default" w:ascii="Times New Roman" w:hAnsi="Times New Roman" w:eastAsia="宋体" w:cs="Times New Roman"/>
          <w:color w:val="auto"/>
          <w:spacing w:val="-2"/>
          <w:sz w:val="24"/>
          <w:szCs w:val="24"/>
          <w:highlight w:val="none"/>
          <w:lang w:val="en-US" w:eastAsia="zh-CN"/>
        </w:rPr>
      </w:pPr>
      <w:r>
        <w:rPr>
          <w:rFonts w:hint="default" w:ascii="Times New Roman" w:hAnsi="Times New Roman" w:eastAsia="宋体" w:cs="Times New Roman"/>
          <w:color w:val="auto"/>
          <w:spacing w:val="-2"/>
          <w:sz w:val="24"/>
          <w:szCs w:val="24"/>
          <w:highlight w:val="none"/>
          <w:lang w:val="en-US" w:eastAsia="zh-CN"/>
        </w:rPr>
        <w:t>本项目所在的声环境功能区为《声环境质量标准》（GB3096-2008）中的1类区，项目建设前后评价范围内受噪声影响人口数量变化不大，由此判定本项目声环境评价工作等级确定为二级。</w:t>
      </w:r>
    </w:p>
    <w:p w14:paraId="6BCC3F61">
      <w:pPr>
        <w:pStyle w:val="11"/>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72405" cy="2679065"/>
            <wp:effectExtent l="0" t="0" r="4445" b="6985"/>
            <wp:docPr id="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9"/>
                    <pic:cNvPicPr>
                      <a:picLocks noChangeAspect="1"/>
                    </pic:cNvPicPr>
                  </pic:nvPicPr>
                  <pic:blipFill>
                    <a:blip r:embed="rId62"/>
                    <a:stretch>
                      <a:fillRect/>
                    </a:stretch>
                  </pic:blipFill>
                  <pic:spPr>
                    <a:xfrm>
                      <a:off x="0" y="0"/>
                      <a:ext cx="5272405" cy="2679065"/>
                    </a:xfrm>
                    <a:prstGeom prst="rect">
                      <a:avLst/>
                    </a:prstGeom>
                    <a:noFill/>
                    <a:ln>
                      <a:noFill/>
                    </a:ln>
                  </pic:spPr>
                </pic:pic>
              </a:graphicData>
            </a:graphic>
          </wp:inline>
        </w:drawing>
      </w:r>
    </w:p>
    <w:p w14:paraId="77D760FC">
      <w:pPr>
        <w:pStyle w:val="11"/>
        <w:jc w:val="center"/>
        <w:rPr>
          <w:rFonts w:hint="default" w:ascii="Times New Roman" w:hAnsi="Times New Roman" w:cs="Times New Roman"/>
          <w:b/>
          <w:bCs/>
          <w:color w:val="auto"/>
          <w:sz w:val="24"/>
          <w:szCs w:val="24"/>
          <w:highlight w:val="none"/>
          <w:lang w:val="en-US" w:eastAsia="zh-CN"/>
        </w:rPr>
      </w:pPr>
      <w:r>
        <w:rPr>
          <w:rFonts w:hint="default" w:ascii="Times New Roman" w:hAnsi="Times New Roman" w:cs="Times New Roman"/>
          <w:b/>
          <w:bCs/>
          <w:color w:val="auto"/>
          <w:sz w:val="24"/>
          <w:szCs w:val="24"/>
          <w:highlight w:val="none"/>
          <w:lang w:val="en-US" w:eastAsia="zh-CN"/>
        </w:rPr>
        <w:t>图2.5-4 噪声评价范围图</w:t>
      </w:r>
    </w:p>
    <w:p w14:paraId="7E87B6B3">
      <w:pPr>
        <w:keepNext w:val="0"/>
        <w:keepLines w:val="0"/>
        <w:pageBreakBefore w:val="0"/>
        <w:kinsoku/>
        <w:wordWrap w:val="0"/>
        <w:overflowPunct/>
        <w:topLinePunct/>
        <w:autoSpaceDE/>
        <w:autoSpaceDN/>
        <w:bidi w:val="0"/>
        <w:adjustRightInd w:val="0"/>
        <w:snapToGrid w:val="0"/>
        <w:spacing w:before="33" w:line="234" w:lineRule="auto"/>
        <w:ind w:left="128"/>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2.5.1.5</w:t>
      </w:r>
      <w:r>
        <w:rPr>
          <w:rFonts w:hint="default" w:ascii="Times New Roman" w:hAnsi="Times New Roman" w:eastAsia="宋体" w:cs="Times New Roman"/>
          <w:b/>
          <w:bCs/>
          <w:color w:val="auto"/>
          <w:spacing w:val="-1"/>
          <w:sz w:val="24"/>
          <w:szCs w:val="24"/>
          <w:highlight w:val="none"/>
        </w:rPr>
        <w:t>土壤环境</w:t>
      </w:r>
    </w:p>
    <w:p w14:paraId="46802F8B">
      <w:pPr>
        <w:keepNext w:val="0"/>
        <w:keepLines w:val="0"/>
        <w:pageBreakBefore w:val="0"/>
        <w:kinsoku/>
        <w:wordWrap w:val="0"/>
        <w:overflowPunct/>
        <w:topLinePunct/>
        <w:autoSpaceDE/>
        <w:autoSpaceDN/>
        <w:bidi w:val="0"/>
        <w:adjustRightInd w:val="0"/>
        <w:snapToGrid w:val="0"/>
        <w:spacing w:before="163" w:line="220" w:lineRule="auto"/>
        <w:ind w:left="615"/>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lang w:eastAsia="zh-CN"/>
        </w:rPr>
        <w:t>（</w:t>
      </w:r>
      <w:r>
        <w:rPr>
          <w:rFonts w:hint="default" w:ascii="Times New Roman" w:hAnsi="Times New Roman" w:eastAsia="宋体" w:cs="Times New Roman"/>
          <w:color w:val="auto"/>
          <w:spacing w:val="-5"/>
          <w:sz w:val="24"/>
          <w:szCs w:val="24"/>
          <w:highlight w:val="none"/>
          <w:lang w:val="en-US" w:eastAsia="zh-CN"/>
        </w:rPr>
        <w:t>1</w:t>
      </w:r>
      <w:r>
        <w:rPr>
          <w:rFonts w:hint="default" w:ascii="Times New Roman" w:hAnsi="Times New Roman" w:eastAsia="宋体" w:cs="Times New Roman"/>
          <w:color w:val="auto"/>
          <w:spacing w:val="-5"/>
          <w:sz w:val="24"/>
          <w:szCs w:val="24"/>
          <w:highlight w:val="none"/>
          <w:lang w:eastAsia="zh-CN"/>
        </w:rPr>
        <w:t>）</w:t>
      </w:r>
      <w:r>
        <w:rPr>
          <w:rFonts w:hint="default" w:ascii="Times New Roman" w:hAnsi="Times New Roman" w:eastAsia="宋体" w:cs="Times New Roman"/>
          <w:color w:val="auto"/>
          <w:spacing w:val="-5"/>
          <w:sz w:val="24"/>
          <w:szCs w:val="24"/>
          <w:highlight w:val="none"/>
        </w:rPr>
        <w:t>项目类别</w:t>
      </w:r>
    </w:p>
    <w:p w14:paraId="55E31E0F">
      <w:pPr>
        <w:keepNext w:val="0"/>
        <w:keepLines w:val="0"/>
        <w:pageBreakBefore w:val="0"/>
        <w:kinsoku/>
        <w:wordWrap w:val="0"/>
        <w:overflowPunct/>
        <w:topLinePunct/>
        <w:autoSpaceDE/>
        <w:autoSpaceDN/>
        <w:bidi w:val="0"/>
        <w:adjustRightInd w:val="0"/>
        <w:snapToGrid w:val="0"/>
        <w:spacing w:before="180" w:line="356" w:lineRule="auto"/>
        <w:ind w:left="132" w:right="106" w:firstLine="478"/>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2"/>
          <w:sz w:val="24"/>
          <w:szCs w:val="24"/>
          <w:highlight w:val="none"/>
        </w:rPr>
        <w:t>根据《环境影响评价技术导则土壤环境》（试行</w:t>
      </w:r>
      <w:r>
        <w:rPr>
          <w:rFonts w:hint="default" w:ascii="Times New Roman" w:hAnsi="Times New Roman" w:eastAsia="宋体" w:cs="Times New Roman"/>
          <w:color w:val="auto"/>
          <w:spacing w:val="-11"/>
          <w:sz w:val="24"/>
          <w:szCs w:val="24"/>
          <w:highlight w:val="none"/>
        </w:rPr>
        <w:t>）（</w:t>
      </w:r>
      <w:r>
        <w:rPr>
          <w:rFonts w:hint="default" w:ascii="Times New Roman" w:hAnsi="Times New Roman" w:eastAsia="Times New Roman" w:cs="Times New Roman"/>
          <w:color w:val="auto"/>
          <w:spacing w:val="-2"/>
          <w:sz w:val="24"/>
          <w:szCs w:val="24"/>
          <w:highlight w:val="none"/>
        </w:rPr>
        <w:t>HJ964-2018</w:t>
      </w:r>
      <w:r>
        <w:rPr>
          <w:rFonts w:hint="default" w:ascii="Times New Roman" w:hAnsi="Times New Roman" w:eastAsia="宋体" w:cs="Times New Roman"/>
          <w:color w:val="auto"/>
          <w:spacing w:val="-2"/>
          <w:sz w:val="24"/>
          <w:szCs w:val="24"/>
          <w:highlight w:val="none"/>
        </w:rPr>
        <w:t>）附录</w:t>
      </w:r>
      <w:r>
        <w:rPr>
          <w:rFonts w:hint="default" w:ascii="Times New Roman" w:hAnsi="Times New Roman" w:eastAsia="Times New Roman" w:cs="Times New Roman"/>
          <w:color w:val="auto"/>
          <w:spacing w:val="-2"/>
          <w:sz w:val="24"/>
          <w:szCs w:val="24"/>
          <w:highlight w:val="none"/>
        </w:rPr>
        <w:t>A</w:t>
      </w:r>
      <w:r>
        <w:rPr>
          <w:rFonts w:hint="default" w:ascii="Times New Roman" w:hAnsi="Times New Roman" w:eastAsia="宋体" w:cs="Times New Roman"/>
          <w:color w:val="auto"/>
          <w:spacing w:val="-2"/>
          <w:sz w:val="24"/>
          <w:szCs w:val="24"/>
          <w:highlight w:val="none"/>
        </w:rPr>
        <w:t>，本项目属于</w:t>
      </w:r>
      <w:r>
        <w:rPr>
          <w:rFonts w:hint="default" w:ascii="Times New Roman" w:hAnsi="Times New Roman" w:eastAsia="宋体" w:cs="Times New Roman"/>
          <w:color w:val="auto"/>
          <w:spacing w:val="0"/>
          <w:sz w:val="24"/>
          <w:szCs w:val="24"/>
          <w:highlight w:val="none"/>
        </w:rPr>
        <w:t>农林牧渔业</w:t>
      </w:r>
      <w:r>
        <w:rPr>
          <w:rFonts w:hint="default" w:ascii="Times New Roman" w:hAnsi="Times New Roman" w:eastAsia="Times New Roman" w:cs="Times New Roman"/>
          <w:color w:val="auto"/>
          <w:spacing w:val="0"/>
          <w:sz w:val="24"/>
          <w:szCs w:val="24"/>
          <w:highlight w:val="none"/>
        </w:rPr>
        <w:t>“</w:t>
      </w:r>
      <w:r>
        <w:rPr>
          <w:rFonts w:hint="default" w:ascii="Times New Roman" w:hAnsi="Times New Roman" w:eastAsia="宋体" w:cs="Times New Roman"/>
          <w:color w:val="auto"/>
          <w:spacing w:val="0"/>
          <w:sz w:val="24"/>
          <w:szCs w:val="24"/>
          <w:highlight w:val="none"/>
        </w:rPr>
        <w:t>年出栏生猪</w:t>
      </w:r>
      <w:r>
        <w:rPr>
          <w:rFonts w:hint="default" w:ascii="Times New Roman" w:hAnsi="Times New Roman" w:eastAsia="Times New Roman" w:cs="Times New Roman"/>
          <w:color w:val="auto"/>
          <w:spacing w:val="0"/>
          <w:sz w:val="24"/>
          <w:szCs w:val="24"/>
          <w:highlight w:val="none"/>
        </w:rPr>
        <w:t>5000</w:t>
      </w:r>
      <w:r>
        <w:rPr>
          <w:rFonts w:hint="default" w:ascii="Times New Roman" w:hAnsi="Times New Roman" w:eastAsia="宋体" w:cs="Times New Roman"/>
          <w:color w:val="auto"/>
          <w:spacing w:val="0"/>
          <w:sz w:val="24"/>
          <w:szCs w:val="24"/>
          <w:highlight w:val="none"/>
        </w:rPr>
        <w:t>头（其他畜禽种类折合猪的养殖规模）及以上的畜禽养殖场或养殖小区</w:t>
      </w:r>
      <w:r>
        <w:rPr>
          <w:rFonts w:hint="default" w:ascii="Times New Roman" w:hAnsi="Times New Roman" w:eastAsia="Times New Roman" w:cs="Times New Roman"/>
          <w:color w:val="auto"/>
          <w:spacing w:val="0"/>
          <w:sz w:val="24"/>
          <w:szCs w:val="24"/>
          <w:highlight w:val="none"/>
        </w:rPr>
        <w:t>”</w:t>
      </w:r>
      <w:r>
        <w:rPr>
          <w:rFonts w:hint="default" w:ascii="Times New Roman" w:hAnsi="Times New Roman" w:eastAsia="宋体" w:cs="Times New Roman"/>
          <w:color w:val="auto"/>
          <w:spacing w:val="0"/>
          <w:sz w:val="24"/>
          <w:szCs w:val="24"/>
          <w:highlight w:val="none"/>
        </w:rPr>
        <w:t>。本项目年存栏肉牛</w:t>
      </w:r>
      <w:r>
        <w:rPr>
          <w:rFonts w:hint="default" w:ascii="Times New Roman" w:hAnsi="Times New Roman" w:eastAsia="宋体" w:cs="Times New Roman"/>
          <w:color w:val="auto"/>
          <w:spacing w:val="0"/>
          <w:sz w:val="24"/>
          <w:szCs w:val="24"/>
          <w:highlight w:val="none"/>
          <w:lang w:val="en-US" w:eastAsia="zh-CN"/>
        </w:rPr>
        <w:t>5000</w:t>
      </w:r>
      <w:r>
        <w:rPr>
          <w:rFonts w:hint="default" w:ascii="Times New Roman" w:hAnsi="Times New Roman" w:eastAsia="宋体" w:cs="Times New Roman"/>
          <w:color w:val="auto"/>
          <w:spacing w:val="0"/>
          <w:sz w:val="24"/>
          <w:szCs w:val="24"/>
          <w:highlight w:val="none"/>
        </w:rPr>
        <w:t>头，年出栏肉牛</w:t>
      </w:r>
      <w:r>
        <w:rPr>
          <w:rFonts w:hint="default" w:ascii="Times New Roman" w:hAnsi="Times New Roman" w:eastAsia="宋体" w:cs="Times New Roman"/>
          <w:color w:val="auto"/>
          <w:spacing w:val="0"/>
          <w:sz w:val="24"/>
          <w:szCs w:val="24"/>
          <w:highlight w:val="none"/>
          <w:lang w:val="en-US" w:eastAsia="zh-CN"/>
        </w:rPr>
        <w:t>1000</w:t>
      </w:r>
      <w:r>
        <w:rPr>
          <w:rFonts w:hint="default" w:ascii="Times New Roman" w:hAnsi="Times New Roman" w:eastAsia="宋体" w:cs="Times New Roman"/>
          <w:color w:val="auto"/>
          <w:spacing w:val="0"/>
          <w:sz w:val="24"/>
          <w:szCs w:val="24"/>
          <w:highlight w:val="none"/>
        </w:rPr>
        <w:t>头，</w:t>
      </w:r>
      <w:r>
        <w:rPr>
          <w:rFonts w:hint="default" w:ascii="Times New Roman" w:hAnsi="Times New Roman" w:eastAsia="宋体" w:cs="Times New Roman"/>
          <w:color w:val="auto"/>
          <w:spacing w:val="-3"/>
          <w:sz w:val="24"/>
          <w:szCs w:val="24"/>
          <w:highlight w:val="none"/>
        </w:rPr>
        <w:t>根据</w:t>
      </w:r>
      <w:r>
        <w:rPr>
          <w:rFonts w:hint="default" w:ascii="Times New Roman" w:hAnsi="Times New Roman" w:eastAsia="宋体" w:cs="Times New Roman"/>
          <w:color w:val="auto"/>
          <w:sz w:val="24"/>
          <w:szCs w:val="24"/>
          <w:highlight w:val="none"/>
        </w:rPr>
        <w:t>《畜禽养殖业污染物排放标准》</w:t>
      </w:r>
      <w:r>
        <w:rPr>
          <w:rFonts w:hint="default" w:ascii="Times New Roman" w:hAnsi="Times New Roman" w:eastAsia="Times New Roman" w:cs="Times New Roman"/>
          <w:color w:val="auto"/>
          <w:sz w:val="24"/>
          <w:szCs w:val="24"/>
          <w:highlight w:val="none"/>
        </w:rPr>
        <w:t>(GB18</w:t>
      </w:r>
      <w:r>
        <w:rPr>
          <w:rFonts w:hint="default" w:ascii="Times New Roman" w:hAnsi="Times New Roman" w:eastAsia="Times New Roman" w:cs="Times New Roman"/>
          <w:color w:val="auto"/>
          <w:spacing w:val="-1"/>
          <w:sz w:val="24"/>
          <w:szCs w:val="24"/>
          <w:highlight w:val="none"/>
        </w:rPr>
        <w:t>596-2001)1</w:t>
      </w:r>
      <w:r>
        <w:rPr>
          <w:rFonts w:hint="default" w:ascii="Times New Roman" w:hAnsi="Times New Roman" w:eastAsia="宋体" w:cs="Times New Roman"/>
          <w:color w:val="auto"/>
          <w:spacing w:val="-1"/>
          <w:sz w:val="24"/>
          <w:szCs w:val="24"/>
          <w:highlight w:val="none"/>
        </w:rPr>
        <w:t>头肉牛折算成</w:t>
      </w:r>
      <w:r>
        <w:rPr>
          <w:rFonts w:hint="default" w:ascii="Times New Roman" w:hAnsi="Times New Roman" w:eastAsia="Times New Roman" w:cs="Times New Roman"/>
          <w:color w:val="auto"/>
          <w:spacing w:val="-1"/>
          <w:sz w:val="24"/>
          <w:szCs w:val="24"/>
          <w:highlight w:val="none"/>
        </w:rPr>
        <w:t>5</w:t>
      </w:r>
      <w:r>
        <w:rPr>
          <w:rFonts w:hint="default" w:ascii="Times New Roman" w:hAnsi="Times New Roman" w:eastAsia="宋体" w:cs="Times New Roman"/>
          <w:color w:val="auto"/>
          <w:spacing w:val="-1"/>
          <w:sz w:val="24"/>
          <w:szCs w:val="24"/>
          <w:highlight w:val="none"/>
        </w:rPr>
        <w:t>头猪，经折算本项目年</w:t>
      </w:r>
      <w:r>
        <w:rPr>
          <w:rFonts w:hint="default" w:ascii="Times New Roman" w:hAnsi="Times New Roman" w:eastAsia="宋体" w:cs="Times New Roman"/>
          <w:color w:val="auto"/>
          <w:spacing w:val="-1"/>
          <w:sz w:val="24"/>
          <w:szCs w:val="24"/>
          <w:highlight w:val="none"/>
          <w:lang w:val="en-US" w:eastAsia="zh-CN"/>
        </w:rPr>
        <w:t>存栏</w:t>
      </w:r>
      <w:r>
        <w:rPr>
          <w:rFonts w:hint="default" w:ascii="Times New Roman" w:hAnsi="Times New Roman" w:eastAsia="宋体" w:cs="Times New Roman"/>
          <w:color w:val="auto"/>
          <w:spacing w:val="-1"/>
          <w:sz w:val="24"/>
          <w:szCs w:val="24"/>
          <w:highlight w:val="none"/>
        </w:rPr>
        <w:t>生猪</w:t>
      </w:r>
      <w:r>
        <w:rPr>
          <w:rFonts w:hint="default" w:ascii="Times New Roman" w:hAnsi="Times New Roman" w:eastAsia="宋体" w:cs="Times New Roman"/>
          <w:color w:val="auto"/>
          <w:spacing w:val="-1"/>
          <w:sz w:val="24"/>
          <w:szCs w:val="24"/>
          <w:highlight w:val="none"/>
          <w:lang w:val="en-US" w:eastAsia="zh-CN"/>
        </w:rPr>
        <w:t>25000头，</w:t>
      </w:r>
      <w:r>
        <w:rPr>
          <w:rFonts w:hint="default" w:ascii="Times New Roman" w:hAnsi="Times New Roman" w:eastAsia="宋体" w:cs="Times New Roman"/>
          <w:color w:val="auto"/>
          <w:spacing w:val="-1"/>
          <w:sz w:val="24"/>
          <w:szCs w:val="24"/>
          <w:highlight w:val="none"/>
        </w:rPr>
        <w:t>出栏生猪</w:t>
      </w:r>
      <w:r>
        <w:rPr>
          <w:rFonts w:hint="default" w:ascii="Times New Roman" w:hAnsi="Times New Roman" w:eastAsia="宋体" w:cs="Times New Roman"/>
          <w:color w:val="auto"/>
          <w:spacing w:val="0"/>
          <w:sz w:val="24"/>
          <w:szCs w:val="24"/>
          <w:highlight w:val="none"/>
          <w:lang w:val="en-US" w:eastAsia="zh-CN"/>
        </w:rPr>
        <w:t>5000</w:t>
      </w:r>
      <w:r>
        <w:rPr>
          <w:rFonts w:hint="default" w:ascii="Times New Roman" w:hAnsi="Times New Roman" w:eastAsia="宋体" w:cs="Times New Roman"/>
          <w:color w:val="auto"/>
          <w:spacing w:val="-1"/>
          <w:sz w:val="24"/>
          <w:szCs w:val="24"/>
          <w:highlight w:val="none"/>
        </w:rPr>
        <w:t>头，本项目为污染影响型，土壤环</w:t>
      </w:r>
      <w:r>
        <w:rPr>
          <w:rFonts w:hint="default" w:ascii="Times New Roman" w:hAnsi="Times New Roman" w:eastAsia="宋体" w:cs="Times New Roman"/>
          <w:color w:val="auto"/>
          <w:spacing w:val="-2"/>
          <w:sz w:val="24"/>
          <w:szCs w:val="24"/>
          <w:highlight w:val="none"/>
        </w:rPr>
        <w:t>境影响评价项目类别为Ⅲ类</w:t>
      </w:r>
      <w:r>
        <w:rPr>
          <w:rFonts w:hint="default" w:ascii="Times New Roman" w:hAnsi="Times New Roman" w:eastAsia="宋体" w:cs="Times New Roman"/>
          <w:color w:val="auto"/>
          <w:spacing w:val="-3"/>
          <w:sz w:val="24"/>
          <w:szCs w:val="24"/>
          <w:highlight w:val="none"/>
        </w:rPr>
        <w:t>项目，土壤评价等级判定依据如下。</w:t>
      </w:r>
    </w:p>
    <w:p w14:paraId="37A4D7E3">
      <w:pPr>
        <w:keepNext w:val="0"/>
        <w:keepLines w:val="0"/>
        <w:pageBreakBefore w:val="0"/>
        <w:kinsoku/>
        <w:wordWrap w:val="0"/>
        <w:overflowPunct/>
        <w:topLinePunct/>
        <w:autoSpaceDE/>
        <w:autoSpaceDN/>
        <w:bidi w:val="0"/>
        <w:adjustRightInd w:val="0"/>
        <w:snapToGrid w:val="0"/>
        <w:spacing w:before="99" w:line="220" w:lineRule="auto"/>
        <w:ind w:left="2836"/>
        <w:textAlignment w:val="baseline"/>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2.5-1</w:t>
      </w:r>
      <w:r>
        <w:rPr>
          <w:rFonts w:hint="eastAsia"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宋体" w:cs="Times New Roman"/>
          <w:b/>
          <w:bCs/>
          <w:color w:val="auto"/>
          <w:spacing w:val="-1"/>
          <w:sz w:val="24"/>
          <w:szCs w:val="24"/>
          <w:highlight w:val="none"/>
          <w:lang w:val="en-US" w:eastAsia="zh-CN"/>
        </w:rPr>
        <w:t>环境影响评价项目类别</w:t>
      </w:r>
    </w:p>
    <w:tbl>
      <w:tblPr>
        <w:tblStyle w:val="34"/>
        <w:tblW w:w="9018"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1980"/>
        <w:gridCol w:w="1916"/>
        <w:gridCol w:w="1762"/>
        <w:gridCol w:w="1810"/>
        <w:gridCol w:w="1550"/>
      </w:tblGrid>
      <w:tr w14:paraId="70D9DD9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980" w:type="dxa"/>
            <w:vMerge w:val="restart"/>
            <w:tcBorders>
              <w:tl2br w:val="nil"/>
              <w:tr2bl w:val="nil"/>
            </w:tcBorders>
            <w:vAlign w:val="center"/>
          </w:tcPr>
          <w:p w14:paraId="733E427C">
            <w:pPr>
              <w:pStyle w:val="35"/>
              <w:keepNext w:val="0"/>
              <w:keepLines w:val="0"/>
              <w:pageBreakBefore w:val="0"/>
              <w:kinsoku/>
              <w:wordWrap w:val="0"/>
              <w:overflowPunct/>
              <w:topLinePunct/>
              <w:autoSpaceDE/>
              <w:autoSpaceDN/>
              <w:bidi w:val="0"/>
              <w:adjustRightInd w:val="0"/>
              <w:snapToGrid w:val="0"/>
              <w:spacing w:before="69" w:line="222" w:lineRule="auto"/>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cs="Times New Roman"/>
                <w:snapToGrid w:val="0"/>
                <w:color w:val="auto"/>
                <w:spacing w:val="-2"/>
                <w:kern w:val="0"/>
                <w:sz w:val="21"/>
                <w:szCs w:val="21"/>
                <w:highlight w:val="none"/>
                <w:lang w:val="en-US" w:eastAsia="zh-CN" w:bidi="ar-SA"/>
              </w:rPr>
              <w:t>行业类别</w:t>
            </w:r>
          </w:p>
        </w:tc>
        <w:tc>
          <w:tcPr>
            <w:tcW w:w="7038" w:type="dxa"/>
            <w:gridSpan w:val="4"/>
            <w:tcBorders>
              <w:tl2br w:val="nil"/>
              <w:tr2bl w:val="nil"/>
            </w:tcBorders>
            <w:vAlign w:val="center"/>
          </w:tcPr>
          <w:p w14:paraId="5A8DE385">
            <w:pPr>
              <w:pStyle w:val="35"/>
              <w:keepNext w:val="0"/>
              <w:keepLines w:val="0"/>
              <w:pageBreakBefore w:val="0"/>
              <w:kinsoku/>
              <w:wordWrap w:val="0"/>
              <w:overflowPunct/>
              <w:topLinePunct/>
              <w:autoSpaceDE/>
              <w:autoSpaceDN/>
              <w:bidi w:val="0"/>
              <w:adjustRightInd w:val="0"/>
              <w:snapToGrid w:val="0"/>
              <w:spacing w:before="69" w:line="221" w:lineRule="auto"/>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cs="Times New Roman"/>
                <w:snapToGrid w:val="0"/>
                <w:color w:val="auto"/>
                <w:spacing w:val="-2"/>
                <w:kern w:val="0"/>
                <w:sz w:val="21"/>
                <w:szCs w:val="21"/>
                <w:highlight w:val="none"/>
                <w:lang w:val="en-US" w:eastAsia="zh-CN" w:bidi="ar-SA"/>
              </w:rPr>
              <w:t>项目类别</w:t>
            </w:r>
          </w:p>
        </w:tc>
      </w:tr>
      <w:tr w14:paraId="2AAD59E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980" w:type="dxa"/>
            <w:vMerge w:val="continue"/>
            <w:tcBorders>
              <w:tl2br w:val="nil"/>
              <w:tr2bl w:val="nil"/>
            </w:tcBorders>
            <w:vAlign w:val="center"/>
          </w:tcPr>
          <w:p w14:paraId="1051400D">
            <w:pPr>
              <w:pStyle w:val="35"/>
              <w:keepNext w:val="0"/>
              <w:keepLines w:val="0"/>
              <w:pageBreakBefore w:val="0"/>
              <w:kinsoku/>
              <w:wordWrap w:val="0"/>
              <w:overflowPunct/>
              <w:topLinePunct/>
              <w:autoSpaceDE/>
              <w:autoSpaceDN/>
              <w:bidi w:val="0"/>
              <w:adjustRightInd w:val="0"/>
              <w:snapToGrid w:val="0"/>
              <w:spacing w:before="69" w:line="222" w:lineRule="auto"/>
              <w:jc w:val="center"/>
              <w:textAlignment w:val="baseline"/>
              <w:rPr>
                <w:rFonts w:hint="default" w:ascii="Times New Roman" w:hAnsi="Times New Roman" w:cs="Times New Roman"/>
                <w:snapToGrid w:val="0"/>
                <w:color w:val="auto"/>
                <w:spacing w:val="-2"/>
                <w:kern w:val="0"/>
                <w:sz w:val="21"/>
                <w:szCs w:val="21"/>
                <w:highlight w:val="none"/>
                <w:lang w:val="en-US" w:eastAsia="zh-CN" w:bidi="ar-SA"/>
              </w:rPr>
            </w:pPr>
          </w:p>
        </w:tc>
        <w:tc>
          <w:tcPr>
            <w:tcW w:w="1916" w:type="dxa"/>
            <w:tcBorders>
              <w:tl2br w:val="nil"/>
              <w:tr2bl w:val="nil"/>
            </w:tcBorders>
            <w:vAlign w:val="center"/>
          </w:tcPr>
          <w:p w14:paraId="7274F75A">
            <w:pPr>
              <w:pStyle w:val="35"/>
              <w:keepNext w:val="0"/>
              <w:keepLines w:val="0"/>
              <w:pageBreakBefore w:val="0"/>
              <w:kinsoku/>
              <w:wordWrap w:val="0"/>
              <w:overflowPunct/>
              <w:topLinePunct/>
              <w:autoSpaceDE/>
              <w:autoSpaceDN/>
              <w:bidi w:val="0"/>
              <w:adjustRightInd w:val="0"/>
              <w:snapToGrid w:val="0"/>
              <w:spacing w:before="69" w:line="221" w:lineRule="auto"/>
              <w:jc w:val="center"/>
              <w:textAlignment w:val="baseline"/>
              <w:rPr>
                <w:rFonts w:hint="default" w:ascii="Times New Roman" w:hAnsi="Times New Roman" w:eastAsia="宋体" w:cs="Times New Roman"/>
                <w:color w:val="auto"/>
                <w:spacing w:val="-2"/>
                <w:sz w:val="21"/>
                <w:szCs w:val="21"/>
                <w:highlight w:val="none"/>
                <w:lang w:val="en-US" w:eastAsia="zh-CN"/>
              </w:rPr>
            </w:pPr>
            <w:r>
              <w:rPr>
                <w:rFonts w:hint="default" w:ascii="Times New Roman" w:hAnsi="Times New Roman" w:eastAsia="宋体" w:cs="Times New Roman"/>
                <w:color w:val="auto"/>
                <w:spacing w:val="-2"/>
                <w:sz w:val="21"/>
                <w:szCs w:val="21"/>
                <w:highlight w:val="none"/>
                <w:lang w:val="en-US" w:eastAsia="zh-CN"/>
              </w:rPr>
              <w:t>Ⅰ</w:t>
            </w:r>
          </w:p>
        </w:tc>
        <w:tc>
          <w:tcPr>
            <w:tcW w:w="1762" w:type="dxa"/>
            <w:tcBorders>
              <w:tl2br w:val="nil"/>
              <w:tr2bl w:val="nil"/>
            </w:tcBorders>
            <w:vAlign w:val="center"/>
          </w:tcPr>
          <w:p w14:paraId="0E13E681">
            <w:pPr>
              <w:pStyle w:val="35"/>
              <w:keepNext w:val="0"/>
              <w:keepLines w:val="0"/>
              <w:pageBreakBefore w:val="0"/>
              <w:kinsoku/>
              <w:wordWrap w:val="0"/>
              <w:overflowPunct/>
              <w:topLinePunct/>
              <w:autoSpaceDE/>
              <w:autoSpaceDN/>
              <w:bidi w:val="0"/>
              <w:adjustRightInd w:val="0"/>
              <w:snapToGrid w:val="0"/>
              <w:spacing w:before="69" w:line="221" w:lineRule="auto"/>
              <w:jc w:val="center"/>
              <w:textAlignment w:val="baseline"/>
              <w:rPr>
                <w:rFonts w:hint="default" w:ascii="Times New Roman" w:hAnsi="Times New Roman" w:eastAsia="宋体" w:cs="Times New Roman"/>
                <w:color w:val="auto"/>
                <w:spacing w:val="-2"/>
                <w:sz w:val="21"/>
                <w:szCs w:val="21"/>
                <w:highlight w:val="none"/>
                <w:lang w:val="en-US" w:eastAsia="zh-CN"/>
              </w:rPr>
            </w:pPr>
            <w:r>
              <w:rPr>
                <w:rFonts w:hint="default" w:ascii="Times New Roman" w:hAnsi="Times New Roman" w:eastAsia="宋体" w:cs="Times New Roman"/>
                <w:color w:val="auto"/>
                <w:spacing w:val="-2"/>
                <w:sz w:val="21"/>
                <w:szCs w:val="21"/>
                <w:highlight w:val="none"/>
                <w:lang w:val="en-US" w:eastAsia="zh-CN"/>
              </w:rPr>
              <w:t>Ⅱ</w:t>
            </w:r>
          </w:p>
        </w:tc>
        <w:tc>
          <w:tcPr>
            <w:tcW w:w="1810" w:type="dxa"/>
            <w:tcBorders>
              <w:tl2br w:val="nil"/>
              <w:tr2bl w:val="nil"/>
            </w:tcBorders>
            <w:vAlign w:val="center"/>
          </w:tcPr>
          <w:p w14:paraId="38F9268F">
            <w:pPr>
              <w:pStyle w:val="35"/>
              <w:keepNext w:val="0"/>
              <w:keepLines w:val="0"/>
              <w:pageBreakBefore w:val="0"/>
              <w:kinsoku/>
              <w:wordWrap w:val="0"/>
              <w:overflowPunct/>
              <w:topLinePunct/>
              <w:autoSpaceDE/>
              <w:autoSpaceDN/>
              <w:bidi w:val="0"/>
              <w:adjustRightInd w:val="0"/>
              <w:snapToGrid w:val="0"/>
              <w:spacing w:before="69" w:line="221" w:lineRule="auto"/>
              <w:jc w:val="center"/>
              <w:textAlignment w:val="baseline"/>
              <w:rPr>
                <w:rFonts w:hint="default" w:ascii="Times New Roman" w:hAnsi="Times New Roman" w:eastAsia="宋体" w:cs="Times New Roman"/>
                <w:color w:val="auto"/>
                <w:spacing w:val="-2"/>
                <w:sz w:val="21"/>
                <w:szCs w:val="21"/>
                <w:highlight w:val="none"/>
                <w:lang w:val="en-US" w:eastAsia="zh-CN"/>
              </w:rPr>
            </w:pPr>
            <w:r>
              <w:rPr>
                <w:rFonts w:hint="default" w:ascii="Times New Roman" w:hAnsi="Times New Roman" w:eastAsia="宋体" w:cs="Times New Roman"/>
                <w:color w:val="auto"/>
                <w:spacing w:val="-2"/>
                <w:sz w:val="21"/>
                <w:szCs w:val="21"/>
                <w:highlight w:val="none"/>
              </w:rPr>
              <w:t>Ⅲ</w:t>
            </w:r>
          </w:p>
        </w:tc>
        <w:tc>
          <w:tcPr>
            <w:tcW w:w="1550" w:type="dxa"/>
            <w:tcBorders>
              <w:tl2br w:val="nil"/>
              <w:tr2bl w:val="nil"/>
            </w:tcBorders>
            <w:vAlign w:val="center"/>
          </w:tcPr>
          <w:p w14:paraId="76628FEA">
            <w:pPr>
              <w:pStyle w:val="35"/>
              <w:keepNext w:val="0"/>
              <w:keepLines w:val="0"/>
              <w:pageBreakBefore w:val="0"/>
              <w:kinsoku/>
              <w:wordWrap w:val="0"/>
              <w:overflowPunct/>
              <w:topLinePunct/>
              <w:autoSpaceDE/>
              <w:autoSpaceDN/>
              <w:bidi w:val="0"/>
              <w:adjustRightInd w:val="0"/>
              <w:snapToGrid w:val="0"/>
              <w:spacing w:before="69" w:line="221" w:lineRule="auto"/>
              <w:jc w:val="center"/>
              <w:textAlignment w:val="baseline"/>
              <w:rPr>
                <w:rFonts w:hint="default" w:ascii="Times New Roman" w:hAnsi="Times New Roman" w:eastAsia="宋体" w:cs="Times New Roman"/>
                <w:color w:val="auto"/>
                <w:spacing w:val="-2"/>
                <w:sz w:val="21"/>
                <w:szCs w:val="21"/>
                <w:highlight w:val="none"/>
                <w:lang w:val="en-US" w:eastAsia="zh-CN"/>
              </w:rPr>
            </w:pPr>
            <w:r>
              <w:rPr>
                <w:rFonts w:hint="default" w:ascii="Times New Roman" w:hAnsi="Times New Roman" w:eastAsia="宋体" w:cs="Times New Roman"/>
                <w:color w:val="auto"/>
                <w:spacing w:val="-2"/>
                <w:sz w:val="21"/>
                <w:szCs w:val="21"/>
                <w:highlight w:val="none"/>
                <w:lang w:val="en-US" w:eastAsia="zh-CN"/>
              </w:rPr>
              <w:t>Ⅳ</w:t>
            </w:r>
          </w:p>
        </w:tc>
      </w:tr>
      <w:tr w14:paraId="14B5EF2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980" w:type="dxa"/>
            <w:tcBorders>
              <w:tl2br w:val="nil"/>
              <w:tr2bl w:val="nil"/>
            </w:tcBorders>
            <w:vAlign w:val="center"/>
          </w:tcPr>
          <w:p w14:paraId="139F1A6E">
            <w:pPr>
              <w:pStyle w:val="35"/>
              <w:keepNext w:val="0"/>
              <w:keepLines w:val="0"/>
              <w:pageBreakBefore w:val="0"/>
              <w:kinsoku/>
              <w:wordWrap w:val="0"/>
              <w:overflowPunct/>
              <w:topLinePunct/>
              <w:autoSpaceDE/>
              <w:autoSpaceDN/>
              <w:bidi w:val="0"/>
              <w:adjustRightInd w:val="0"/>
              <w:snapToGrid w:val="0"/>
              <w:spacing w:before="76" w:line="234" w:lineRule="auto"/>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cs="Times New Roman"/>
                <w:snapToGrid w:val="0"/>
                <w:color w:val="auto"/>
                <w:spacing w:val="-2"/>
                <w:kern w:val="0"/>
                <w:sz w:val="21"/>
                <w:szCs w:val="21"/>
                <w:highlight w:val="none"/>
                <w:lang w:val="en-US" w:eastAsia="zh-CN" w:bidi="ar-SA"/>
              </w:rPr>
              <w:t>农林牧渔业</w:t>
            </w:r>
          </w:p>
        </w:tc>
        <w:tc>
          <w:tcPr>
            <w:tcW w:w="1916" w:type="dxa"/>
            <w:tcBorders>
              <w:tl2br w:val="nil"/>
              <w:tr2bl w:val="nil"/>
            </w:tcBorders>
            <w:vAlign w:val="center"/>
          </w:tcPr>
          <w:p w14:paraId="397E8F56">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auto"/>
                <w:spacing w:val="-2"/>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
              </w:rPr>
              <w:t>灌溉面积大于50万亩的灌区工程</w:t>
            </w:r>
          </w:p>
        </w:tc>
        <w:tc>
          <w:tcPr>
            <w:tcW w:w="1762" w:type="dxa"/>
            <w:tcBorders>
              <w:tl2br w:val="nil"/>
              <w:tr2bl w:val="nil"/>
            </w:tcBorders>
            <w:vAlign w:val="center"/>
          </w:tcPr>
          <w:p w14:paraId="307DC1CA">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
              </w:rPr>
              <w:t>新建5万亩至50万亩的、改造30万亩及以上的灌区工程；年出栏生猪10万头（其他畜禽种类折合猪的养殖规模）及以上的畜禽养殖场或养殖小区</w:t>
            </w:r>
          </w:p>
        </w:tc>
        <w:tc>
          <w:tcPr>
            <w:tcW w:w="1810" w:type="dxa"/>
            <w:tcBorders>
              <w:tl2br w:val="nil"/>
              <w:tr2bl w:val="nil"/>
            </w:tcBorders>
            <w:vAlign w:val="center"/>
          </w:tcPr>
          <w:p w14:paraId="52B3F3CE">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宋体" w:cs="Times New Roman"/>
                <w:snapToGrid w:val="0"/>
                <w:color w:val="auto"/>
                <w:kern w:val="0"/>
                <w:sz w:val="21"/>
                <w:szCs w:val="21"/>
                <w:highlight w:val="none"/>
                <w:lang w:val="en-US" w:eastAsia="zh-CN" w:bidi="ar"/>
              </w:rPr>
              <w:t>年出栏生猪1000</w:t>
            </w:r>
          </w:p>
          <w:p w14:paraId="6F6E7D97">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
              </w:rPr>
              <w:t>头（其他畜禽种类折合猪的养殖规模）及以上的畜禽养殖场或养殖小区</w:t>
            </w:r>
          </w:p>
        </w:tc>
        <w:tc>
          <w:tcPr>
            <w:tcW w:w="1550" w:type="dxa"/>
            <w:tcBorders>
              <w:tl2br w:val="nil"/>
              <w:tr2bl w:val="nil"/>
            </w:tcBorders>
            <w:vAlign w:val="center"/>
          </w:tcPr>
          <w:p w14:paraId="51449EBF">
            <w:pPr>
              <w:keepNext w:val="0"/>
              <w:keepLines w:val="0"/>
              <w:pageBreakBefore w:val="0"/>
              <w:widowControl/>
              <w:kinsoku/>
              <w:wordWrap w:val="0"/>
              <w:overflowPunct/>
              <w:topLinePunct/>
              <w:autoSpaceDE/>
              <w:autoSpaceDN/>
              <w:bidi w:val="0"/>
              <w:adjustRightInd w:val="0"/>
              <w:snapToGrid w:val="0"/>
              <w:spacing w:before="180" w:line="240" w:lineRule="auto"/>
              <w:ind w:right="0"/>
              <w:jc w:val="center"/>
              <w:textAlignment w:val="baseline"/>
              <w:rPr>
                <w:rFonts w:hint="default" w:ascii="Times New Roman" w:hAnsi="Times New Roman" w:eastAsia="宋体" w:cs="Times New Roman"/>
                <w:snapToGrid w:val="0"/>
                <w:color w:val="auto"/>
                <w:spacing w:val="-2"/>
                <w:kern w:val="0"/>
                <w:sz w:val="21"/>
                <w:szCs w:val="21"/>
                <w:highlight w:val="none"/>
                <w:lang w:val="en-US" w:eastAsia="zh-CN" w:bidi="ar-SA"/>
              </w:rPr>
            </w:pPr>
            <w:r>
              <w:rPr>
                <w:rFonts w:hint="default" w:ascii="Times New Roman" w:hAnsi="Times New Roman" w:eastAsia="宋体" w:cs="Times New Roman"/>
                <w:snapToGrid w:val="0"/>
                <w:color w:val="auto"/>
                <w:spacing w:val="-2"/>
                <w:kern w:val="0"/>
                <w:sz w:val="21"/>
                <w:szCs w:val="21"/>
                <w:highlight w:val="none"/>
                <w:lang w:val="en-US" w:eastAsia="zh-CN" w:bidi="ar-SA"/>
              </w:rPr>
              <w:t>其他</w:t>
            </w:r>
          </w:p>
        </w:tc>
      </w:tr>
    </w:tbl>
    <w:p w14:paraId="02C426C0">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宋体" w:cs="Times New Roman"/>
          <w:color w:val="auto"/>
          <w:spacing w:val="-2"/>
          <w:sz w:val="24"/>
          <w:szCs w:val="24"/>
          <w:highlight w:val="none"/>
          <w:lang w:val="en-US" w:eastAsia="zh-CN"/>
        </w:rPr>
        <w:t>2</w:t>
      </w: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宋体" w:cs="Times New Roman"/>
          <w:color w:val="auto"/>
          <w:spacing w:val="-2"/>
          <w:sz w:val="24"/>
          <w:szCs w:val="24"/>
          <w:highlight w:val="none"/>
        </w:rPr>
        <w:t>占地规模</w:t>
      </w:r>
    </w:p>
    <w:p w14:paraId="01CE607F">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7"/>
          <w:sz w:val="24"/>
          <w:szCs w:val="24"/>
          <w:highlight w:val="none"/>
        </w:rPr>
        <w:t>本项目占地面积约为</w:t>
      </w:r>
      <w:r>
        <w:rPr>
          <w:rFonts w:hint="default" w:ascii="Times New Roman" w:hAnsi="Times New Roman" w:eastAsia="宋体" w:cs="Times New Roman"/>
          <w:color w:val="auto"/>
          <w:spacing w:val="-7"/>
          <w:sz w:val="24"/>
          <w:szCs w:val="24"/>
          <w:highlight w:val="none"/>
          <w:lang w:val="en-US" w:eastAsia="zh-CN"/>
        </w:rPr>
        <w:t>12.8</w:t>
      </w:r>
      <w:r>
        <w:rPr>
          <w:rFonts w:hint="default" w:ascii="Times New Roman" w:hAnsi="Times New Roman" w:eastAsia="Times New Roman" w:cs="Times New Roman"/>
          <w:color w:val="auto"/>
          <w:spacing w:val="-7"/>
          <w:sz w:val="24"/>
          <w:szCs w:val="24"/>
          <w:highlight w:val="none"/>
        </w:rPr>
        <w:t>hm</w:t>
      </w:r>
      <w:r>
        <w:rPr>
          <w:rFonts w:hint="default" w:ascii="Times New Roman" w:hAnsi="Times New Roman" w:eastAsia="Times New Roman" w:cs="Times New Roman"/>
          <w:color w:val="auto"/>
          <w:spacing w:val="-7"/>
          <w:position w:val="10"/>
          <w:sz w:val="16"/>
          <w:szCs w:val="16"/>
          <w:highlight w:val="none"/>
        </w:rPr>
        <w:t>2</w:t>
      </w:r>
      <w:r>
        <w:rPr>
          <w:rFonts w:hint="default" w:ascii="Times New Roman" w:hAnsi="Times New Roman" w:eastAsia="宋体" w:cs="Times New Roman"/>
          <w:color w:val="auto"/>
          <w:spacing w:val="-7"/>
          <w:sz w:val="24"/>
          <w:szCs w:val="24"/>
          <w:highlight w:val="none"/>
        </w:rPr>
        <w:t>，根据《环境影响评价技术导则土壤环境》（试行）</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HJ964-2018</w:t>
      </w:r>
      <w:r>
        <w:rPr>
          <w:rFonts w:hint="default" w:ascii="Times New Roman" w:hAnsi="Times New Roman" w:eastAsia="宋体" w:cs="Times New Roman"/>
          <w:color w:val="auto"/>
          <w:spacing w:val="-2"/>
          <w:sz w:val="24"/>
          <w:szCs w:val="24"/>
          <w:highlight w:val="none"/>
        </w:rPr>
        <w:t>）</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"6.2.2.1" </w:instrText>
      </w:r>
      <w:r>
        <w:rPr>
          <w:rFonts w:hint="default" w:ascii="Times New Roman" w:hAnsi="Times New Roman" w:cs="Times New Roman"/>
          <w:color w:val="auto"/>
          <w:highlight w:val="none"/>
        </w:rPr>
        <w:fldChar w:fldCharType="separate"/>
      </w:r>
      <w:r>
        <w:rPr>
          <w:rFonts w:hint="default" w:ascii="Times New Roman" w:hAnsi="Times New Roman" w:eastAsia="Times New Roman" w:cs="Times New Roman"/>
          <w:color w:val="auto"/>
          <w:spacing w:val="-2"/>
          <w:sz w:val="24"/>
          <w:szCs w:val="24"/>
          <w:highlight w:val="none"/>
        </w:rPr>
        <w:t>6.2.2.1</w:t>
      </w:r>
      <w:r>
        <w:rPr>
          <w:rFonts w:hint="default" w:ascii="Times New Roman" w:hAnsi="Times New Roman" w:eastAsia="Times New Roman" w:cs="Times New Roman"/>
          <w:color w:val="auto"/>
          <w:spacing w:val="-2"/>
          <w:sz w:val="24"/>
          <w:szCs w:val="24"/>
          <w:highlight w:val="none"/>
        </w:rPr>
        <w:fldChar w:fldCharType="end"/>
      </w:r>
      <w:r>
        <w:rPr>
          <w:rFonts w:hint="default" w:ascii="Times New Roman" w:hAnsi="Times New Roman" w:eastAsia="宋体" w:cs="Times New Roman"/>
          <w:color w:val="auto"/>
          <w:spacing w:val="-2"/>
          <w:sz w:val="24"/>
          <w:szCs w:val="24"/>
          <w:highlight w:val="none"/>
        </w:rPr>
        <w:t>章节，</w:t>
      </w:r>
      <w:r>
        <w:rPr>
          <w:rFonts w:hint="default" w:ascii="Times New Roman" w:hAnsi="Times New Roman" w:eastAsia="宋体" w:cs="Times New Roman"/>
          <w:color w:val="auto"/>
          <w:spacing w:val="-2"/>
          <w:sz w:val="24"/>
          <w:szCs w:val="24"/>
          <w:highlight w:val="none"/>
          <w:lang w:val="en-US" w:eastAsia="zh-CN"/>
        </w:rPr>
        <w:t>项目占地规模大型（≥50hm</w:t>
      </w:r>
      <w:r>
        <w:rPr>
          <w:rFonts w:hint="default" w:ascii="Times New Roman" w:hAnsi="Times New Roman" w:eastAsia="宋体" w:cs="Times New Roman"/>
          <w:color w:val="auto"/>
          <w:spacing w:val="-2"/>
          <w:sz w:val="24"/>
          <w:szCs w:val="24"/>
          <w:highlight w:val="none"/>
          <w:vertAlign w:val="superscript"/>
          <w:lang w:val="en-US" w:eastAsia="zh-CN"/>
        </w:rPr>
        <w:t>2</w:t>
      </w:r>
      <w:r>
        <w:rPr>
          <w:rFonts w:hint="default" w:ascii="Times New Roman" w:hAnsi="Times New Roman" w:eastAsia="宋体" w:cs="Times New Roman"/>
          <w:color w:val="auto"/>
          <w:spacing w:val="-2"/>
          <w:sz w:val="24"/>
          <w:szCs w:val="24"/>
          <w:highlight w:val="none"/>
          <w:lang w:val="en-US" w:eastAsia="zh-CN"/>
        </w:rPr>
        <w:t>）、中型（5-50hm</w:t>
      </w:r>
      <w:r>
        <w:rPr>
          <w:rFonts w:hint="default" w:ascii="Times New Roman" w:hAnsi="Times New Roman" w:eastAsia="宋体" w:cs="Times New Roman"/>
          <w:color w:val="auto"/>
          <w:spacing w:val="-2"/>
          <w:sz w:val="24"/>
          <w:szCs w:val="24"/>
          <w:highlight w:val="none"/>
          <w:vertAlign w:val="superscript"/>
          <w:lang w:val="en-US" w:eastAsia="zh-CN"/>
        </w:rPr>
        <w:t>2</w:t>
      </w:r>
      <w:r>
        <w:rPr>
          <w:rFonts w:hint="default" w:ascii="Times New Roman" w:hAnsi="Times New Roman" w:eastAsia="宋体" w:cs="Times New Roman"/>
          <w:color w:val="auto"/>
          <w:spacing w:val="-2"/>
          <w:sz w:val="24"/>
          <w:szCs w:val="24"/>
          <w:highlight w:val="none"/>
          <w:lang w:val="en-US" w:eastAsia="zh-CN"/>
        </w:rPr>
        <w:t>）、小型（≤5hm</w:t>
      </w:r>
      <w:r>
        <w:rPr>
          <w:rFonts w:hint="default" w:ascii="Times New Roman" w:hAnsi="Times New Roman" w:eastAsia="宋体" w:cs="Times New Roman"/>
          <w:color w:val="auto"/>
          <w:spacing w:val="-2"/>
          <w:sz w:val="24"/>
          <w:szCs w:val="24"/>
          <w:highlight w:val="none"/>
          <w:vertAlign w:val="superscript"/>
          <w:lang w:val="en-US" w:eastAsia="zh-CN"/>
        </w:rPr>
        <w:t>2</w:t>
      </w:r>
      <w:r>
        <w:rPr>
          <w:rFonts w:hint="default" w:ascii="Times New Roman" w:hAnsi="Times New Roman" w:eastAsia="宋体" w:cs="Times New Roman"/>
          <w:color w:val="auto"/>
          <w:spacing w:val="-2"/>
          <w:sz w:val="24"/>
          <w:szCs w:val="24"/>
          <w:highlight w:val="none"/>
          <w:lang w:val="en-US" w:eastAsia="zh-CN"/>
        </w:rPr>
        <w:t>）。本项</w:t>
      </w:r>
      <w:r>
        <w:rPr>
          <w:rFonts w:hint="default" w:ascii="Times New Roman" w:hAnsi="Times New Roman" w:eastAsia="宋体" w:cs="Times New Roman"/>
          <w:color w:val="auto"/>
          <w:spacing w:val="-2"/>
          <w:sz w:val="24"/>
          <w:szCs w:val="24"/>
          <w:highlight w:val="none"/>
        </w:rPr>
        <w:t>占地规模为中</w:t>
      </w:r>
      <w:r>
        <w:rPr>
          <w:rFonts w:hint="default" w:ascii="Times New Roman" w:hAnsi="Times New Roman" w:eastAsia="宋体" w:cs="Times New Roman"/>
          <w:color w:val="auto"/>
          <w:spacing w:val="-3"/>
          <w:sz w:val="24"/>
          <w:szCs w:val="24"/>
          <w:highlight w:val="none"/>
        </w:rPr>
        <w:t>型。</w:t>
      </w:r>
    </w:p>
    <w:p w14:paraId="0E8BB376">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lang w:eastAsia="zh-CN"/>
        </w:rPr>
        <w:t>（</w:t>
      </w:r>
      <w:r>
        <w:rPr>
          <w:rFonts w:hint="default" w:ascii="Times New Roman" w:hAnsi="Times New Roman" w:eastAsia="宋体" w:cs="Times New Roman"/>
          <w:color w:val="auto"/>
          <w:spacing w:val="-1"/>
          <w:sz w:val="24"/>
          <w:szCs w:val="24"/>
          <w:highlight w:val="none"/>
          <w:lang w:val="en-US" w:eastAsia="zh-CN"/>
        </w:rPr>
        <w:t>3</w:t>
      </w:r>
      <w:r>
        <w:rPr>
          <w:rFonts w:hint="default" w:ascii="Times New Roman" w:hAnsi="Times New Roman" w:eastAsia="宋体" w:cs="Times New Roman"/>
          <w:color w:val="auto"/>
          <w:spacing w:val="-1"/>
          <w:sz w:val="24"/>
          <w:szCs w:val="24"/>
          <w:highlight w:val="none"/>
          <w:lang w:eastAsia="zh-CN"/>
        </w:rPr>
        <w:t>）</w:t>
      </w:r>
      <w:r>
        <w:rPr>
          <w:rFonts w:hint="default" w:ascii="Times New Roman" w:hAnsi="Times New Roman" w:eastAsia="宋体" w:cs="Times New Roman"/>
          <w:color w:val="auto"/>
          <w:spacing w:val="-1"/>
          <w:sz w:val="24"/>
          <w:szCs w:val="24"/>
          <w:highlight w:val="none"/>
        </w:rPr>
        <w:t>敏感程度分级判定</w:t>
      </w:r>
    </w:p>
    <w:p w14:paraId="25BCB603">
      <w:pPr>
        <w:keepNext w:val="0"/>
        <w:keepLines w:val="0"/>
        <w:pageBreakBefore w:val="0"/>
        <w:widowControl/>
        <w:kinsoku/>
        <w:wordWrap w:val="0"/>
        <w:overflowPunct/>
        <w:topLinePunct/>
        <w:autoSpaceDE/>
        <w:autoSpaceDN/>
        <w:bidi w:val="0"/>
        <w:adjustRightInd w:val="0"/>
        <w:snapToGrid w:val="0"/>
        <w:spacing w:line="360" w:lineRule="auto"/>
        <w:ind w:left="0" w:right="0" w:firstLine="440"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0"/>
          <w:sz w:val="24"/>
          <w:szCs w:val="24"/>
          <w:highlight w:val="none"/>
        </w:rPr>
        <w:t>建设项目所在地周边的土壤环境敏感程度分为敏感、较敏感、不敏感，根据《环</w:t>
      </w:r>
      <w:r>
        <w:rPr>
          <w:rFonts w:hint="default" w:ascii="Times New Roman" w:hAnsi="Times New Roman" w:eastAsia="宋体" w:cs="Times New Roman"/>
          <w:color w:val="auto"/>
          <w:sz w:val="24"/>
          <w:szCs w:val="24"/>
          <w:highlight w:val="none"/>
        </w:rPr>
        <w:t>境影响评价技术导则土壤环境》（试行</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z w:val="24"/>
          <w:szCs w:val="24"/>
          <w:highlight w:val="none"/>
        </w:rPr>
        <w:t>HJ964-201</w:t>
      </w:r>
      <w:r>
        <w:rPr>
          <w:rFonts w:hint="default" w:ascii="Times New Roman" w:hAnsi="Times New Roman" w:eastAsia="Times New Roman" w:cs="Times New Roman"/>
          <w:color w:val="auto"/>
          <w:spacing w:val="-1"/>
          <w:sz w:val="24"/>
          <w:szCs w:val="24"/>
          <w:highlight w:val="none"/>
        </w:rPr>
        <w:t>8</w:t>
      </w:r>
      <w:r>
        <w:rPr>
          <w:rFonts w:hint="default" w:ascii="Times New Roman" w:hAnsi="Times New Roman" w:eastAsia="宋体" w:cs="Times New Roman"/>
          <w:color w:val="auto"/>
          <w:spacing w:val="-1"/>
          <w:sz w:val="24"/>
          <w:szCs w:val="24"/>
          <w:highlight w:val="none"/>
        </w:rPr>
        <w:t>）</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"6.2.2.2" </w:instrText>
      </w:r>
      <w:r>
        <w:rPr>
          <w:rFonts w:hint="default" w:ascii="Times New Roman" w:hAnsi="Times New Roman" w:cs="Times New Roman"/>
          <w:color w:val="auto"/>
          <w:highlight w:val="none"/>
        </w:rPr>
        <w:fldChar w:fldCharType="separate"/>
      </w:r>
      <w:r>
        <w:rPr>
          <w:rFonts w:hint="default" w:ascii="Times New Roman" w:hAnsi="Times New Roman" w:eastAsia="Times New Roman" w:cs="Times New Roman"/>
          <w:color w:val="auto"/>
          <w:spacing w:val="-1"/>
          <w:sz w:val="24"/>
          <w:szCs w:val="24"/>
          <w:highlight w:val="none"/>
        </w:rPr>
        <w:t>6.2.2.2</w:t>
      </w:r>
      <w:r>
        <w:rPr>
          <w:rFonts w:hint="default" w:ascii="Times New Roman" w:hAnsi="Times New Roman" w:eastAsia="Times New Roman" w:cs="Times New Roman"/>
          <w:color w:val="auto"/>
          <w:spacing w:val="-1"/>
          <w:sz w:val="24"/>
          <w:szCs w:val="24"/>
          <w:highlight w:val="none"/>
        </w:rPr>
        <w:fldChar w:fldCharType="end"/>
      </w:r>
      <w:r>
        <w:rPr>
          <w:rFonts w:hint="default" w:ascii="Times New Roman" w:hAnsi="Times New Roman" w:eastAsia="宋体" w:cs="Times New Roman"/>
          <w:color w:val="auto"/>
          <w:spacing w:val="-1"/>
          <w:sz w:val="24"/>
          <w:szCs w:val="24"/>
          <w:highlight w:val="none"/>
        </w:rPr>
        <w:t>章节，</w:t>
      </w:r>
      <w:r>
        <w:rPr>
          <w:rFonts w:hint="default" w:ascii="Times New Roman" w:hAnsi="Times New Roman" w:eastAsia="宋体" w:cs="Times New Roman"/>
          <w:color w:val="auto"/>
          <w:spacing w:val="-3"/>
          <w:sz w:val="24"/>
          <w:szCs w:val="24"/>
          <w:highlight w:val="none"/>
        </w:rPr>
        <w:t>本项目为设施农用地，周边涉及耕地</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lang w:val="en-US" w:eastAsia="zh-CN"/>
        </w:rPr>
        <w:t>项目敏感程度为敏感</w:t>
      </w:r>
      <w:r>
        <w:rPr>
          <w:rFonts w:hint="default" w:ascii="Times New Roman" w:hAnsi="Times New Roman" w:eastAsia="宋体" w:cs="Times New Roman"/>
          <w:color w:val="auto"/>
          <w:spacing w:val="-3"/>
          <w:sz w:val="24"/>
          <w:szCs w:val="24"/>
          <w:highlight w:val="none"/>
        </w:rPr>
        <w:t>。土壤环境敏感程度分级判定依据，见下表。</w:t>
      </w:r>
    </w:p>
    <w:p w14:paraId="7802AF28">
      <w:pPr>
        <w:keepNext w:val="0"/>
        <w:keepLines w:val="0"/>
        <w:pageBreakBefore w:val="0"/>
        <w:kinsoku/>
        <w:wordWrap w:val="0"/>
        <w:overflowPunct/>
        <w:topLinePunct/>
        <w:autoSpaceDE/>
        <w:autoSpaceDN/>
        <w:bidi w:val="0"/>
        <w:adjustRightInd w:val="0"/>
        <w:snapToGrid w:val="0"/>
        <w:spacing w:before="85" w:line="221" w:lineRule="auto"/>
        <w:ind w:left="2804"/>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2.5-1</w:t>
      </w:r>
      <w:r>
        <w:rPr>
          <w:rFonts w:hint="eastAsia" w:ascii="Times New Roman" w:hAnsi="Times New Roman" w:eastAsia="宋体" w:cs="Times New Roman"/>
          <w:b/>
          <w:bCs/>
          <w:color w:val="auto"/>
          <w:spacing w:val="-1"/>
          <w:sz w:val="24"/>
          <w:szCs w:val="24"/>
          <w:highlight w:val="none"/>
          <w:lang w:val="en-US" w:eastAsia="zh-CN"/>
        </w:rPr>
        <w:t>5</w:t>
      </w:r>
      <w:r>
        <w:rPr>
          <w:rFonts w:hint="default" w:ascii="Times New Roman" w:hAnsi="Times New Roman" w:eastAsia="宋体" w:cs="Times New Roman"/>
          <w:b/>
          <w:bCs/>
          <w:color w:val="auto"/>
          <w:spacing w:val="-1"/>
          <w:sz w:val="24"/>
          <w:szCs w:val="24"/>
          <w:highlight w:val="none"/>
        </w:rPr>
        <w:t>土壤环境敏感程度分级</w:t>
      </w:r>
    </w:p>
    <w:tbl>
      <w:tblPr>
        <w:tblStyle w:val="34"/>
        <w:tblW w:w="8997"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2446"/>
        <w:gridCol w:w="6551"/>
      </w:tblGrid>
      <w:tr w14:paraId="7001B5D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446" w:type="dxa"/>
            <w:tcBorders>
              <w:tl2br w:val="nil"/>
              <w:tr2bl w:val="nil"/>
            </w:tcBorders>
            <w:vAlign w:val="center"/>
          </w:tcPr>
          <w:p w14:paraId="55255F34">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敏感程度</w:t>
            </w:r>
          </w:p>
        </w:tc>
        <w:tc>
          <w:tcPr>
            <w:tcW w:w="6551" w:type="dxa"/>
            <w:tcBorders>
              <w:tl2br w:val="nil"/>
              <w:tr2bl w:val="nil"/>
            </w:tcBorders>
            <w:vAlign w:val="center"/>
          </w:tcPr>
          <w:p w14:paraId="00EBA4BE">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判别依据</w:t>
            </w:r>
          </w:p>
        </w:tc>
      </w:tr>
      <w:tr w14:paraId="70B3B8D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446" w:type="dxa"/>
            <w:tcBorders>
              <w:tl2br w:val="nil"/>
              <w:tr2bl w:val="nil"/>
            </w:tcBorders>
            <w:vAlign w:val="center"/>
          </w:tcPr>
          <w:p w14:paraId="18F02A53">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敏感</w:t>
            </w:r>
          </w:p>
        </w:tc>
        <w:tc>
          <w:tcPr>
            <w:tcW w:w="6551" w:type="dxa"/>
            <w:tcBorders>
              <w:tl2br w:val="nil"/>
              <w:tr2bl w:val="nil"/>
            </w:tcBorders>
            <w:vAlign w:val="center"/>
          </w:tcPr>
          <w:p w14:paraId="3273631B">
            <w:pPr>
              <w:pStyle w:val="35"/>
              <w:keepNext w:val="0"/>
              <w:keepLines w:val="0"/>
              <w:pageBreakBefore w:val="0"/>
              <w:widowControl/>
              <w:kinsoku/>
              <w:wordWrap w:val="0"/>
              <w:overflowPunct/>
              <w:topLinePunct/>
              <w:autoSpaceDE/>
              <w:autoSpaceDN/>
              <w:bidi w:val="0"/>
              <w:adjustRightInd w:val="0"/>
              <w:snapToGrid w:val="0"/>
              <w:spacing w:line="240" w:lineRule="auto"/>
              <w:ind w:left="0" w:right="0" w:hanging="736"/>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建设项目周边存在耕地、园地、牧草地、饮用水水</w:t>
            </w:r>
            <w:r>
              <w:rPr>
                <w:rFonts w:hint="default" w:ascii="Times New Roman" w:hAnsi="Times New Roman" w:cs="Times New Roman"/>
                <w:color w:val="auto"/>
                <w:spacing w:val="-2"/>
                <w:highlight w:val="none"/>
              </w:rPr>
              <w:t>源地或者居民区、</w:t>
            </w:r>
            <w:r>
              <w:rPr>
                <w:rFonts w:hint="default" w:ascii="Times New Roman" w:hAnsi="Times New Roman" w:cs="Times New Roman"/>
                <w:color w:val="auto"/>
                <w:spacing w:val="-1"/>
                <w:highlight w:val="none"/>
              </w:rPr>
              <w:t>学校、医院、疗养院、养老院等土壤环境敏感目标的</w:t>
            </w:r>
          </w:p>
        </w:tc>
      </w:tr>
      <w:tr w14:paraId="1DDBCE9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446" w:type="dxa"/>
            <w:tcBorders>
              <w:tl2br w:val="nil"/>
              <w:tr2bl w:val="nil"/>
            </w:tcBorders>
            <w:vAlign w:val="center"/>
          </w:tcPr>
          <w:p w14:paraId="5BCA5C3A">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较敏感</w:t>
            </w:r>
          </w:p>
        </w:tc>
        <w:tc>
          <w:tcPr>
            <w:tcW w:w="6551" w:type="dxa"/>
            <w:tcBorders>
              <w:tl2br w:val="nil"/>
              <w:tr2bl w:val="nil"/>
            </w:tcBorders>
            <w:vAlign w:val="center"/>
          </w:tcPr>
          <w:p w14:paraId="6BA1654F">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建设项目周边存在其他土壤环境敏感目标的</w:t>
            </w:r>
          </w:p>
        </w:tc>
      </w:tr>
      <w:tr w14:paraId="3994B6A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31" w:hRule="atLeast"/>
          <w:jc w:val="center"/>
        </w:trPr>
        <w:tc>
          <w:tcPr>
            <w:tcW w:w="2446" w:type="dxa"/>
            <w:tcBorders>
              <w:tl2br w:val="nil"/>
              <w:tr2bl w:val="nil"/>
            </w:tcBorders>
            <w:vAlign w:val="center"/>
          </w:tcPr>
          <w:p w14:paraId="6121B9AB">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不敏感</w:t>
            </w:r>
          </w:p>
        </w:tc>
        <w:tc>
          <w:tcPr>
            <w:tcW w:w="6551" w:type="dxa"/>
            <w:tcBorders>
              <w:tl2br w:val="nil"/>
              <w:tr2bl w:val="nil"/>
            </w:tcBorders>
            <w:vAlign w:val="center"/>
          </w:tcPr>
          <w:p w14:paraId="51C80942">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其他情况</w:t>
            </w:r>
          </w:p>
        </w:tc>
      </w:tr>
    </w:tbl>
    <w:p w14:paraId="5E1116C7">
      <w:pPr>
        <w:keepNext w:val="0"/>
        <w:keepLines w:val="0"/>
        <w:pageBreakBefore w:val="0"/>
        <w:kinsoku/>
        <w:wordWrap w:val="0"/>
        <w:overflowPunct/>
        <w:topLinePunct/>
        <w:autoSpaceDE/>
        <w:autoSpaceDN/>
        <w:bidi w:val="0"/>
        <w:adjustRightInd w:val="0"/>
        <w:snapToGrid w:val="0"/>
        <w:spacing w:before="34" w:line="218" w:lineRule="auto"/>
        <w:ind w:left="634"/>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四、评价工作等级确定</w:t>
      </w:r>
    </w:p>
    <w:p w14:paraId="64793035">
      <w:pPr>
        <w:keepNext w:val="0"/>
        <w:keepLines w:val="0"/>
        <w:pageBreakBefore w:val="0"/>
        <w:kinsoku/>
        <w:wordWrap w:val="0"/>
        <w:overflowPunct/>
        <w:topLinePunct/>
        <w:autoSpaceDE/>
        <w:autoSpaceDN/>
        <w:bidi w:val="0"/>
        <w:adjustRightInd w:val="0"/>
        <w:snapToGrid w:val="0"/>
        <w:spacing w:before="184" w:line="212" w:lineRule="auto"/>
        <w:ind w:left="2956"/>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2.5-1</w:t>
      </w:r>
      <w:r>
        <w:rPr>
          <w:rFonts w:hint="eastAsia"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宋体" w:cs="Times New Roman"/>
          <w:b/>
          <w:bCs/>
          <w:color w:val="auto"/>
          <w:spacing w:val="-1"/>
          <w:sz w:val="24"/>
          <w:szCs w:val="24"/>
          <w:highlight w:val="none"/>
        </w:rPr>
        <w:t>评价工作等级分级表</w:t>
      </w:r>
    </w:p>
    <w:tbl>
      <w:tblPr>
        <w:tblStyle w:val="34"/>
        <w:tblW w:w="9004" w:type="dxa"/>
        <w:tblInd w:w="14"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2348"/>
        <w:gridCol w:w="766"/>
        <w:gridCol w:w="766"/>
        <w:gridCol w:w="766"/>
        <w:gridCol w:w="720"/>
        <w:gridCol w:w="674"/>
        <w:gridCol w:w="749"/>
        <w:gridCol w:w="751"/>
        <w:gridCol w:w="734"/>
        <w:gridCol w:w="730"/>
      </w:tblGrid>
      <w:tr w14:paraId="57CA4BA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96" w:hRule="atLeast"/>
        </w:trPr>
        <w:tc>
          <w:tcPr>
            <w:tcW w:w="2348" w:type="dxa"/>
            <w:vMerge w:val="restart"/>
            <w:tcBorders>
              <w:tl2br w:val="nil"/>
              <w:tr2bl w:val="nil"/>
            </w:tcBorders>
            <w:vAlign w:val="top"/>
          </w:tcPr>
          <w:p w14:paraId="15BCB9EC">
            <w:pPr>
              <w:pStyle w:val="35"/>
              <w:keepNext w:val="0"/>
              <w:keepLines w:val="0"/>
              <w:pageBreakBefore w:val="0"/>
              <w:kinsoku/>
              <w:wordWrap w:val="0"/>
              <w:overflowPunct/>
              <w:topLinePunct/>
              <w:autoSpaceDE/>
              <w:autoSpaceDN/>
              <w:bidi w:val="0"/>
              <w:adjustRightInd w:val="0"/>
              <w:snapToGrid w:val="0"/>
              <w:spacing w:before="37" w:line="239" w:lineRule="auto"/>
              <w:ind w:left="115" w:right="103" w:firstLine="1324"/>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pict>
                <v:shape id="_x0000_s1033" o:spid="_x0000_s1033" style="position:absolute;left:0pt;margin-left:0.65pt;margin-top:1.55pt;height:50.85pt;width:117.4pt;z-index:-251653120;mso-width-relative:page;mso-height-relative:page;" filled="f" stroked="t" coordsize="2296,849" path="m2292,844l922,4m2291,843l0,475e">
                  <v:fill on="f" focussize="0,0"/>
                  <v:stroke weight="0.5pt" color="#000000" miterlimit="10" joinstyle="miter"/>
                  <v:imagedata o:title=""/>
                  <o:lock v:ext="edit" aspectratio="f"/>
                </v:shape>
              </w:pict>
            </w:r>
            <w:r>
              <w:rPr>
                <w:rFonts w:hint="default" w:ascii="Times New Roman" w:hAnsi="Times New Roman" w:cs="Times New Roman"/>
                <w:b/>
                <w:bCs/>
                <w:color w:val="auto"/>
                <w:spacing w:val="-12"/>
                <w:highlight w:val="none"/>
              </w:rPr>
              <w:t>占地规模</w:t>
            </w:r>
            <w:r>
              <w:rPr>
                <w:rFonts w:hint="default" w:ascii="Times New Roman" w:hAnsi="Times New Roman" w:cs="Times New Roman"/>
                <w:b/>
                <w:bCs/>
                <w:color w:val="auto"/>
                <w:spacing w:val="-3"/>
                <w:highlight w:val="none"/>
              </w:rPr>
              <w:t>评价工作等级</w:t>
            </w:r>
          </w:p>
          <w:p w14:paraId="5CC4472B">
            <w:pPr>
              <w:pStyle w:val="35"/>
              <w:keepNext w:val="0"/>
              <w:keepLines w:val="0"/>
              <w:pageBreakBefore w:val="0"/>
              <w:kinsoku/>
              <w:wordWrap w:val="0"/>
              <w:overflowPunct/>
              <w:topLinePunct/>
              <w:autoSpaceDE/>
              <w:autoSpaceDN/>
              <w:bidi w:val="0"/>
              <w:adjustRightInd w:val="0"/>
              <w:snapToGrid w:val="0"/>
              <w:spacing w:line="205" w:lineRule="auto"/>
              <w:ind w:left="117"/>
              <w:textAlignment w:val="baseline"/>
              <w:rPr>
                <w:rFonts w:hint="default" w:ascii="Times New Roman" w:hAnsi="Times New Roman" w:cs="Times New Roman"/>
                <w:b/>
                <w:bCs/>
                <w:color w:val="auto"/>
                <w:spacing w:val="-4"/>
                <w:highlight w:val="none"/>
              </w:rPr>
            </w:pPr>
          </w:p>
          <w:p w14:paraId="66CB446C">
            <w:pPr>
              <w:pStyle w:val="35"/>
              <w:keepNext w:val="0"/>
              <w:keepLines w:val="0"/>
              <w:pageBreakBefore w:val="0"/>
              <w:kinsoku/>
              <w:wordWrap w:val="0"/>
              <w:overflowPunct/>
              <w:topLinePunct/>
              <w:autoSpaceDE/>
              <w:autoSpaceDN/>
              <w:bidi w:val="0"/>
              <w:adjustRightInd w:val="0"/>
              <w:snapToGrid w:val="0"/>
              <w:spacing w:line="205" w:lineRule="auto"/>
              <w:ind w:left="117"/>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敏感程度</w:t>
            </w:r>
          </w:p>
        </w:tc>
        <w:tc>
          <w:tcPr>
            <w:tcW w:w="2298" w:type="dxa"/>
            <w:gridSpan w:val="3"/>
            <w:tcBorders>
              <w:tl2br w:val="nil"/>
              <w:tr2bl w:val="nil"/>
            </w:tcBorders>
            <w:vAlign w:val="top"/>
          </w:tcPr>
          <w:p w14:paraId="00B97AFC">
            <w:pPr>
              <w:keepNext w:val="0"/>
              <w:keepLines w:val="0"/>
              <w:pageBreakBefore w:val="0"/>
              <w:kinsoku/>
              <w:wordWrap w:val="0"/>
              <w:overflowPunct/>
              <w:topLinePunct/>
              <w:autoSpaceDE/>
              <w:autoSpaceDN/>
              <w:bidi w:val="0"/>
              <w:adjustRightInd w:val="0"/>
              <w:snapToGrid w:val="0"/>
              <w:spacing w:before="129" w:line="233" w:lineRule="auto"/>
              <w:ind w:left="110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b/>
                <w:bCs/>
                <w:color w:val="auto"/>
                <w:sz w:val="21"/>
                <w:szCs w:val="21"/>
                <w:highlight w:val="none"/>
              </w:rPr>
              <w:t>I</w:t>
            </w:r>
          </w:p>
        </w:tc>
        <w:tc>
          <w:tcPr>
            <w:tcW w:w="2143" w:type="dxa"/>
            <w:gridSpan w:val="3"/>
            <w:tcBorders>
              <w:tl2br w:val="nil"/>
              <w:tr2bl w:val="nil"/>
            </w:tcBorders>
            <w:vAlign w:val="top"/>
          </w:tcPr>
          <w:p w14:paraId="62A0296A">
            <w:pPr>
              <w:keepNext w:val="0"/>
              <w:keepLines w:val="0"/>
              <w:pageBreakBefore w:val="0"/>
              <w:kinsoku/>
              <w:wordWrap w:val="0"/>
              <w:overflowPunct/>
              <w:topLinePunct/>
              <w:autoSpaceDE/>
              <w:autoSpaceDN/>
              <w:bidi w:val="0"/>
              <w:adjustRightInd w:val="0"/>
              <w:snapToGrid w:val="0"/>
              <w:spacing w:before="129" w:line="233" w:lineRule="auto"/>
              <w:ind w:left="98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b/>
                <w:bCs/>
                <w:color w:val="auto"/>
                <w:spacing w:val="-1"/>
                <w:sz w:val="21"/>
                <w:szCs w:val="21"/>
                <w:highlight w:val="none"/>
              </w:rPr>
              <w:t>II</w:t>
            </w:r>
          </w:p>
        </w:tc>
        <w:tc>
          <w:tcPr>
            <w:tcW w:w="2215" w:type="dxa"/>
            <w:gridSpan w:val="3"/>
            <w:tcBorders>
              <w:tl2br w:val="nil"/>
              <w:tr2bl w:val="nil"/>
            </w:tcBorders>
            <w:vAlign w:val="top"/>
          </w:tcPr>
          <w:p w14:paraId="43FBA271">
            <w:pPr>
              <w:keepNext w:val="0"/>
              <w:keepLines w:val="0"/>
              <w:pageBreakBefore w:val="0"/>
              <w:kinsoku/>
              <w:wordWrap w:val="0"/>
              <w:overflowPunct/>
              <w:topLinePunct/>
              <w:autoSpaceDE/>
              <w:autoSpaceDN/>
              <w:bidi w:val="0"/>
              <w:adjustRightInd w:val="0"/>
              <w:snapToGrid w:val="0"/>
              <w:spacing w:before="129" w:line="233" w:lineRule="auto"/>
              <w:ind w:left="98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b/>
                <w:bCs/>
                <w:color w:val="auto"/>
                <w:spacing w:val="-1"/>
                <w:sz w:val="21"/>
                <w:szCs w:val="21"/>
                <w:highlight w:val="none"/>
              </w:rPr>
              <w:t>III</w:t>
            </w:r>
          </w:p>
        </w:tc>
      </w:tr>
      <w:tr w14:paraId="070AF4F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23" w:hRule="atLeast"/>
        </w:trPr>
        <w:tc>
          <w:tcPr>
            <w:tcW w:w="2348" w:type="dxa"/>
            <w:vMerge w:val="continue"/>
            <w:tcBorders>
              <w:tl2br w:val="nil"/>
              <w:tr2bl w:val="nil"/>
            </w:tcBorders>
            <w:vAlign w:val="top"/>
          </w:tcPr>
          <w:p w14:paraId="1C0EA506">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766" w:type="dxa"/>
            <w:tcBorders>
              <w:tl2br w:val="nil"/>
              <w:tr2bl w:val="nil"/>
            </w:tcBorders>
            <w:vAlign w:val="top"/>
          </w:tcPr>
          <w:p w14:paraId="7A668F38">
            <w:pPr>
              <w:pStyle w:val="35"/>
              <w:keepNext w:val="0"/>
              <w:keepLines w:val="0"/>
              <w:pageBreakBefore w:val="0"/>
              <w:kinsoku/>
              <w:wordWrap w:val="0"/>
              <w:overflowPunct/>
              <w:topLinePunct/>
              <w:autoSpaceDE/>
              <w:autoSpaceDN/>
              <w:bidi w:val="0"/>
              <w:adjustRightInd w:val="0"/>
              <w:snapToGrid w:val="0"/>
              <w:spacing w:before="105" w:line="221" w:lineRule="auto"/>
              <w:ind w:left="283"/>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大</w:t>
            </w:r>
          </w:p>
        </w:tc>
        <w:tc>
          <w:tcPr>
            <w:tcW w:w="766" w:type="dxa"/>
            <w:tcBorders>
              <w:tl2br w:val="nil"/>
              <w:tr2bl w:val="nil"/>
            </w:tcBorders>
            <w:vAlign w:val="top"/>
          </w:tcPr>
          <w:p w14:paraId="3DC52DF2">
            <w:pPr>
              <w:pStyle w:val="35"/>
              <w:keepNext w:val="0"/>
              <w:keepLines w:val="0"/>
              <w:pageBreakBefore w:val="0"/>
              <w:kinsoku/>
              <w:wordWrap w:val="0"/>
              <w:overflowPunct/>
              <w:topLinePunct/>
              <w:autoSpaceDE/>
              <w:autoSpaceDN/>
              <w:bidi w:val="0"/>
              <w:adjustRightInd w:val="0"/>
              <w:snapToGrid w:val="0"/>
              <w:spacing w:before="105" w:line="221" w:lineRule="auto"/>
              <w:ind w:left="300"/>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中</w:t>
            </w:r>
          </w:p>
        </w:tc>
        <w:tc>
          <w:tcPr>
            <w:tcW w:w="766" w:type="dxa"/>
            <w:tcBorders>
              <w:tl2br w:val="nil"/>
              <w:tr2bl w:val="nil"/>
            </w:tcBorders>
            <w:vAlign w:val="top"/>
          </w:tcPr>
          <w:p w14:paraId="76962F42">
            <w:pPr>
              <w:pStyle w:val="35"/>
              <w:keepNext w:val="0"/>
              <w:keepLines w:val="0"/>
              <w:pageBreakBefore w:val="0"/>
              <w:kinsoku/>
              <w:wordWrap w:val="0"/>
              <w:overflowPunct/>
              <w:topLinePunct/>
              <w:autoSpaceDE/>
              <w:autoSpaceDN/>
              <w:bidi w:val="0"/>
              <w:adjustRightInd w:val="0"/>
              <w:snapToGrid w:val="0"/>
              <w:spacing w:before="105" w:line="223" w:lineRule="auto"/>
              <w:ind w:left="286"/>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小</w:t>
            </w:r>
          </w:p>
        </w:tc>
        <w:tc>
          <w:tcPr>
            <w:tcW w:w="720" w:type="dxa"/>
            <w:tcBorders>
              <w:tl2br w:val="nil"/>
              <w:tr2bl w:val="nil"/>
            </w:tcBorders>
            <w:vAlign w:val="top"/>
          </w:tcPr>
          <w:p w14:paraId="45D1FA8E">
            <w:pPr>
              <w:pStyle w:val="35"/>
              <w:keepNext w:val="0"/>
              <w:keepLines w:val="0"/>
              <w:pageBreakBefore w:val="0"/>
              <w:kinsoku/>
              <w:wordWrap w:val="0"/>
              <w:overflowPunct/>
              <w:topLinePunct/>
              <w:autoSpaceDE/>
              <w:autoSpaceDN/>
              <w:bidi w:val="0"/>
              <w:adjustRightInd w:val="0"/>
              <w:snapToGrid w:val="0"/>
              <w:spacing w:before="105" w:line="221" w:lineRule="auto"/>
              <w:ind w:left="259"/>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大</w:t>
            </w:r>
          </w:p>
        </w:tc>
        <w:tc>
          <w:tcPr>
            <w:tcW w:w="674" w:type="dxa"/>
            <w:tcBorders>
              <w:tl2br w:val="nil"/>
              <w:tr2bl w:val="nil"/>
            </w:tcBorders>
            <w:vAlign w:val="top"/>
          </w:tcPr>
          <w:p w14:paraId="0C0B6407">
            <w:pPr>
              <w:pStyle w:val="35"/>
              <w:keepNext w:val="0"/>
              <w:keepLines w:val="0"/>
              <w:pageBreakBefore w:val="0"/>
              <w:kinsoku/>
              <w:wordWrap w:val="0"/>
              <w:overflowPunct/>
              <w:topLinePunct/>
              <w:autoSpaceDE/>
              <w:autoSpaceDN/>
              <w:bidi w:val="0"/>
              <w:adjustRightInd w:val="0"/>
              <w:snapToGrid w:val="0"/>
              <w:spacing w:before="105" w:line="221" w:lineRule="auto"/>
              <w:ind w:left="252"/>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中</w:t>
            </w:r>
          </w:p>
        </w:tc>
        <w:tc>
          <w:tcPr>
            <w:tcW w:w="749" w:type="dxa"/>
            <w:tcBorders>
              <w:tl2br w:val="nil"/>
              <w:tr2bl w:val="nil"/>
            </w:tcBorders>
            <w:vAlign w:val="top"/>
          </w:tcPr>
          <w:p w14:paraId="65D33E06">
            <w:pPr>
              <w:pStyle w:val="35"/>
              <w:keepNext w:val="0"/>
              <w:keepLines w:val="0"/>
              <w:pageBreakBefore w:val="0"/>
              <w:kinsoku/>
              <w:wordWrap w:val="0"/>
              <w:overflowPunct/>
              <w:topLinePunct/>
              <w:autoSpaceDE/>
              <w:autoSpaceDN/>
              <w:bidi w:val="0"/>
              <w:adjustRightInd w:val="0"/>
              <w:snapToGrid w:val="0"/>
              <w:spacing w:before="105" w:line="223" w:lineRule="auto"/>
              <w:ind w:left="280"/>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小</w:t>
            </w:r>
          </w:p>
        </w:tc>
        <w:tc>
          <w:tcPr>
            <w:tcW w:w="751" w:type="dxa"/>
            <w:tcBorders>
              <w:tl2br w:val="nil"/>
              <w:tr2bl w:val="nil"/>
            </w:tcBorders>
            <w:vAlign w:val="top"/>
          </w:tcPr>
          <w:p w14:paraId="664C8E8A">
            <w:pPr>
              <w:pStyle w:val="35"/>
              <w:keepNext w:val="0"/>
              <w:keepLines w:val="0"/>
              <w:pageBreakBefore w:val="0"/>
              <w:kinsoku/>
              <w:wordWrap w:val="0"/>
              <w:overflowPunct/>
              <w:topLinePunct/>
              <w:autoSpaceDE/>
              <w:autoSpaceDN/>
              <w:bidi w:val="0"/>
              <w:adjustRightInd w:val="0"/>
              <w:snapToGrid w:val="0"/>
              <w:spacing w:before="105" w:line="221" w:lineRule="auto"/>
              <w:ind w:left="276"/>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大</w:t>
            </w:r>
          </w:p>
        </w:tc>
        <w:tc>
          <w:tcPr>
            <w:tcW w:w="734" w:type="dxa"/>
            <w:tcBorders>
              <w:tl2br w:val="nil"/>
              <w:tr2bl w:val="nil"/>
            </w:tcBorders>
            <w:vAlign w:val="top"/>
          </w:tcPr>
          <w:p w14:paraId="70C64765">
            <w:pPr>
              <w:pStyle w:val="35"/>
              <w:keepNext w:val="0"/>
              <w:keepLines w:val="0"/>
              <w:pageBreakBefore w:val="0"/>
              <w:kinsoku/>
              <w:wordWrap w:val="0"/>
              <w:overflowPunct/>
              <w:topLinePunct/>
              <w:autoSpaceDE/>
              <w:autoSpaceDN/>
              <w:bidi w:val="0"/>
              <w:adjustRightInd w:val="0"/>
              <w:snapToGrid w:val="0"/>
              <w:spacing w:before="105" w:line="221" w:lineRule="auto"/>
              <w:ind w:left="287"/>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中</w:t>
            </w:r>
          </w:p>
        </w:tc>
        <w:tc>
          <w:tcPr>
            <w:tcW w:w="730" w:type="dxa"/>
            <w:tcBorders>
              <w:tl2br w:val="nil"/>
              <w:tr2bl w:val="nil"/>
            </w:tcBorders>
            <w:vAlign w:val="top"/>
          </w:tcPr>
          <w:p w14:paraId="7D21605E">
            <w:pPr>
              <w:pStyle w:val="35"/>
              <w:keepNext w:val="0"/>
              <w:keepLines w:val="0"/>
              <w:pageBreakBefore w:val="0"/>
              <w:kinsoku/>
              <w:wordWrap w:val="0"/>
              <w:overflowPunct/>
              <w:topLinePunct/>
              <w:autoSpaceDE/>
              <w:autoSpaceDN/>
              <w:bidi w:val="0"/>
              <w:adjustRightInd w:val="0"/>
              <w:snapToGrid w:val="0"/>
              <w:spacing w:before="105" w:line="223" w:lineRule="auto"/>
              <w:ind w:left="271"/>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小</w:t>
            </w:r>
          </w:p>
        </w:tc>
      </w:tr>
      <w:tr w14:paraId="6660B06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2348" w:type="dxa"/>
            <w:tcBorders>
              <w:tl2br w:val="nil"/>
              <w:tr2bl w:val="nil"/>
            </w:tcBorders>
            <w:vAlign w:val="top"/>
          </w:tcPr>
          <w:p w14:paraId="169BD0E2">
            <w:pPr>
              <w:pStyle w:val="35"/>
              <w:keepNext w:val="0"/>
              <w:keepLines w:val="0"/>
              <w:pageBreakBefore w:val="0"/>
              <w:kinsoku/>
              <w:wordWrap w:val="0"/>
              <w:overflowPunct/>
              <w:topLinePunct/>
              <w:autoSpaceDE/>
              <w:autoSpaceDN/>
              <w:bidi w:val="0"/>
              <w:adjustRightInd w:val="0"/>
              <w:snapToGrid w:val="0"/>
              <w:spacing w:before="32" w:line="206" w:lineRule="auto"/>
              <w:ind w:left="97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敏感</w:t>
            </w:r>
          </w:p>
        </w:tc>
        <w:tc>
          <w:tcPr>
            <w:tcW w:w="766" w:type="dxa"/>
            <w:tcBorders>
              <w:tl2br w:val="nil"/>
              <w:tr2bl w:val="nil"/>
            </w:tcBorders>
            <w:vAlign w:val="top"/>
          </w:tcPr>
          <w:p w14:paraId="7974AA3E">
            <w:pPr>
              <w:pStyle w:val="35"/>
              <w:keepNext w:val="0"/>
              <w:keepLines w:val="0"/>
              <w:pageBreakBefore w:val="0"/>
              <w:kinsoku/>
              <w:wordWrap w:val="0"/>
              <w:overflowPunct/>
              <w:topLinePunct/>
              <w:autoSpaceDE/>
              <w:autoSpaceDN/>
              <w:bidi w:val="0"/>
              <w:adjustRightInd w:val="0"/>
              <w:snapToGrid w:val="0"/>
              <w:spacing w:before="32" w:line="206"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一级</w:t>
            </w:r>
          </w:p>
        </w:tc>
        <w:tc>
          <w:tcPr>
            <w:tcW w:w="766" w:type="dxa"/>
            <w:tcBorders>
              <w:tl2br w:val="nil"/>
              <w:tr2bl w:val="nil"/>
            </w:tcBorders>
            <w:vAlign w:val="top"/>
          </w:tcPr>
          <w:p w14:paraId="19E10D49">
            <w:pPr>
              <w:pStyle w:val="35"/>
              <w:keepNext w:val="0"/>
              <w:keepLines w:val="0"/>
              <w:pageBreakBefore w:val="0"/>
              <w:kinsoku/>
              <w:wordWrap w:val="0"/>
              <w:overflowPunct/>
              <w:topLinePunct/>
              <w:autoSpaceDE/>
              <w:autoSpaceDN/>
              <w:bidi w:val="0"/>
              <w:adjustRightInd w:val="0"/>
              <w:snapToGrid w:val="0"/>
              <w:spacing w:before="32" w:line="206"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一级</w:t>
            </w:r>
          </w:p>
        </w:tc>
        <w:tc>
          <w:tcPr>
            <w:tcW w:w="766" w:type="dxa"/>
            <w:tcBorders>
              <w:tl2br w:val="nil"/>
              <w:tr2bl w:val="nil"/>
            </w:tcBorders>
            <w:vAlign w:val="top"/>
          </w:tcPr>
          <w:p w14:paraId="28A8CD37">
            <w:pPr>
              <w:pStyle w:val="35"/>
              <w:keepNext w:val="0"/>
              <w:keepLines w:val="0"/>
              <w:pageBreakBefore w:val="0"/>
              <w:kinsoku/>
              <w:wordWrap w:val="0"/>
              <w:overflowPunct/>
              <w:topLinePunct/>
              <w:autoSpaceDE/>
              <w:autoSpaceDN/>
              <w:bidi w:val="0"/>
              <w:adjustRightInd w:val="0"/>
              <w:snapToGrid w:val="0"/>
              <w:spacing w:before="32" w:line="206"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一级</w:t>
            </w:r>
          </w:p>
        </w:tc>
        <w:tc>
          <w:tcPr>
            <w:tcW w:w="720" w:type="dxa"/>
            <w:tcBorders>
              <w:tl2br w:val="nil"/>
              <w:tr2bl w:val="nil"/>
            </w:tcBorders>
            <w:vAlign w:val="top"/>
          </w:tcPr>
          <w:p w14:paraId="0C7B35B6">
            <w:pPr>
              <w:pStyle w:val="35"/>
              <w:keepNext w:val="0"/>
              <w:keepLines w:val="0"/>
              <w:pageBreakBefore w:val="0"/>
              <w:kinsoku/>
              <w:wordWrap w:val="0"/>
              <w:overflowPunct/>
              <w:topLinePunct/>
              <w:autoSpaceDE/>
              <w:autoSpaceDN/>
              <w:bidi w:val="0"/>
              <w:adjustRightInd w:val="0"/>
              <w:snapToGrid w:val="0"/>
              <w:spacing w:before="32" w:line="206" w:lineRule="auto"/>
              <w:ind w:left="15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674" w:type="dxa"/>
            <w:tcBorders>
              <w:tl2br w:val="nil"/>
              <w:tr2bl w:val="nil"/>
            </w:tcBorders>
            <w:vAlign w:val="top"/>
          </w:tcPr>
          <w:p w14:paraId="31B03927">
            <w:pPr>
              <w:pStyle w:val="35"/>
              <w:keepNext w:val="0"/>
              <w:keepLines w:val="0"/>
              <w:pageBreakBefore w:val="0"/>
              <w:kinsoku/>
              <w:wordWrap w:val="0"/>
              <w:overflowPunct/>
              <w:topLinePunct/>
              <w:autoSpaceDE/>
              <w:autoSpaceDN/>
              <w:bidi w:val="0"/>
              <w:adjustRightInd w:val="0"/>
              <w:snapToGrid w:val="0"/>
              <w:spacing w:before="32" w:line="206" w:lineRule="auto"/>
              <w:ind w:left="13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749" w:type="dxa"/>
            <w:tcBorders>
              <w:tl2br w:val="nil"/>
              <w:tr2bl w:val="nil"/>
            </w:tcBorders>
            <w:vAlign w:val="top"/>
          </w:tcPr>
          <w:p w14:paraId="744EBDA3">
            <w:pPr>
              <w:pStyle w:val="35"/>
              <w:keepNext w:val="0"/>
              <w:keepLines w:val="0"/>
              <w:pageBreakBefore w:val="0"/>
              <w:kinsoku/>
              <w:wordWrap w:val="0"/>
              <w:overflowPunct/>
              <w:topLinePunct/>
              <w:autoSpaceDE/>
              <w:autoSpaceDN/>
              <w:bidi w:val="0"/>
              <w:adjustRightInd w:val="0"/>
              <w:snapToGrid w:val="0"/>
              <w:spacing w:before="32" w:line="206" w:lineRule="auto"/>
              <w:ind w:left="17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751" w:type="dxa"/>
            <w:tcBorders>
              <w:tl2br w:val="nil"/>
              <w:tr2bl w:val="nil"/>
            </w:tcBorders>
            <w:vAlign w:val="top"/>
          </w:tcPr>
          <w:p w14:paraId="30611A56">
            <w:pPr>
              <w:pStyle w:val="35"/>
              <w:keepNext w:val="0"/>
              <w:keepLines w:val="0"/>
              <w:pageBreakBefore w:val="0"/>
              <w:kinsoku/>
              <w:wordWrap w:val="0"/>
              <w:overflowPunct/>
              <w:topLinePunct/>
              <w:autoSpaceDE/>
              <w:autoSpaceDN/>
              <w:bidi w:val="0"/>
              <w:adjustRightInd w:val="0"/>
              <w:snapToGrid w:val="0"/>
              <w:spacing w:before="32" w:line="206" w:lineRule="auto"/>
              <w:ind w:left="16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c>
          <w:tcPr>
            <w:tcW w:w="734" w:type="dxa"/>
            <w:tcBorders>
              <w:tl2br w:val="nil"/>
              <w:tr2bl w:val="nil"/>
            </w:tcBorders>
            <w:vAlign w:val="top"/>
          </w:tcPr>
          <w:p w14:paraId="3928C38E">
            <w:pPr>
              <w:pStyle w:val="35"/>
              <w:keepNext w:val="0"/>
              <w:keepLines w:val="0"/>
              <w:pageBreakBefore w:val="0"/>
              <w:kinsoku/>
              <w:wordWrap w:val="0"/>
              <w:overflowPunct/>
              <w:topLinePunct/>
              <w:autoSpaceDE/>
              <w:autoSpaceDN/>
              <w:bidi w:val="0"/>
              <w:adjustRightInd w:val="0"/>
              <w:snapToGrid w:val="0"/>
              <w:spacing w:before="32" w:line="206" w:lineRule="auto"/>
              <w:ind w:left="16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c>
          <w:tcPr>
            <w:tcW w:w="730" w:type="dxa"/>
            <w:tcBorders>
              <w:tl2br w:val="nil"/>
              <w:tr2bl w:val="nil"/>
            </w:tcBorders>
            <w:vAlign w:val="top"/>
          </w:tcPr>
          <w:p w14:paraId="2C2B86B1">
            <w:pPr>
              <w:pStyle w:val="35"/>
              <w:keepNext w:val="0"/>
              <w:keepLines w:val="0"/>
              <w:pageBreakBefore w:val="0"/>
              <w:kinsoku/>
              <w:wordWrap w:val="0"/>
              <w:overflowPunct/>
              <w:topLinePunct/>
              <w:autoSpaceDE/>
              <w:autoSpaceDN/>
              <w:bidi w:val="0"/>
              <w:adjustRightInd w:val="0"/>
              <w:snapToGrid w:val="0"/>
              <w:spacing w:before="32" w:line="206" w:lineRule="auto"/>
              <w:ind w:left="16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r>
      <w:tr w14:paraId="735E264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2348" w:type="dxa"/>
            <w:tcBorders>
              <w:tl2br w:val="nil"/>
              <w:tr2bl w:val="nil"/>
            </w:tcBorders>
            <w:vAlign w:val="top"/>
          </w:tcPr>
          <w:p w14:paraId="0D2A4670">
            <w:pPr>
              <w:pStyle w:val="35"/>
              <w:keepNext w:val="0"/>
              <w:keepLines w:val="0"/>
              <w:pageBreakBefore w:val="0"/>
              <w:kinsoku/>
              <w:wordWrap w:val="0"/>
              <w:overflowPunct/>
              <w:topLinePunct/>
              <w:autoSpaceDE/>
              <w:autoSpaceDN/>
              <w:bidi w:val="0"/>
              <w:adjustRightInd w:val="0"/>
              <w:snapToGrid w:val="0"/>
              <w:spacing w:before="34" w:line="203" w:lineRule="auto"/>
              <w:ind w:left="86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较敏感</w:t>
            </w:r>
          </w:p>
        </w:tc>
        <w:tc>
          <w:tcPr>
            <w:tcW w:w="766" w:type="dxa"/>
            <w:tcBorders>
              <w:tl2br w:val="nil"/>
              <w:tr2bl w:val="nil"/>
            </w:tcBorders>
            <w:vAlign w:val="top"/>
          </w:tcPr>
          <w:p w14:paraId="37F7165D">
            <w:pPr>
              <w:pStyle w:val="35"/>
              <w:keepNext w:val="0"/>
              <w:keepLines w:val="0"/>
              <w:pageBreakBefore w:val="0"/>
              <w:kinsoku/>
              <w:wordWrap w:val="0"/>
              <w:overflowPunct/>
              <w:topLinePunct/>
              <w:autoSpaceDE/>
              <w:autoSpaceDN/>
              <w:bidi w:val="0"/>
              <w:adjustRightInd w:val="0"/>
              <w:snapToGrid w:val="0"/>
              <w:spacing w:before="34" w:line="203"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一级</w:t>
            </w:r>
          </w:p>
        </w:tc>
        <w:tc>
          <w:tcPr>
            <w:tcW w:w="766" w:type="dxa"/>
            <w:tcBorders>
              <w:tl2br w:val="nil"/>
              <w:tr2bl w:val="nil"/>
            </w:tcBorders>
            <w:vAlign w:val="top"/>
          </w:tcPr>
          <w:p w14:paraId="74BF5306">
            <w:pPr>
              <w:pStyle w:val="35"/>
              <w:keepNext w:val="0"/>
              <w:keepLines w:val="0"/>
              <w:pageBreakBefore w:val="0"/>
              <w:kinsoku/>
              <w:wordWrap w:val="0"/>
              <w:overflowPunct/>
              <w:topLinePunct/>
              <w:autoSpaceDE/>
              <w:autoSpaceDN/>
              <w:bidi w:val="0"/>
              <w:adjustRightInd w:val="0"/>
              <w:snapToGrid w:val="0"/>
              <w:spacing w:before="34" w:line="203"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一级</w:t>
            </w:r>
          </w:p>
        </w:tc>
        <w:tc>
          <w:tcPr>
            <w:tcW w:w="766" w:type="dxa"/>
            <w:tcBorders>
              <w:tl2br w:val="nil"/>
              <w:tr2bl w:val="nil"/>
            </w:tcBorders>
            <w:vAlign w:val="top"/>
          </w:tcPr>
          <w:p w14:paraId="146B511A">
            <w:pPr>
              <w:pStyle w:val="35"/>
              <w:keepNext w:val="0"/>
              <w:keepLines w:val="0"/>
              <w:pageBreakBefore w:val="0"/>
              <w:kinsoku/>
              <w:wordWrap w:val="0"/>
              <w:overflowPunct/>
              <w:topLinePunct/>
              <w:autoSpaceDE/>
              <w:autoSpaceDN/>
              <w:bidi w:val="0"/>
              <w:adjustRightInd w:val="0"/>
              <w:snapToGrid w:val="0"/>
              <w:spacing w:before="34" w:line="203"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720" w:type="dxa"/>
            <w:tcBorders>
              <w:tl2br w:val="nil"/>
              <w:tr2bl w:val="nil"/>
            </w:tcBorders>
            <w:vAlign w:val="top"/>
          </w:tcPr>
          <w:p w14:paraId="76848FC2">
            <w:pPr>
              <w:pStyle w:val="35"/>
              <w:keepNext w:val="0"/>
              <w:keepLines w:val="0"/>
              <w:pageBreakBefore w:val="0"/>
              <w:kinsoku/>
              <w:wordWrap w:val="0"/>
              <w:overflowPunct/>
              <w:topLinePunct/>
              <w:autoSpaceDE/>
              <w:autoSpaceDN/>
              <w:bidi w:val="0"/>
              <w:adjustRightInd w:val="0"/>
              <w:snapToGrid w:val="0"/>
              <w:spacing w:before="34" w:line="203" w:lineRule="auto"/>
              <w:ind w:left="15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674" w:type="dxa"/>
            <w:tcBorders>
              <w:tl2br w:val="nil"/>
              <w:tr2bl w:val="nil"/>
            </w:tcBorders>
            <w:vAlign w:val="top"/>
          </w:tcPr>
          <w:p w14:paraId="53E100C3">
            <w:pPr>
              <w:pStyle w:val="35"/>
              <w:keepNext w:val="0"/>
              <w:keepLines w:val="0"/>
              <w:pageBreakBefore w:val="0"/>
              <w:kinsoku/>
              <w:wordWrap w:val="0"/>
              <w:overflowPunct/>
              <w:topLinePunct/>
              <w:autoSpaceDE/>
              <w:autoSpaceDN/>
              <w:bidi w:val="0"/>
              <w:adjustRightInd w:val="0"/>
              <w:snapToGrid w:val="0"/>
              <w:spacing w:before="34" w:line="203" w:lineRule="auto"/>
              <w:ind w:left="13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749" w:type="dxa"/>
            <w:tcBorders>
              <w:tl2br w:val="nil"/>
              <w:tr2bl w:val="nil"/>
            </w:tcBorders>
            <w:vAlign w:val="top"/>
          </w:tcPr>
          <w:p w14:paraId="73C03AAE">
            <w:pPr>
              <w:pStyle w:val="35"/>
              <w:keepNext w:val="0"/>
              <w:keepLines w:val="0"/>
              <w:pageBreakBefore w:val="0"/>
              <w:kinsoku/>
              <w:wordWrap w:val="0"/>
              <w:overflowPunct/>
              <w:topLinePunct/>
              <w:autoSpaceDE/>
              <w:autoSpaceDN/>
              <w:bidi w:val="0"/>
              <w:adjustRightInd w:val="0"/>
              <w:snapToGrid w:val="0"/>
              <w:spacing w:before="34" w:line="203" w:lineRule="auto"/>
              <w:ind w:left="16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c>
          <w:tcPr>
            <w:tcW w:w="751" w:type="dxa"/>
            <w:tcBorders>
              <w:tl2br w:val="nil"/>
              <w:tr2bl w:val="nil"/>
            </w:tcBorders>
            <w:vAlign w:val="top"/>
          </w:tcPr>
          <w:p w14:paraId="7A8D80C0">
            <w:pPr>
              <w:pStyle w:val="35"/>
              <w:keepNext w:val="0"/>
              <w:keepLines w:val="0"/>
              <w:pageBreakBefore w:val="0"/>
              <w:kinsoku/>
              <w:wordWrap w:val="0"/>
              <w:overflowPunct/>
              <w:topLinePunct/>
              <w:autoSpaceDE/>
              <w:autoSpaceDN/>
              <w:bidi w:val="0"/>
              <w:adjustRightInd w:val="0"/>
              <w:snapToGrid w:val="0"/>
              <w:spacing w:before="34" w:line="203" w:lineRule="auto"/>
              <w:ind w:left="16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c>
          <w:tcPr>
            <w:tcW w:w="734" w:type="dxa"/>
            <w:tcBorders>
              <w:tl2br w:val="nil"/>
              <w:tr2bl w:val="nil"/>
            </w:tcBorders>
            <w:vAlign w:val="top"/>
          </w:tcPr>
          <w:p w14:paraId="625BE76E">
            <w:pPr>
              <w:pStyle w:val="35"/>
              <w:keepNext w:val="0"/>
              <w:keepLines w:val="0"/>
              <w:pageBreakBefore w:val="0"/>
              <w:kinsoku/>
              <w:wordWrap w:val="0"/>
              <w:overflowPunct/>
              <w:topLinePunct/>
              <w:autoSpaceDE/>
              <w:autoSpaceDN/>
              <w:bidi w:val="0"/>
              <w:adjustRightInd w:val="0"/>
              <w:snapToGrid w:val="0"/>
              <w:spacing w:before="34" w:line="203" w:lineRule="auto"/>
              <w:ind w:left="16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c>
          <w:tcPr>
            <w:tcW w:w="730" w:type="dxa"/>
            <w:tcBorders>
              <w:tl2br w:val="nil"/>
              <w:tr2bl w:val="nil"/>
            </w:tcBorders>
            <w:vAlign w:val="top"/>
          </w:tcPr>
          <w:p w14:paraId="2F77D35A">
            <w:pPr>
              <w:keepNext w:val="0"/>
              <w:keepLines w:val="0"/>
              <w:pageBreakBefore w:val="0"/>
              <w:kinsoku/>
              <w:wordWrap w:val="0"/>
              <w:overflowPunct/>
              <w:topLinePunct/>
              <w:autoSpaceDE/>
              <w:autoSpaceDN/>
              <w:bidi w:val="0"/>
              <w:adjustRightInd w:val="0"/>
              <w:snapToGrid w:val="0"/>
              <w:spacing w:before="152" w:line="101" w:lineRule="exact"/>
              <w:ind w:left="25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position w:val="-2"/>
                <w:sz w:val="21"/>
                <w:szCs w:val="21"/>
                <w:highlight w:val="none"/>
              </w:rPr>
              <w:t>—</w:t>
            </w:r>
          </w:p>
        </w:tc>
      </w:tr>
      <w:tr w14:paraId="13E05F0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2" w:hRule="atLeast"/>
        </w:trPr>
        <w:tc>
          <w:tcPr>
            <w:tcW w:w="2348" w:type="dxa"/>
            <w:tcBorders>
              <w:tl2br w:val="nil"/>
              <w:tr2bl w:val="nil"/>
            </w:tcBorders>
            <w:vAlign w:val="top"/>
          </w:tcPr>
          <w:p w14:paraId="1C2D0B9C">
            <w:pPr>
              <w:pStyle w:val="35"/>
              <w:keepNext w:val="0"/>
              <w:keepLines w:val="0"/>
              <w:pageBreakBefore w:val="0"/>
              <w:kinsoku/>
              <w:wordWrap w:val="0"/>
              <w:overflowPunct/>
              <w:topLinePunct/>
              <w:autoSpaceDE/>
              <w:autoSpaceDN/>
              <w:bidi w:val="0"/>
              <w:adjustRightInd w:val="0"/>
              <w:snapToGrid w:val="0"/>
              <w:spacing w:before="36" w:line="207" w:lineRule="auto"/>
              <w:ind w:left="86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不敏感</w:t>
            </w:r>
          </w:p>
        </w:tc>
        <w:tc>
          <w:tcPr>
            <w:tcW w:w="766" w:type="dxa"/>
            <w:tcBorders>
              <w:tl2br w:val="nil"/>
              <w:tr2bl w:val="nil"/>
            </w:tcBorders>
            <w:vAlign w:val="top"/>
          </w:tcPr>
          <w:p w14:paraId="2D857002">
            <w:pPr>
              <w:pStyle w:val="35"/>
              <w:keepNext w:val="0"/>
              <w:keepLines w:val="0"/>
              <w:pageBreakBefore w:val="0"/>
              <w:kinsoku/>
              <w:wordWrap w:val="0"/>
              <w:overflowPunct/>
              <w:topLinePunct/>
              <w:autoSpaceDE/>
              <w:autoSpaceDN/>
              <w:bidi w:val="0"/>
              <w:adjustRightInd w:val="0"/>
              <w:snapToGrid w:val="0"/>
              <w:spacing w:before="36" w:line="207"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一级</w:t>
            </w:r>
          </w:p>
        </w:tc>
        <w:tc>
          <w:tcPr>
            <w:tcW w:w="766" w:type="dxa"/>
            <w:tcBorders>
              <w:tl2br w:val="nil"/>
              <w:tr2bl w:val="nil"/>
            </w:tcBorders>
            <w:vAlign w:val="top"/>
          </w:tcPr>
          <w:p w14:paraId="21740AD0">
            <w:pPr>
              <w:pStyle w:val="35"/>
              <w:keepNext w:val="0"/>
              <w:keepLines w:val="0"/>
              <w:pageBreakBefore w:val="0"/>
              <w:kinsoku/>
              <w:wordWrap w:val="0"/>
              <w:overflowPunct/>
              <w:topLinePunct/>
              <w:autoSpaceDE/>
              <w:autoSpaceDN/>
              <w:bidi w:val="0"/>
              <w:adjustRightInd w:val="0"/>
              <w:snapToGrid w:val="0"/>
              <w:spacing w:before="36" w:line="207"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766" w:type="dxa"/>
            <w:tcBorders>
              <w:tl2br w:val="nil"/>
              <w:tr2bl w:val="nil"/>
            </w:tcBorders>
            <w:vAlign w:val="top"/>
          </w:tcPr>
          <w:p w14:paraId="65294AE0">
            <w:pPr>
              <w:pStyle w:val="35"/>
              <w:keepNext w:val="0"/>
              <w:keepLines w:val="0"/>
              <w:pageBreakBefore w:val="0"/>
              <w:kinsoku/>
              <w:wordWrap w:val="0"/>
              <w:overflowPunct/>
              <w:topLinePunct/>
              <w:autoSpaceDE/>
              <w:autoSpaceDN/>
              <w:bidi w:val="0"/>
              <w:adjustRightInd w:val="0"/>
              <w:snapToGrid w:val="0"/>
              <w:spacing w:before="36" w:line="207" w:lineRule="auto"/>
              <w:ind w:left="18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720" w:type="dxa"/>
            <w:tcBorders>
              <w:tl2br w:val="nil"/>
              <w:tr2bl w:val="nil"/>
            </w:tcBorders>
            <w:vAlign w:val="top"/>
          </w:tcPr>
          <w:p w14:paraId="3EDAF607">
            <w:pPr>
              <w:pStyle w:val="35"/>
              <w:keepNext w:val="0"/>
              <w:keepLines w:val="0"/>
              <w:pageBreakBefore w:val="0"/>
              <w:kinsoku/>
              <w:wordWrap w:val="0"/>
              <w:overflowPunct/>
              <w:topLinePunct/>
              <w:autoSpaceDE/>
              <w:autoSpaceDN/>
              <w:bidi w:val="0"/>
              <w:adjustRightInd w:val="0"/>
              <w:snapToGrid w:val="0"/>
              <w:spacing w:before="36" w:line="207" w:lineRule="auto"/>
              <w:ind w:left="15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二级</w:t>
            </w:r>
          </w:p>
        </w:tc>
        <w:tc>
          <w:tcPr>
            <w:tcW w:w="674" w:type="dxa"/>
            <w:tcBorders>
              <w:tl2br w:val="nil"/>
              <w:tr2bl w:val="nil"/>
            </w:tcBorders>
            <w:vAlign w:val="top"/>
          </w:tcPr>
          <w:p w14:paraId="74616ED3">
            <w:pPr>
              <w:pStyle w:val="35"/>
              <w:keepNext w:val="0"/>
              <w:keepLines w:val="0"/>
              <w:pageBreakBefore w:val="0"/>
              <w:kinsoku/>
              <w:wordWrap w:val="0"/>
              <w:overflowPunct/>
              <w:topLinePunct/>
              <w:autoSpaceDE/>
              <w:autoSpaceDN/>
              <w:bidi w:val="0"/>
              <w:adjustRightInd w:val="0"/>
              <w:snapToGrid w:val="0"/>
              <w:spacing w:before="36" w:line="207" w:lineRule="auto"/>
              <w:ind w:left="12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c>
          <w:tcPr>
            <w:tcW w:w="749" w:type="dxa"/>
            <w:tcBorders>
              <w:tl2br w:val="nil"/>
              <w:tr2bl w:val="nil"/>
            </w:tcBorders>
            <w:vAlign w:val="top"/>
          </w:tcPr>
          <w:p w14:paraId="229A66C3">
            <w:pPr>
              <w:pStyle w:val="35"/>
              <w:keepNext w:val="0"/>
              <w:keepLines w:val="0"/>
              <w:pageBreakBefore w:val="0"/>
              <w:kinsoku/>
              <w:wordWrap w:val="0"/>
              <w:overflowPunct/>
              <w:topLinePunct/>
              <w:autoSpaceDE/>
              <w:autoSpaceDN/>
              <w:bidi w:val="0"/>
              <w:adjustRightInd w:val="0"/>
              <w:snapToGrid w:val="0"/>
              <w:spacing w:before="36" w:line="207" w:lineRule="auto"/>
              <w:ind w:left="16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c>
          <w:tcPr>
            <w:tcW w:w="751" w:type="dxa"/>
            <w:tcBorders>
              <w:tl2br w:val="nil"/>
              <w:tr2bl w:val="nil"/>
            </w:tcBorders>
            <w:vAlign w:val="top"/>
          </w:tcPr>
          <w:p w14:paraId="1942E1BE">
            <w:pPr>
              <w:pStyle w:val="35"/>
              <w:keepNext w:val="0"/>
              <w:keepLines w:val="0"/>
              <w:pageBreakBefore w:val="0"/>
              <w:kinsoku/>
              <w:wordWrap w:val="0"/>
              <w:overflowPunct/>
              <w:topLinePunct/>
              <w:autoSpaceDE/>
              <w:autoSpaceDN/>
              <w:bidi w:val="0"/>
              <w:adjustRightInd w:val="0"/>
              <w:snapToGrid w:val="0"/>
              <w:spacing w:before="36" w:line="207" w:lineRule="auto"/>
              <w:ind w:left="16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c>
          <w:tcPr>
            <w:tcW w:w="734" w:type="dxa"/>
            <w:tcBorders>
              <w:tl2br w:val="nil"/>
              <w:tr2bl w:val="nil"/>
            </w:tcBorders>
            <w:vAlign w:val="top"/>
          </w:tcPr>
          <w:p w14:paraId="78DBC2CB">
            <w:pPr>
              <w:keepNext w:val="0"/>
              <w:keepLines w:val="0"/>
              <w:pageBreakBefore w:val="0"/>
              <w:tabs>
                <w:tab w:val="left" w:pos="472"/>
              </w:tabs>
              <w:kinsoku/>
              <w:wordWrap w:val="0"/>
              <w:overflowPunct/>
              <w:topLinePunct/>
              <w:autoSpaceDE/>
              <w:autoSpaceDN/>
              <w:bidi w:val="0"/>
              <w:adjustRightInd w:val="0"/>
              <w:snapToGrid w:val="0"/>
              <w:spacing w:before="1" w:line="209" w:lineRule="auto"/>
              <w:ind w:left="257"/>
              <w:textAlignment w:val="baseline"/>
              <w:rPr>
                <w:rFonts w:hint="default" w:ascii="Times New Roman" w:hAnsi="Times New Roman" w:cs="Times New Roman"/>
                <w:color w:val="auto"/>
                <w:sz w:val="21"/>
                <w:highlight w:val="none"/>
              </w:rPr>
            </w:pPr>
            <w:r>
              <w:rPr>
                <w:rFonts w:hint="default" w:ascii="Times New Roman" w:hAnsi="Times New Roman" w:eastAsia="Arial" w:cs="Times New Roman"/>
                <w:color w:val="auto"/>
                <w:sz w:val="21"/>
                <w:szCs w:val="21"/>
                <w:highlight w:val="none"/>
                <w:u w:val="single" w:color="auto"/>
              </w:rPr>
              <w:tab/>
            </w:r>
          </w:p>
        </w:tc>
        <w:tc>
          <w:tcPr>
            <w:tcW w:w="730" w:type="dxa"/>
            <w:tcBorders>
              <w:tl2br w:val="nil"/>
              <w:tr2bl w:val="nil"/>
            </w:tcBorders>
            <w:vAlign w:val="top"/>
          </w:tcPr>
          <w:p w14:paraId="75CF68DA">
            <w:pPr>
              <w:keepNext w:val="0"/>
              <w:keepLines w:val="0"/>
              <w:pageBreakBefore w:val="0"/>
              <w:kinsoku/>
              <w:wordWrap w:val="0"/>
              <w:overflowPunct/>
              <w:topLinePunct/>
              <w:autoSpaceDE/>
              <w:autoSpaceDN/>
              <w:bidi w:val="0"/>
              <w:adjustRightInd w:val="0"/>
              <w:snapToGrid w:val="0"/>
              <w:spacing w:before="156" w:line="100" w:lineRule="exact"/>
              <w:ind w:left="25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4"/>
                <w:position w:val="-2"/>
                <w:sz w:val="21"/>
                <w:szCs w:val="21"/>
                <w:highlight w:val="none"/>
              </w:rPr>
              <w:t>—</w:t>
            </w:r>
          </w:p>
        </w:tc>
      </w:tr>
      <w:tr w14:paraId="407071F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2" w:hRule="atLeast"/>
        </w:trPr>
        <w:tc>
          <w:tcPr>
            <w:tcW w:w="9004" w:type="dxa"/>
            <w:gridSpan w:val="10"/>
            <w:tcBorders>
              <w:tl2br w:val="nil"/>
              <w:tr2bl w:val="nil"/>
            </w:tcBorders>
            <w:vAlign w:val="top"/>
          </w:tcPr>
          <w:p w14:paraId="358BF898">
            <w:pPr>
              <w:keepNext w:val="0"/>
              <w:keepLines w:val="0"/>
              <w:pageBreakBefore w:val="0"/>
              <w:kinsoku/>
              <w:wordWrap w:val="0"/>
              <w:overflowPunct/>
              <w:topLinePunct/>
              <w:autoSpaceDE/>
              <w:autoSpaceDN/>
              <w:bidi w:val="0"/>
              <w:adjustRightInd w:val="0"/>
              <w:snapToGrid w:val="0"/>
              <w:spacing w:before="30" w:line="214" w:lineRule="auto"/>
              <w:textAlignment w:val="baseline"/>
              <w:rPr>
                <w:rFonts w:hint="default" w:ascii="Times New Roman" w:hAnsi="Times New Roman" w:eastAsia="Times New Roman" w:cs="Times New Roman"/>
                <w:color w:val="auto"/>
                <w:spacing w:val="4"/>
                <w:position w:val="-2"/>
                <w:sz w:val="21"/>
                <w:szCs w:val="21"/>
                <w:highlight w:val="none"/>
              </w:rPr>
            </w:pPr>
            <w:r>
              <w:rPr>
                <w:rFonts w:hint="default" w:ascii="Times New Roman" w:hAnsi="Times New Roman" w:eastAsia="宋体" w:cs="Times New Roman"/>
                <w:color w:val="auto"/>
                <w:spacing w:val="-1"/>
                <w:sz w:val="21"/>
                <w:szCs w:val="21"/>
                <w:highlight w:val="none"/>
              </w:rPr>
              <w:t>注：</w:t>
            </w:r>
            <w:r>
              <w:rPr>
                <w:rFonts w:hint="default" w:ascii="Times New Roman" w:hAnsi="Times New Roman" w:eastAsia="Times New Roman" w:cs="Times New Roman"/>
                <w:color w:val="auto"/>
                <w:spacing w:val="-1"/>
                <w:sz w:val="21"/>
                <w:szCs w:val="21"/>
                <w:highlight w:val="none"/>
              </w:rPr>
              <w:t>“—”</w:t>
            </w:r>
            <w:r>
              <w:rPr>
                <w:rFonts w:hint="default" w:ascii="Times New Roman" w:hAnsi="Times New Roman" w:eastAsia="宋体" w:cs="Times New Roman"/>
                <w:color w:val="auto"/>
                <w:spacing w:val="-1"/>
                <w:sz w:val="21"/>
                <w:szCs w:val="21"/>
                <w:highlight w:val="none"/>
              </w:rPr>
              <w:t>表示可不开展土壤环境影响评价工作</w:t>
            </w:r>
          </w:p>
        </w:tc>
      </w:tr>
    </w:tbl>
    <w:p w14:paraId="345F2897">
      <w:pPr>
        <w:keepNext w:val="0"/>
        <w:keepLines w:val="0"/>
        <w:pageBreakBefore w:val="0"/>
        <w:kinsoku/>
        <w:wordWrap w:val="0"/>
        <w:overflowPunct/>
        <w:topLinePunct/>
        <w:autoSpaceDE/>
        <w:autoSpaceDN/>
        <w:bidi w:val="0"/>
        <w:adjustRightInd w:val="0"/>
        <w:snapToGrid w:val="0"/>
        <w:spacing w:before="48" w:line="218" w:lineRule="auto"/>
        <w:textAlignment w:val="baseline"/>
        <w:rPr>
          <w:rFonts w:hint="default" w:ascii="Times New Roman" w:hAnsi="Times New Roman" w:eastAsia="宋体" w:cs="Times New Roman"/>
          <w:color w:val="auto"/>
          <w:spacing w:val="-1"/>
          <w:sz w:val="24"/>
          <w:szCs w:val="24"/>
          <w:highlight w:val="none"/>
        </w:rPr>
      </w:pPr>
      <w:r>
        <w:rPr>
          <w:rFonts w:hint="default" w:ascii="Times New Roman" w:hAnsi="Times New Roman" w:eastAsia="宋体" w:cs="Times New Roman"/>
          <w:color w:val="auto"/>
          <w:sz w:val="24"/>
          <w:szCs w:val="24"/>
          <w:highlight w:val="none"/>
        </w:rPr>
        <w:t>根据评价工作等级划分判定，确定本项目土壤环境影</w:t>
      </w:r>
      <w:r>
        <w:rPr>
          <w:rFonts w:hint="default" w:ascii="Times New Roman" w:hAnsi="Times New Roman" w:eastAsia="宋体" w:cs="Times New Roman"/>
          <w:color w:val="auto"/>
          <w:spacing w:val="-1"/>
          <w:sz w:val="24"/>
          <w:szCs w:val="24"/>
          <w:highlight w:val="none"/>
        </w:rPr>
        <w:t>响评价等级为三级。</w:t>
      </w:r>
    </w:p>
    <w:p w14:paraId="64CBD3B1">
      <w:pPr>
        <w:pStyle w:val="11"/>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76215" cy="2794000"/>
            <wp:effectExtent l="0" t="0" r="635" b="6350"/>
            <wp:docPr id="8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0"/>
                    <pic:cNvPicPr>
                      <a:picLocks noChangeAspect="1"/>
                    </pic:cNvPicPr>
                  </pic:nvPicPr>
                  <pic:blipFill>
                    <a:blip r:embed="rId63"/>
                    <a:stretch>
                      <a:fillRect/>
                    </a:stretch>
                  </pic:blipFill>
                  <pic:spPr>
                    <a:xfrm>
                      <a:off x="0" y="0"/>
                      <a:ext cx="5276215" cy="2794000"/>
                    </a:xfrm>
                    <a:prstGeom prst="rect">
                      <a:avLst/>
                    </a:prstGeom>
                    <a:noFill/>
                    <a:ln>
                      <a:noFill/>
                    </a:ln>
                  </pic:spPr>
                </pic:pic>
              </a:graphicData>
            </a:graphic>
          </wp:inline>
        </w:drawing>
      </w:r>
    </w:p>
    <w:p w14:paraId="20B0A684">
      <w:pPr>
        <w:pStyle w:val="11"/>
        <w:jc w:val="center"/>
        <w:rPr>
          <w:rFonts w:hint="default" w:ascii="Times New Roman" w:hAnsi="Times New Roman" w:cs="Times New Roman"/>
          <w:color w:val="auto"/>
          <w:sz w:val="24"/>
          <w:szCs w:val="24"/>
          <w:highlight w:val="none"/>
        </w:rPr>
      </w:pPr>
      <w:r>
        <w:rPr>
          <w:rFonts w:hint="default" w:ascii="Times New Roman" w:hAnsi="Times New Roman" w:cs="Times New Roman"/>
          <w:b/>
          <w:bCs/>
          <w:color w:val="auto"/>
          <w:sz w:val="24"/>
          <w:szCs w:val="24"/>
          <w:highlight w:val="none"/>
          <w:lang w:val="en-US" w:eastAsia="zh-CN"/>
        </w:rPr>
        <w:t>图2.5-5 土壤评价范围图</w:t>
      </w:r>
    </w:p>
    <w:p w14:paraId="412FE583">
      <w:pPr>
        <w:keepNext w:val="0"/>
        <w:keepLines w:val="0"/>
        <w:pageBreakBefore w:val="0"/>
        <w:kinsoku/>
        <w:wordWrap w:val="0"/>
        <w:overflowPunct/>
        <w:topLinePunct/>
        <w:autoSpaceDE/>
        <w:autoSpaceDN/>
        <w:bidi w:val="0"/>
        <w:adjustRightInd w:val="0"/>
        <w:snapToGrid w:val="0"/>
        <w:spacing w:before="182" w:line="234" w:lineRule="auto"/>
        <w:ind w:left="128"/>
        <w:textAlignment w:val="baseline"/>
        <w:outlineLvl w:val="3"/>
        <w:rPr>
          <w:rFonts w:hint="default" w:ascii="Times New Roman" w:hAnsi="Times New Roman" w:eastAsia="宋体" w:cs="Times New Roman"/>
          <w:color w:val="auto"/>
          <w:sz w:val="24"/>
          <w:szCs w:val="24"/>
          <w:highlight w:val="none"/>
        </w:rPr>
      </w:pPr>
      <w:bookmarkStart w:id="85" w:name="bookmark59"/>
      <w:bookmarkEnd w:id="85"/>
      <w:r>
        <w:rPr>
          <w:rFonts w:hint="default" w:ascii="Times New Roman" w:hAnsi="Times New Roman" w:eastAsia="Times New Roman" w:cs="Times New Roman"/>
          <w:b/>
          <w:bCs/>
          <w:color w:val="auto"/>
          <w:spacing w:val="-1"/>
          <w:sz w:val="24"/>
          <w:szCs w:val="24"/>
          <w:highlight w:val="none"/>
        </w:rPr>
        <w:t>2.5.1.6</w:t>
      </w:r>
      <w:r>
        <w:rPr>
          <w:rFonts w:hint="default" w:ascii="Times New Roman" w:hAnsi="Times New Roman" w:eastAsia="宋体" w:cs="Times New Roman"/>
          <w:b/>
          <w:bCs/>
          <w:color w:val="auto"/>
          <w:spacing w:val="-1"/>
          <w:sz w:val="24"/>
          <w:szCs w:val="24"/>
          <w:highlight w:val="none"/>
        </w:rPr>
        <w:t>生态环境</w:t>
      </w:r>
    </w:p>
    <w:p w14:paraId="770F60A1">
      <w:pPr>
        <w:keepNext w:val="0"/>
        <w:keepLines w:val="0"/>
        <w:pageBreakBefore w:val="0"/>
        <w:kinsoku/>
        <w:wordWrap w:val="0"/>
        <w:overflowPunct/>
        <w:topLinePunct/>
        <w:autoSpaceDE/>
        <w:autoSpaceDN/>
        <w:bidi w:val="0"/>
        <w:adjustRightInd w:val="0"/>
        <w:snapToGrid w:val="0"/>
        <w:spacing w:before="164" w:line="349" w:lineRule="auto"/>
        <w:ind w:left="132" w:right="40" w:firstLine="47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根据《环境影响评价技术导则生态影响》（</w:t>
      </w:r>
      <w:r>
        <w:rPr>
          <w:rFonts w:hint="default" w:ascii="Times New Roman" w:hAnsi="Times New Roman" w:eastAsia="Times New Roman" w:cs="Times New Roman"/>
          <w:color w:val="auto"/>
          <w:spacing w:val="-1"/>
          <w:sz w:val="24"/>
          <w:szCs w:val="24"/>
          <w:highlight w:val="none"/>
        </w:rPr>
        <w:t>HJ1</w:t>
      </w:r>
      <w:r>
        <w:rPr>
          <w:rFonts w:hint="default" w:ascii="Times New Roman" w:hAnsi="Times New Roman" w:eastAsia="Times New Roman" w:cs="Times New Roman"/>
          <w:color w:val="auto"/>
          <w:spacing w:val="-2"/>
          <w:sz w:val="24"/>
          <w:szCs w:val="24"/>
          <w:highlight w:val="none"/>
        </w:rPr>
        <w:t>9-2022</w:t>
      </w:r>
      <w:r>
        <w:rPr>
          <w:rFonts w:hint="default" w:ascii="Times New Roman" w:hAnsi="Times New Roman" w:eastAsia="宋体" w:cs="Times New Roman"/>
          <w:color w:val="auto"/>
          <w:spacing w:val="-2"/>
          <w:sz w:val="24"/>
          <w:szCs w:val="24"/>
          <w:highlight w:val="none"/>
        </w:rPr>
        <w:t>）中</w:t>
      </w:r>
      <w:r>
        <w:rPr>
          <w:rFonts w:hint="default" w:ascii="Times New Roman" w:hAnsi="Times New Roman" w:eastAsia="Times New Roman" w:cs="Times New Roman"/>
          <w:color w:val="auto"/>
          <w:spacing w:val="-2"/>
          <w:sz w:val="24"/>
          <w:szCs w:val="24"/>
          <w:highlight w:val="none"/>
        </w:rPr>
        <w:t>“6.1</w:t>
      </w:r>
      <w:r>
        <w:rPr>
          <w:rFonts w:hint="default" w:ascii="Times New Roman" w:hAnsi="Times New Roman" w:eastAsia="宋体" w:cs="Times New Roman"/>
          <w:color w:val="auto"/>
          <w:spacing w:val="-2"/>
          <w:sz w:val="24"/>
          <w:szCs w:val="24"/>
          <w:highlight w:val="none"/>
        </w:rPr>
        <w:t>评价等级判定，</w:t>
      </w:r>
      <w:r>
        <w:rPr>
          <w:rFonts w:hint="default" w:ascii="Times New Roman" w:hAnsi="Times New Roman" w:eastAsia="宋体" w:cs="Times New Roman"/>
          <w:color w:val="auto"/>
          <w:spacing w:val="-3"/>
          <w:sz w:val="24"/>
          <w:szCs w:val="24"/>
          <w:highlight w:val="none"/>
        </w:rPr>
        <w:t>本项目生态环境评价范围见下表。</w:t>
      </w:r>
    </w:p>
    <w:p w14:paraId="66AC99F3">
      <w:pPr>
        <w:keepNext w:val="0"/>
        <w:keepLines w:val="0"/>
        <w:pageBreakBefore w:val="0"/>
        <w:kinsoku/>
        <w:wordWrap w:val="0"/>
        <w:overflowPunct/>
        <w:topLinePunct/>
        <w:autoSpaceDE/>
        <w:autoSpaceDN/>
        <w:bidi w:val="0"/>
        <w:adjustRightInd w:val="0"/>
        <w:snapToGrid w:val="0"/>
        <w:spacing w:before="25" w:line="214" w:lineRule="auto"/>
        <w:ind w:left="2464"/>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w:t>
      </w:r>
      <w:r>
        <w:rPr>
          <w:rFonts w:hint="eastAsia" w:ascii="Times New Roman" w:hAnsi="Times New Roman" w:eastAsia="宋体" w:cs="Times New Roman"/>
          <w:b/>
          <w:bCs/>
          <w:color w:val="auto"/>
          <w:spacing w:val="-1"/>
          <w:sz w:val="24"/>
          <w:szCs w:val="24"/>
          <w:highlight w:val="none"/>
          <w:lang w:val="en-US" w:eastAsia="zh-CN"/>
        </w:rPr>
        <w:t>.</w:t>
      </w:r>
      <w:r>
        <w:rPr>
          <w:rFonts w:hint="default" w:ascii="Times New Roman" w:hAnsi="Times New Roman" w:eastAsia="Times New Roman" w:cs="Times New Roman"/>
          <w:b/>
          <w:bCs/>
          <w:color w:val="auto"/>
          <w:spacing w:val="-1"/>
          <w:sz w:val="24"/>
          <w:szCs w:val="24"/>
          <w:highlight w:val="none"/>
        </w:rPr>
        <w:t>5-1</w:t>
      </w:r>
      <w:r>
        <w:rPr>
          <w:rFonts w:hint="eastAsia" w:ascii="Times New Roman" w:hAnsi="Times New Roman" w:eastAsia="宋体" w:cs="Times New Roman"/>
          <w:b/>
          <w:bCs/>
          <w:color w:val="auto"/>
          <w:spacing w:val="-1"/>
          <w:sz w:val="24"/>
          <w:szCs w:val="24"/>
          <w:highlight w:val="none"/>
          <w:lang w:val="en-US" w:eastAsia="zh-CN"/>
        </w:rPr>
        <w:t>7</w:t>
      </w:r>
      <w:r>
        <w:rPr>
          <w:rFonts w:hint="default" w:ascii="Times New Roman" w:hAnsi="Times New Roman" w:eastAsia="宋体" w:cs="Times New Roman"/>
          <w:b/>
          <w:bCs/>
          <w:color w:val="auto"/>
          <w:spacing w:val="-1"/>
          <w:sz w:val="24"/>
          <w:szCs w:val="24"/>
          <w:highlight w:val="none"/>
        </w:rPr>
        <w:t>生态影响评价工作等级划分表</w:t>
      </w:r>
    </w:p>
    <w:tbl>
      <w:tblPr>
        <w:tblStyle w:val="34"/>
        <w:tblW w:w="902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17"/>
        <w:gridCol w:w="4284"/>
        <w:gridCol w:w="3123"/>
        <w:gridCol w:w="1097"/>
      </w:tblGrid>
      <w:tr w14:paraId="1507EE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17" w:type="dxa"/>
            <w:tcBorders>
              <w:top w:val="single" w:color="000000" w:sz="10" w:space="0"/>
              <w:left w:val="nil"/>
            </w:tcBorders>
            <w:vAlign w:val="center"/>
          </w:tcPr>
          <w:p w14:paraId="237FD5E5">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序号</w:t>
            </w:r>
          </w:p>
        </w:tc>
        <w:tc>
          <w:tcPr>
            <w:tcW w:w="4284" w:type="dxa"/>
            <w:tcBorders>
              <w:top w:val="single" w:color="000000" w:sz="10" w:space="0"/>
            </w:tcBorders>
            <w:vAlign w:val="center"/>
          </w:tcPr>
          <w:p w14:paraId="4BFAC1E4">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等级判定内容</w:t>
            </w:r>
          </w:p>
        </w:tc>
        <w:tc>
          <w:tcPr>
            <w:tcW w:w="3123" w:type="dxa"/>
            <w:tcBorders>
              <w:top w:val="single" w:color="000000" w:sz="10" w:space="0"/>
            </w:tcBorders>
            <w:vAlign w:val="center"/>
          </w:tcPr>
          <w:p w14:paraId="7FAF608E">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本项目建设内容</w:t>
            </w:r>
          </w:p>
        </w:tc>
        <w:tc>
          <w:tcPr>
            <w:tcW w:w="1097" w:type="dxa"/>
            <w:tcBorders>
              <w:top w:val="single" w:color="000000" w:sz="10" w:space="0"/>
              <w:right w:val="nil"/>
            </w:tcBorders>
            <w:vAlign w:val="center"/>
          </w:tcPr>
          <w:p w14:paraId="103BD6E4">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评价等级</w:t>
            </w:r>
          </w:p>
        </w:tc>
      </w:tr>
      <w:tr w14:paraId="0B9B5B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17" w:type="dxa"/>
            <w:tcBorders>
              <w:left w:val="nil"/>
            </w:tcBorders>
            <w:vAlign w:val="center"/>
          </w:tcPr>
          <w:p w14:paraId="7A9E7467">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4284" w:type="dxa"/>
            <w:vAlign w:val="center"/>
          </w:tcPr>
          <w:p w14:paraId="7882B9B1">
            <w:pPr>
              <w:pStyle w:val="35"/>
              <w:keepNext w:val="0"/>
              <w:keepLines w:val="0"/>
              <w:pageBreakBefore w:val="0"/>
              <w:widowControl/>
              <w:kinsoku/>
              <w:wordWrap w:val="0"/>
              <w:overflowPunct/>
              <w:topLinePunct/>
              <w:autoSpaceDE/>
              <w:autoSpaceDN/>
              <w:bidi w:val="0"/>
              <w:adjustRightInd w:val="0"/>
              <w:snapToGrid w:val="0"/>
              <w:spacing w:line="240" w:lineRule="auto"/>
              <w:ind w:right="126"/>
              <w:jc w:val="center"/>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1"/>
                <w:highlight w:val="none"/>
              </w:rPr>
              <w:t>a</w:t>
            </w:r>
            <w:r>
              <w:rPr>
                <w:rFonts w:hint="default" w:ascii="Times New Roman" w:hAnsi="Times New Roman" w:cs="Times New Roman"/>
                <w:color w:val="auto"/>
                <w:spacing w:val="-1"/>
                <w:highlight w:val="none"/>
              </w:rPr>
              <w:t>）涉及国家公园、自然保护区、世界自然遗产、重要生境时，评价等级为一级；</w:t>
            </w:r>
          </w:p>
        </w:tc>
        <w:tc>
          <w:tcPr>
            <w:tcW w:w="3123" w:type="dxa"/>
            <w:vAlign w:val="center"/>
          </w:tcPr>
          <w:p w14:paraId="381674E7">
            <w:pPr>
              <w:pStyle w:val="35"/>
              <w:keepNext w:val="0"/>
              <w:keepLines w:val="0"/>
              <w:pageBreakBefore w:val="0"/>
              <w:widowControl/>
              <w:kinsoku/>
              <w:wordWrap w:val="0"/>
              <w:overflowPunct/>
              <w:topLinePunct/>
              <w:autoSpaceDE/>
              <w:autoSpaceDN/>
              <w:bidi w:val="0"/>
              <w:adjustRightInd w:val="0"/>
              <w:snapToGrid w:val="0"/>
              <w:spacing w:line="240" w:lineRule="auto"/>
              <w:ind w:right="103"/>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本项目不涉及国家公园、自然保护区、世界自然遗产、重要生境</w:t>
            </w:r>
          </w:p>
        </w:tc>
        <w:tc>
          <w:tcPr>
            <w:tcW w:w="1097" w:type="dxa"/>
            <w:tcBorders>
              <w:right w:val="nil"/>
            </w:tcBorders>
            <w:vAlign w:val="center"/>
          </w:tcPr>
          <w:p w14:paraId="76955136">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0C5143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17" w:type="dxa"/>
            <w:tcBorders>
              <w:left w:val="nil"/>
            </w:tcBorders>
            <w:vAlign w:val="center"/>
          </w:tcPr>
          <w:p w14:paraId="4109EA04">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4284" w:type="dxa"/>
            <w:vAlign w:val="center"/>
          </w:tcPr>
          <w:p w14:paraId="4B170B5D">
            <w:pPr>
              <w:pStyle w:val="35"/>
              <w:keepNext w:val="0"/>
              <w:keepLines w:val="0"/>
              <w:pageBreakBefore w:val="0"/>
              <w:widowControl/>
              <w:kinsoku/>
              <w:wordWrap w:val="0"/>
              <w:overflowPunct/>
              <w:topLinePunct/>
              <w:autoSpaceDE/>
              <w:autoSpaceDN/>
              <w:bidi w:val="0"/>
              <w:adjustRightInd w:val="0"/>
              <w:snapToGrid w:val="0"/>
              <w:spacing w:line="240" w:lineRule="auto"/>
              <w:jc w:val="both"/>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highlight w:val="none"/>
              </w:rPr>
              <w:t>b</w:t>
            </w:r>
            <w:r>
              <w:rPr>
                <w:rFonts w:hint="default" w:ascii="Times New Roman" w:hAnsi="Times New Roman" w:cs="Times New Roman"/>
                <w:color w:val="auto"/>
                <w:highlight w:val="none"/>
              </w:rPr>
              <w:t>）涉及自然公园时，评价等级为二级；</w:t>
            </w:r>
          </w:p>
        </w:tc>
        <w:tc>
          <w:tcPr>
            <w:tcW w:w="3123" w:type="dxa"/>
            <w:vAlign w:val="center"/>
          </w:tcPr>
          <w:p w14:paraId="67A0DC44">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本项目不涉及自然公园</w:t>
            </w:r>
          </w:p>
        </w:tc>
        <w:tc>
          <w:tcPr>
            <w:tcW w:w="1097" w:type="dxa"/>
            <w:tcBorders>
              <w:right w:val="nil"/>
            </w:tcBorders>
            <w:vAlign w:val="center"/>
          </w:tcPr>
          <w:p w14:paraId="59A88D44">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200953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17" w:type="dxa"/>
            <w:tcBorders>
              <w:left w:val="nil"/>
            </w:tcBorders>
            <w:vAlign w:val="center"/>
          </w:tcPr>
          <w:p w14:paraId="16FC8452">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4284" w:type="dxa"/>
            <w:vAlign w:val="center"/>
          </w:tcPr>
          <w:p w14:paraId="19C9C747">
            <w:pPr>
              <w:pStyle w:val="35"/>
              <w:keepNext w:val="0"/>
              <w:keepLines w:val="0"/>
              <w:pageBreakBefore w:val="0"/>
              <w:widowControl/>
              <w:kinsoku/>
              <w:wordWrap w:val="0"/>
              <w:overflowPunct/>
              <w:topLinePunct/>
              <w:autoSpaceDE/>
              <w:autoSpaceDN/>
              <w:bidi w:val="0"/>
              <w:adjustRightInd w:val="0"/>
              <w:snapToGrid w:val="0"/>
              <w:spacing w:line="240" w:lineRule="auto"/>
              <w:jc w:val="both"/>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1"/>
                <w:highlight w:val="none"/>
              </w:rPr>
              <w:t>c</w:t>
            </w:r>
            <w:r>
              <w:rPr>
                <w:rFonts w:hint="default" w:ascii="Times New Roman" w:hAnsi="Times New Roman" w:cs="Times New Roman"/>
                <w:color w:val="auto"/>
                <w:spacing w:val="-1"/>
                <w:highlight w:val="none"/>
              </w:rPr>
              <w:t>）涉及生态保护红线时，评价等级不低于</w:t>
            </w:r>
            <w:r>
              <w:rPr>
                <w:rFonts w:hint="default" w:ascii="Times New Roman" w:hAnsi="Times New Roman" w:cs="Times New Roman"/>
                <w:color w:val="auto"/>
                <w:spacing w:val="-13"/>
                <w:highlight w:val="none"/>
              </w:rPr>
              <w:t>二级；</w:t>
            </w:r>
          </w:p>
        </w:tc>
        <w:tc>
          <w:tcPr>
            <w:tcW w:w="3123" w:type="dxa"/>
            <w:vAlign w:val="center"/>
          </w:tcPr>
          <w:p w14:paraId="5B51AB86">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本项目不涉及生态保护红线</w:t>
            </w:r>
          </w:p>
        </w:tc>
        <w:tc>
          <w:tcPr>
            <w:tcW w:w="1097" w:type="dxa"/>
            <w:tcBorders>
              <w:right w:val="nil"/>
            </w:tcBorders>
            <w:vAlign w:val="center"/>
          </w:tcPr>
          <w:p w14:paraId="4D45DB4F">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6FF3A1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17" w:type="dxa"/>
            <w:tcBorders>
              <w:left w:val="nil"/>
            </w:tcBorders>
            <w:vAlign w:val="center"/>
          </w:tcPr>
          <w:p w14:paraId="04F39050">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4284" w:type="dxa"/>
            <w:vAlign w:val="center"/>
          </w:tcPr>
          <w:p w14:paraId="0B12E76B">
            <w:pPr>
              <w:pStyle w:val="35"/>
              <w:keepNext w:val="0"/>
              <w:keepLines w:val="0"/>
              <w:pageBreakBefore w:val="0"/>
              <w:widowControl/>
              <w:kinsoku/>
              <w:wordWrap w:val="0"/>
              <w:overflowPunct/>
              <w:topLinePunct/>
              <w:autoSpaceDE/>
              <w:autoSpaceDN/>
              <w:bidi w:val="0"/>
              <w:adjustRightInd w:val="0"/>
              <w:snapToGrid w:val="0"/>
              <w:spacing w:line="240" w:lineRule="auto"/>
              <w:jc w:val="both"/>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4"/>
                <w:highlight w:val="none"/>
              </w:rPr>
              <w:t>d</w:t>
            </w:r>
            <w:r>
              <w:rPr>
                <w:rFonts w:hint="default" w:ascii="Times New Roman" w:hAnsi="Times New Roman" w:cs="Times New Roman"/>
                <w:color w:val="auto"/>
                <w:spacing w:val="-4"/>
                <w:highlight w:val="none"/>
              </w:rPr>
              <w:t>）根据</w:t>
            </w:r>
            <w:r>
              <w:rPr>
                <w:rFonts w:hint="default" w:ascii="Times New Roman" w:hAnsi="Times New Roman" w:eastAsia="Times New Roman" w:cs="Times New Roman"/>
                <w:color w:val="auto"/>
                <w:spacing w:val="-4"/>
                <w:highlight w:val="none"/>
              </w:rPr>
              <w:t>HJ2.3</w:t>
            </w:r>
            <w:r>
              <w:rPr>
                <w:rFonts w:hint="default" w:ascii="Times New Roman" w:hAnsi="Times New Roman" w:cs="Times New Roman"/>
                <w:color w:val="auto"/>
                <w:spacing w:val="-4"/>
                <w:highlight w:val="none"/>
              </w:rPr>
              <w:t>判断属于水文要素影响型且地</w:t>
            </w:r>
            <w:r>
              <w:rPr>
                <w:rFonts w:hint="default" w:ascii="Times New Roman" w:hAnsi="Times New Roman" w:cs="Times New Roman"/>
                <w:color w:val="auto"/>
                <w:spacing w:val="-6"/>
                <w:highlight w:val="none"/>
              </w:rPr>
              <w:t>表水评价等级不低于二级的建设项目，生态</w:t>
            </w:r>
            <w:r>
              <w:rPr>
                <w:rFonts w:hint="default" w:ascii="Times New Roman" w:hAnsi="Times New Roman" w:cs="Times New Roman"/>
                <w:color w:val="auto"/>
                <w:spacing w:val="-1"/>
                <w:highlight w:val="none"/>
              </w:rPr>
              <w:t>影响评价等级不低于二级；</w:t>
            </w:r>
          </w:p>
        </w:tc>
        <w:tc>
          <w:tcPr>
            <w:tcW w:w="3123" w:type="dxa"/>
            <w:vAlign w:val="center"/>
          </w:tcPr>
          <w:p w14:paraId="37849A86">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spacing w:val="-3"/>
                <w:highlight w:val="none"/>
              </w:rPr>
              <w:t>本项目为污染影响型，项目地表</w:t>
            </w:r>
            <w:r>
              <w:rPr>
                <w:rFonts w:hint="default" w:ascii="Times New Roman" w:hAnsi="Times New Roman" w:cs="Times New Roman"/>
                <w:color w:val="auto"/>
                <w:spacing w:val="-1"/>
                <w:highlight w:val="none"/>
              </w:rPr>
              <w:t>水评价等级为三级</w:t>
            </w:r>
            <w:r>
              <w:rPr>
                <w:rFonts w:hint="default" w:ascii="Times New Roman" w:hAnsi="Times New Roman" w:cs="Times New Roman"/>
                <w:color w:val="auto"/>
                <w:spacing w:val="-1"/>
                <w:highlight w:val="none"/>
                <w:lang w:val="en-US" w:eastAsia="zh-CN"/>
              </w:rPr>
              <w:t>B</w:t>
            </w:r>
          </w:p>
        </w:tc>
        <w:tc>
          <w:tcPr>
            <w:tcW w:w="1097" w:type="dxa"/>
            <w:tcBorders>
              <w:right w:val="nil"/>
            </w:tcBorders>
            <w:vAlign w:val="center"/>
          </w:tcPr>
          <w:p w14:paraId="4EA291FC">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4FE126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17" w:type="dxa"/>
            <w:tcBorders>
              <w:left w:val="nil"/>
            </w:tcBorders>
            <w:vAlign w:val="center"/>
          </w:tcPr>
          <w:p w14:paraId="40BB9835">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c>
          <w:tcPr>
            <w:tcW w:w="4284" w:type="dxa"/>
            <w:vAlign w:val="center"/>
          </w:tcPr>
          <w:p w14:paraId="333C93F6">
            <w:pPr>
              <w:pStyle w:val="35"/>
              <w:keepNext w:val="0"/>
              <w:keepLines w:val="0"/>
              <w:pageBreakBefore w:val="0"/>
              <w:widowControl/>
              <w:kinsoku/>
              <w:wordWrap w:val="0"/>
              <w:overflowPunct/>
              <w:topLinePunct/>
              <w:autoSpaceDE/>
              <w:autoSpaceDN/>
              <w:bidi w:val="0"/>
              <w:adjustRightInd w:val="0"/>
              <w:snapToGrid w:val="0"/>
              <w:spacing w:line="240" w:lineRule="auto"/>
              <w:jc w:val="both"/>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2"/>
                <w:highlight w:val="none"/>
              </w:rPr>
              <w:t>e</w:t>
            </w:r>
            <w:r>
              <w:rPr>
                <w:rFonts w:hint="default" w:ascii="Times New Roman" w:hAnsi="Times New Roman" w:cs="Times New Roman"/>
                <w:color w:val="auto"/>
                <w:spacing w:val="-2"/>
                <w:highlight w:val="none"/>
              </w:rPr>
              <w:t>）根据</w:t>
            </w:r>
            <w:r>
              <w:rPr>
                <w:rFonts w:hint="default" w:ascii="Times New Roman" w:hAnsi="Times New Roman" w:eastAsia="Times New Roman" w:cs="Times New Roman"/>
                <w:color w:val="auto"/>
                <w:spacing w:val="-2"/>
                <w:highlight w:val="none"/>
              </w:rPr>
              <w:t>HJ610</w:t>
            </w:r>
            <w:r>
              <w:rPr>
                <w:rFonts w:hint="default" w:ascii="Times New Roman" w:hAnsi="Times New Roman" w:cs="Times New Roman"/>
                <w:color w:val="auto"/>
                <w:spacing w:val="-2"/>
                <w:highlight w:val="none"/>
              </w:rPr>
              <w:t>、</w:t>
            </w:r>
            <w:r>
              <w:rPr>
                <w:rFonts w:hint="default" w:ascii="Times New Roman" w:hAnsi="Times New Roman" w:eastAsia="Times New Roman" w:cs="Times New Roman"/>
                <w:color w:val="auto"/>
                <w:spacing w:val="-2"/>
                <w:highlight w:val="none"/>
              </w:rPr>
              <w:t>HJ964</w:t>
            </w:r>
            <w:r>
              <w:rPr>
                <w:rFonts w:hint="default" w:ascii="Times New Roman" w:hAnsi="Times New Roman" w:cs="Times New Roman"/>
                <w:color w:val="auto"/>
                <w:spacing w:val="-2"/>
                <w:highlight w:val="none"/>
              </w:rPr>
              <w:t>判断地下水水位或土</w:t>
            </w:r>
            <w:r>
              <w:rPr>
                <w:rFonts w:hint="default" w:ascii="Times New Roman" w:hAnsi="Times New Roman" w:cs="Times New Roman"/>
                <w:color w:val="auto"/>
                <w:spacing w:val="-6"/>
                <w:highlight w:val="none"/>
              </w:rPr>
              <w:t>壤影响范围内分布有天然林、公益林、湿地等生态保护目标的建设项目，生态影响评价</w:t>
            </w:r>
            <w:r>
              <w:rPr>
                <w:rFonts w:hint="default" w:ascii="Times New Roman" w:hAnsi="Times New Roman" w:cs="Times New Roman"/>
                <w:color w:val="auto"/>
                <w:spacing w:val="-1"/>
                <w:highlight w:val="none"/>
              </w:rPr>
              <w:t>等级不低于二级；</w:t>
            </w:r>
          </w:p>
        </w:tc>
        <w:tc>
          <w:tcPr>
            <w:tcW w:w="3123" w:type="dxa"/>
            <w:vAlign w:val="center"/>
          </w:tcPr>
          <w:p w14:paraId="700AB1C8">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本项目不涉及天然林、公益林、</w:t>
            </w:r>
            <w:r>
              <w:rPr>
                <w:rFonts w:hint="default" w:ascii="Times New Roman" w:hAnsi="Times New Roman" w:cs="Times New Roman"/>
                <w:color w:val="auto"/>
                <w:spacing w:val="-1"/>
                <w:highlight w:val="none"/>
              </w:rPr>
              <w:t>湿地等生态保护目标</w:t>
            </w:r>
          </w:p>
        </w:tc>
        <w:tc>
          <w:tcPr>
            <w:tcW w:w="1097" w:type="dxa"/>
            <w:tcBorders>
              <w:right w:val="nil"/>
            </w:tcBorders>
            <w:vAlign w:val="center"/>
          </w:tcPr>
          <w:p w14:paraId="276F5E9D">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5505D3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17" w:type="dxa"/>
            <w:tcBorders>
              <w:left w:val="nil"/>
            </w:tcBorders>
            <w:vAlign w:val="center"/>
          </w:tcPr>
          <w:p w14:paraId="2E4C6D1E">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6</w:t>
            </w:r>
          </w:p>
        </w:tc>
        <w:tc>
          <w:tcPr>
            <w:tcW w:w="4284" w:type="dxa"/>
            <w:vAlign w:val="center"/>
          </w:tcPr>
          <w:p w14:paraId="3DE5C07D">
            <w:pPr>
              <w:pStyle w:val="35"/>
              <w:keepNext w:val="0"/>
              <w:keepLines w:val="0"/>
              <w:pageBreakBefore w:val="0"/>
              <w:widowControl/>
              <w:kinsoku/>
              <w:wordWrap w:val="0"/>
              <w:overflowPunct/>
              <w:topLinePunct/>
              <w:autoSpaceDE/>
              <w:autoSpaceDN/>
              <w:bidi w:val="0"/>
              <w:adjustRightInd w:val="0"/>
              <w:snapToGrid w:val="0"/>
              <w:spacing w:line="240" w:lineRule="auto"/>
              <w:jc w:val="both"/>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5"/>
                <w:position w:val="1"/>
                <w:highlight w:val="none"/>
              </w:rPr>
              <w:t>f</w:t>
            </w:r>
            <w:r>
              <w:rPr>
                <w:rFonts w:hint="default" w:ascii="Times New Roman" w:hAnsi="Times New Roman" w:cs="Times New Roman"/>
                <w:color w:val="auto"/>
                <w:spacing w:val="-5"/>
                <w:position w:val="1"/>
                <w:highlight w:val="none"/>
              </w:rPr>
              <w:t>）当工程占地规模大于</w:t>
            </w:r>
            <w:r>
              <w:rPr>
                <w:rFonts w:hint="default" w:ascii="Times New Roman" w:hAnsi="Times New Roman" w:eastAsia="Times New Roman" w:cs="Times New Roman"/>
                <w:color w:val="auto"/>
                <w:spacing w:val="-5"/>
                <w:position w:val="1"/>
                <w:highlight w:val="none"/>
              </w:rPr>
              <w:t>20km</w:t>
            </w:r>
            <w:r>
              <w:rPr>
                <w:rFonts w:hint="default" w:ascii="Times New Roman" w:hAnsi="Times New Roman" w:eastAsia="Times New Roman" w:cs="Times New Roman"/>
                <w:color w:val="auto"/>
                <w:spacing w:val="-5"/>
                <w:position w:val="10"/>
                <w:sz w:val="13"/>
                <w:szCs w:val="13"/>
                <w:highlight w:val="none"/>
              </w:rPr>
              <w:t>2</w:t>
            </w:r>
            <w:r>
              <w:rPr>
                <w:rFonts w:hint="default" w:ascii="Times New Roman" w:hAnsi="Times New Roman" w:cs="Times New Roman"/>
                <w:color w:val="auto"/>
                <w:spacing w:val="-5"/>
                <w:position w:val="1"/>
                <w:highlight w:val="none"/>
              </w:rPr>
              <w:t>时（包括永久</w:t>
            </w:r>
            <w:r>
              <w:rPr>
                <w:rFonts w:hint="default" w:ascii="Times New Roman" w:hAnsi="Times New Roman" w:cs="Times New Roman"/>
                <w:color w:val="auto"/>
                <w:spacing w:val="-2"/>
                <w:highlight w:val="none"/>
              </w:rPr>
              <w:t>和临时占用陆域和水域</w:t>
            </w:r>
            <w:r>
              <w:rPr>
                <w:rFonts w:hint="default" w:ascii="Times New Roman" w:hAnsi="Times New Roman" w:cs="Times New Roman"/>
                <w:color w:val="auto"/>
                <w:spacing w:val="-35"/>
                <w:highlight w:val="none"/>
              </w:rPr>
              <w:t>），</w:t>
            </w:r>
            <w:r>
              <w:rPr>
                <w:rFonts w:hint="default" w:ascii="Times New Roman" w:hAnsi="Times New Roman" w:cs="Times New Roman"/>
                <w:color w:val="auto"/>
                <w:spacing w:val="-2"/>
                <w:highlight w:val="none"/>
              </w:rPr>
              <w:t>评价等级不低于</w:t>
            </w:r>
            <w:r>
              <w:rPr>
                <w:rFonts w:hint="default" w:ascii="Times New Roman" w:hAnsi="Times New Roman" w:cs="Times New Roman"/>
                <w:color w:val="auto"/>
                <w:spacing w:val="-1"/>
                <w:highlight w:val="none"/>
              </w:rPr>
              <w:t>二级；改扩建项目的占地范围以新增占地（包括陆域和水域）确定；</w:t>
            </w:r>
          </w:p>
        </w:tc>
        <w:tc>
          <w:tcPr>
            <w:tcW w:w="3123" w:type="dxa"/>
            <w:vAlign w:val="center"/>
          </w:tcPr>
          <w:p w14:paraId="5EF2BD1C">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13"/>
                <w:szCs w:val="13"/>
                <w:highlight w:val="none"/>
              </w:rPr>
            </w:pPr>
            <w:r>
              <w:rPr>
                <w:rFonts w:hint="default" w:ascii="Times New Roman" w:hAnsi="Times New Roman" w:cs="Times New Roman"/>
                <w:color w:val="auto"/>
                <w:spacing w:val="-1"/>
                <w:position w:val="1"/>
                <w:highlight w:val="none"/>
              </w:rPr>
              <w:t>本项目新增占地面积小于</w:t>
            </w:r>
            <w:r>
              <w:rPr>
                <w:rFonts w:hint="default" w:ascii="Times New Roman" w:hAnsi="Times New Roman" w:eastAsia="Times New Roman" w:cs="Times New Roman"/>
                <w:color w:val="auto"/>
                <w:spacing w:val="-1"/>
                <w:position w:val="1"/>
                <w:highlight w:val="none"/>
              </w:rPr>
              <w:t>20km</w:t>
            </w:r>
            <w:r>
              <w:rPr>
                <w:rFonts w:hint="default" w:ascii="Times New Roman" w:hAnsi="Times New Roman" w:eastAsia="Times New Roman" w:cs="Times New Roman"/>
                <w:color w:val="auto"/>
                <w:spacing w:val="-1"/>
                <w:position w:val="10"/>
                <w:sz w:val="13"/>
                <w:szCs w:val="13"/>
                <w:highlight w:val="none"/>
              </w:rPr>
              <w:t>2</w:t>
            </w:r>
          </w:p>
        </w:tc>
        <w:tc>
          <w:tcPr>
            <w:tcW w:w="1097" w:type="dxa"/>
            <w:tcBorders>
              <w:right w:val="nil"/>
            </w:tcBorders>
            <w:vAlign w:val="center"/>
          </w:tcPr>
          <w:p w14:paraId="315F2C42">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r w14:paraId="6D21D5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17" w:type="dxa"/>
            <w:tcBorders>
              <w:left w:val="nil"/>
              <w:bottom w:val="single" w:color="000000" w:sz="10" w:space="0"/>
            </w:tcBorders>
            <w:vAlign w:val="center"/>
          </w:tcPr>
          <w:p w14:paraId="2B008A69">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7</w:t>
            </w:r>
          </w:p>
        </w:tc>
        <w:tc>
          <w:tcPr>
            <w:tcW w:w="4284" w:type="dxa"/>
            <w:tcBorders>
              <w:bottom w:val="single" w:color="000000" w:sz="10" w:space="0"/>
            </w:tcBorders>
            <w:vAlign w:val="center"/>
          </w:tcPr>
          <w:p w14:paraId="3F97897A">
            <w:pPr>
              <w:pStyle w:val="35"/>
              <w:keepNext w:val="0"/>
              <w:keepLines w:val="0"/>
              <w:pageBreakBefore w:val="0"/>
              <w:widowControl/>
              <w:kinsoku/>
              <w:wordWrap w:val="0"/>
              <w:overflowPunct/>
              <w:topLinePunct/>
              <w:autoSpaceDE/>
              <w:autoSpaceDN/>
              <w:bidi w:val="0"/>
              <w:adjustRightInd w:val="0"/>
              <w:snapToGrid w:val="0"/>
              <w:spacing w:line="240" w:lineRule="auto"/>
              <w:jc w:val="both"/>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除本条</w:t>
            </w:r>
            <w:r>
              <w:rPr>
                <w:rFonts w:hint="default" w:ascii="Times New Roman" w:hAnsi="Times New Roman" w:eastAsia="Times New Roman" w:cs="Times New Roman"/>
                <w:color w:val="auto"/>
                <w:spacing w:val="-1"/>
                <w:highlight w:val="none"/>
              </w:rPr>
              <w:t>a</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b</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c</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d</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e</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f</w:t>
            </w:r>
            <w:r>
              <w:rPr>
                <w:rFonts w:hint="default" w:ascii="Times New Roman" w:hAnsi="Times New Roman" w:cs="Times New Roman"/>
                <w:color w:val="auto"/>
                <w:spacing w:val="-1"/>
                <w:highlight w:val="none"/>
              </w:rPr>
              <w:t>）以</w:t>
            </w:r>
            <w:r>
              <w:rPr>
                <w:rFonts w:hint="default" w:ascii="Times New Roman" w:hAnsi="Times New Roman" w:cs="Times New Roman"/>
                <w:color w:val="auto"/>
                <w:spacing w:val="-3"/>
                <w:highlight w:val="none"/>
              </w:rPr>
              <w:t>外的情况，评价等级为三级；</w:t>
            </w:r>
          </w:p>
        </w:tc>
        <w:tc>
          <w:tcPr>
            <w:tcW w:w="3123" w:type="dxa"/>
            <w:tcBorders>
              <w:bottom w:val="single" w:color="000000" w:sz="10" w:space="0"/>
            </w:tcBorders>
            <w:vAlign w:val="center"/>
          </w:tcPr>
          <w:p w14:paraId="716678CC">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5"/>
                <w:highlight w:val="none"/>
              </w:rPr>
              <w:t>本项目属于</w:t>
            </w:r>
            <w:r>
              <w:rPr>
                <w:rFonts w:hint="default" w:ascii="Times New Roman" w:hAnsi="Times New Roman" w:eastAsia="Times New Roman" w:cs="Times New Roman"/>
                <w:color w:val="auto"/>
                <w:spacing w:val="-15"/>
                <w:highlight w:val="none"/>
              </w:rPr>
              <w:t>a</w:t>
            </w:r>
            <w:r>
              <w:rPr>
                <w:rFonts w:hint="default" w:ascii="Times New Roman" w:hAnsi="Times New Roman" w:cs="Times New Roman"/>
                <w:color w:val="auto"/>
                <w:spacing w:val="-15"/>
                <w:highlight w:val="none"/>
              </w:rPr>
              <w:t>）、</w:t>
            </w:r>
            <w:r>
              <w:rPr>
                <w:rFonts w:hint="default" w:ascii="Times New Roman" w:hAnsi="Times New Roman" w:eastAsia="Times New Roman" w:cs="Times New Roman"/>
                <w:color w:val="auto"/>
                <w:spacing w:val="-15"/>
                <w:highlight w:val="none"/>
              </w:rPr>
              <w:t>b</w:t>
            </w:r>
            <w:r>
              <w:rPr>
                <w:rFonts w:hint="default" w:ascii="Times New Roman" w:hAnsi="Times New Roman" w:cs="Times New Roman"/>
                <w:color w:val="auto"/>
                <w:spacing w:val="-15"/>
                <w:highlight w:val="none"/>
              </w:rPr>
              <w:t>）、</w:t>
            </w:r>
            <w:r>
              <w:rPr>
                <w:rFonts w:hint="default" w:ascii="Times New Roman" w:hAnsi="Times New Roman" w:eastAsia="Times New Roman" w:cs="Times New Roman"/>
                <w:color w:val="auto"/>
                <w:spacing w:val="-15"/>
                <w:highlight w:val="none"/>
              </w:rPr>
              <w:t>c</w:t>
            </w:r>
            <w:r>
              <w:rPr>
                <w:rFonts w:hint="default" w:ascii="Times New Roman" w:hAnsi="Times New Roman" w:cs="Times New Roman"/>
                <w:color w:val="auto"/>
                <w:spacing w:val="-15"/>
                <w:highlight w:val="none"/>
              </w:rPr>
              <w:t>）、</w:t>
            </w:r>
            <w:r>
              <w:rPr>
                <w:rFonts w:hint="default" w:ascii="Times New Roman" w:hAnsi="Times New Roman" w:eastAsia="Times New Roman" w:cs="Times New Roman"/>
                <w:color w:val="auto"/>
                <w:spacing w:val="-15"/>
                <w:highlight w:val="none"/>
              </w:rPr>
              <w:t>d</w:t>
            </w:r>
            <w:r>
              <w:rPr>
                <w:rFonts w:hint="default" w:ascii="Times New Roman" w:hAnsi="Times New Roman" w:cs="Times New Roman"/>
                <w:color w:val="auto"/>
                <w:spacing w:val="-15"/>
                <w:highlight w:val="none"/>
              </w:rPr>
              <w:t>）、</w:t>
            </w:r>
            <w:r>
              <w:rPr>
                <w:rFonts w:hint="default" w:ascii="Times New Roman" w:hAnsi="Times New Roman" w:eastAsia="Times New Roman" w:cs="Times New Roman"/>
                <w:color w:val="auto"/>
                <w:spacing w:val="-1"/>
                <w:highlight w:val="none"/>
              </w:rPr>
              <w:t>e</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f</w:t>
            </w:r>
            <w:r>
              <w:rPr>
                <w:rFonts w:hint="default" w:ascii="Times New Roman" w:hAnsi="Times New Roman" w:cs="Times New Roman"/>
                <w:color w:val="auto"/>
                <w:spacing w:val="-1"/>
                <w:highlight w:val="none"/>
              </w:rPr>
              <w:t>）以外的情况，故评价等</w:t>
            </w:r>
            <w:r>
              <w:rPr>
                <w:rFonts w:hint="default" w:ascii="Times New Roman" w:hAnsi="Times New Roman" w:cs="Times New Roman"/>
                <w:color w:val="auto"/>
                <w:spacing w:val="-3"/>
                <w:highlight w:val="none"/>
              </w:rPr>
              <w:t>级为三级</w:t>
            </w:r>
          </w:p>
        </w:tc>
        <w:tc>
          <w:tcPr>
            <w:tcW w:w="1097" w:type="dxa"/>
            <w:tcBorders>
              <w:bottom w:val="single" w:color="000000" w:sz="10" w:space="0"/>
              <w:right w:val="nil"/>
            </w:tcBorders>
            <w:vAlign w:val="center"/>
          </w:tcPr>
          <w:p w14:paraId="49CC5682">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三级</w:t>
            </w:r>
          </w:p>
        </w:tc>
      </w:tr>
    </w:tbl>
    <w:p w14:paraId="01EB2A25">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2.5.1.7</w:t>
      </w:r>
      <w:r>
        <w:rPr>
          <w:rFonts w:hint="default" w:ascii="Times New Roman" w:hAnsi="Times New Roman" w:eastAsia="宋体" w:cs="Times New Roman"/>
          <w:b/>
          <w:bCs/>
          <w:color w:val="auto"/>
          <w:spacing w:val="-1"/>
          <w:sz w:val="24"/>
          <w:szCs w:val="24"/>
          <w:highlight w:val="none"/>
        </w:rPr>
        <w:t>环境风险</w:t>
      </w:r>
    </w:p>
    <w:p w14:paraId="49DCD3B4">
      <w:pPr>
        <w:keepNext w:val="0"/>
        <w:keepLines w:val="0"/>
        <w:pageBreakBefore w:val="0"/>
        <w:widowControl/>
        <w:kinsoku/>
        <w:wordWrap w:val="0"/>
        <w:overflowPunct/>
        <w:topLinePunct/>
        <w:autoSpaceDE/>
        <w:autoSpaceDN/>
        <w:bidi w:val="0"/>
        <w:adjustRightInd w:val="0"/>
        <w:snapToGrid w:val="0"/>
        <w:spacing w:line="360" w:lineRule="auto"/>
        <w:ind w:lef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7"/>
          <w:sz w:val="24"/>
          <w:szCs w:val="24"/>
          <w:highlight w:val="none"/>
        </w:rPr>
        <w:t>1</w:t>
      </w:r>
      <w:r>
        <w:rPr>
          <w:rFonts w:hint="default" w:ascii="Times New Roman" w:hAnsi="Times New Roman" w:eastAsia="宋体" w:cs="Times New Roman"/>
          <w:color w:val="auto"/>
          <w:spacing w:val="-7"/>
          <w:sz w:val="24"/>
          <w:szCs w:val="24"/>
          <w:highlight w:val="none"/>
        </w:rPr>
        <w:t>、评价依据</w:t>
      </w:r>
    </w:p>
    <w:p w14:paraId="1FA39F32">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根据《建设项目环境风险评价技术导则》（</w:t>
      </w:r>
      <w:r>
        <w:rPr>
          <w:rFonts w:hint="default" w:ascii="Times New Roman" w:hAnsi="Times New Roman" w:eastAsia="Times New Roman" w:cs="Times New Roman"/>
          <w:color w:val="auto"/>
          <w:spacing w:val="-2"/>
          <w:sz w:val="24"/>
          <w:szCs w:val="24"/>
          <w:highlight w:val="none"/>
        </w:rPr>
        <w:t>HJ169-2018</w:t>
      </w: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宋体" w:cs="Times New Roman"/>
          <w:color w:val="auto"/>
          <w:spacing w:val="-2"/>
          <w:sz w:val="24"/>
          <w:szCs w:val="24"/>
          <w:highlight w:val="none"/>
        </w:rPr>
        <w:t>环境风险评价工作等</w:t>
      </w:r>
      <w:r>
        <w:rPr>
          <w:rFonts w:hint="default" w:ascii="Times New Roman" w:hAnsi="Times New Roman" w:eastAsia="宋体" w:cs="Times New Roman"/>
          <w:color w:val="auto"/>
          <w:spacing w:val="4"/>
          <w:sz w:val="24"/>
          <w:szCs w:val="24"/>
          <w:highlight w:val="none"/>
        </w:rPr>
        <w:t>级的划分是根据建设项目涉及的物质及工艺系统危险性和所</w:t>
      </w:r>
      <w:r>
        <w:rPr>
          <w:rFonts w:hint="default" w:ascii="Times New Roman" w:hAnsi="Times New Roman" w:eastAsia="宋体" w:cs="Times New Roman"/>
          <w:color w:val="auto"/>
          <w:spacing w:val="3"/>
          <w:sz w:val="24"/>
          <w:szCs w:val="24"/>
          <w:highlight w:val="none"/>
        </w:rPr>
        <w:t>在地的环境敏感性确定</w:t>
      </w:r>
      <w:r>
        <w:rPr>
          <w:rFonts w:hint="default" w:ascii="Times New Roman" w:hAnsi="Times New Roman" w:eastAsia="宋体" w:cs="Times New Roman"/>
          <w:color w:val="auto"/>
          <w:spacing w:val="-2"/>
          <w:sz w:val="24"/>
          <w:szCs w:val="24"/>
          <w:highlight w:val="none"/>
        </w:rPr>
        <w:t>环境风险潜势，按照下表确定评价工作等级，划分依据见下表。</w:t>
      </w:r>
    </w:p>
    <w:p w14:paraId="2A6ECED7">
      <w:pPr>
        <w:keepNext w:val="0"/>
        <w:keepLines w:val="0"/>
        <w:pageBreakBefore w:val="0"/>
        <w:kinsoku/>
        <w:wordWrap w:val="0"/>
        <w:overflowPunct/>
        <w:topLinePunct/>
        <w:autoSpaceDE/>
        <w:autoSpaceDN/>
        <w:bidi w:val="0"/>
        <w:adjustRightInd w:val="0"/>
        <w:snapToGrid w:val="0"/>
        <w:spacing w:before="10" w:line="214" w:lineRule="auto"/>
        <w:ind w:left="3076"/>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2.5-1</w:t>
      </w:r>
      <w:r>
        <w:rPr>
          <w:rFonts w:hint="eastAsia" w:ascii="Times New Roman" w:hAnsi="Times New Roman" w:eastAsia="宋体" w:cs="Times New Roman"/>
          <w:b/>
          <w:bCs/>
          <w:color w:val="auto"/>
          <w:spacing w:val="-1"/>
          <w:sz w:val="24"/>
          <w:szCs w:val="24"/>
          <w:highlight w:val="none"/>
          <w:lang w:val="en-US" w:eastAsia="zh-CN"/>
        </w:rPr>
        <w:t>8</w:t>
      </w:r>
      <w:r>
        <w:rPr>
          <w:rFonts w:hint="default" w:ascii="Times New Roman" w:hAnsi="Times New Roman" w:eastAsia="宋体" w:cs="Times New Roman"/>
          <w:b/>
          <w:bCs/>
          <w:color w:val="auto"/>
          <w:spacing w:val="-1"/>
          <w:sz w:val="24"/>
          <w:szCs w:val="24"/>
          <w:highlight w:val="none"/>
        </w:rPr>
        <w:t>评价工作等级划分</w:t>
      </w:r>
    </w:p>
    <w:tbl>
      <w:tblPr>
        <w:tblStyle w:val="34"/>
        <w:tblW w:w="8805" w:type="dxa"/>
        <w:tblInd w:w="1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50"/>
        <w:gridCol w:w="1635"/>
        <w:gridCol w:w="1834"/>
        <w:gridCol w:w="2249"/>
        <w:gridCol w:w="1637"/>
      </w:tblGrid>
      <w:tr w14:paraId="0E89C0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7" w:hRule="atLeast"/>
        </w:trPr>
        <w:tc>
          <w:tcPr>
            <w:tcW w:w="1450" w:type="dxa"/>
            <w:tcBorders>
              <w:top w:val="single" w:color="000000" w:sz="10" w:space="0"/>
              <w:left w:val="nil"/>
            </w:tcBorders>
            <w:vAlign w:val="top"/>
          </w:tcPr>
          <w:p w14:paraId="76C80581">
            <w:pPr>
              <w:pStyle w:val="35"/>
              <w:keepNext w:val="0"/>
              <w:keepLines w:val="0"/>
              <w:pageBreakBefore w:val="0"/>
              <w:kinsoku/>
              <w:wordWrap w:val="0"/>
              <w:overflowPunct/>
              <w:topLinePunct/>
              <w:autoSpaceDE/>
              <w:autoSpaceDN/>
              <w:bidi w:val="0"/>
              <w:adjustRightInd w:val="0"/>
              <w:snapToGrid w:val="0"/>
              <w:spacing w:before="116" w:line="228" w:lineRule="auto"/>
              <w:ind w:left="137"/>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8"/>
                <w:sz w:val="21"/>
                <w:szCs w:val="21"/>
                <w:highlight w:val="none"/>
              </w:rPr>
              <w:t>环境风险潜势</w:t>
            </w:r>
          </w:p>
        </w:tc>
        <w:tc>
          <w:tcPr>
            <w:tcW w:w="1635" w:type="dxa"/>
            <w:tcBorders>
              <w:top w:val="single" w:color="000000" w:sz="10" w:space="0"/>
            </w:tcBorders>
            <w:vAlign w:val="top"/>
          </w:tcPr>
          <w:p w14:paraId="54BCC35C">
            <w:pPr>
              <w:pStyle w:val="35"/>
              <w:keepNext w:val="0"/>
              <w:keepLines w:val="0"/>
              <w:pageBreakBefore w:val="0"/>
              <w:kinsoku/>
              <w:wordWrap w:val="0"/>
              <w:overflowPunct/>
              <w:topLinePunct/>
              <w:autoSpaceDE/>
              <w:autoSpaceDN/>
              <w:bidi w:val="0"/>
              <w:adjustRightInd w:val="0"/>
              <w:snapToGrid w:val="0"/>
              <w:spacing w:before="115" w:line="267" w:lineRule="exact"/>
              <w:ind w:left="473"/>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cs="Times New Roman"/>
                <w:color w:val="auto"/>
                <w:spacing w:val="-7"/>
                <w:position w:val="1"/>
                <w:sz w:val="21"/>
                <w:szCs w:val="21"/>
                <w:highlight w:val="none"/>
              </w:rPr>
              <w:t>Ⅳ、Ⅳ</w:t>
            </w:r>
            <w:r>
              <w:rPr>
                <w:rFonts w:hint="default" w:ascii="Times New Roman" w:hAnsi="Times New Roman" w:eastAsia="Times New Roman" w:cs="Times New Roman"/>
                <w:color w:val="auto"/>
                <w:spacing w:val="-7"/>
                <w:position w:val="1"/>
                <w:sz w:val="21"/>
                <w:szCs w:val="21"/>
                <w:highlight w:val="none"/>
              </w:rPr>
              <w:t>+</w:t>
            </w:r>
          </w:p>
        </w:tc>
        <w:tc>
          <w:tcPr>
            <w:tcW w:w="1834" w:type="dxa"/>
            <w:tcBorders>
              <w:top w:val="single" w:color="000000" w:sz="10" w:space="0"/>
            </w:tcBorders>
            <w:vAlign w:val="top"/>
          </w:tcPr>
          <w:p w14:paraId="135E77BE">
            <w:pPr>
              <w:pStyle w:val="35"/>
              <w:keepNext w:val="0"/>
              <w:keepLines w:val="0"/>
              <w:pageBreakBefore w:val="0"/>
              <w:kinsoku/>
              <w:wordWrap w:val="0"/>
              <w:overflowPunct/>
              <w:topLinePunct/>
              <w:autoSpaceDE/>
              <w:autoSpaceDN/>
              <w:bidi w:val="0"/>
              <w:adjustRightInd w:val="0"/>
              <w:snapToGrid w:val="0"/>
              <w:spacing w:before="115" w:line="252" w:lineRule="exact"/>
              <w:ind w:left="820"/>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position w:val="1"/>
                <w:sz w:val="21"/>
                <w:szCs w:val="21"/>
                <w:highlight w:val="none"/>
              </w:rPr>
              <w:t>Ⅲ</w:t>
            </w:r>
          </w:p>
        </w:tc>
        <w:tc>
          <w:tcPr>
            <w:tcW w:w="2249" w:type="dxa"/>
            <w:tcBorders>
              <w:top w:val="single" w:color="000000" w:sz="10" w:space="0"/>
            </w:tcBorders>
            <w:vAlign w:val="top"/>
          </w:tcPr>
          <w:p w14:paraId="69AD4411">
            <w:pPr>
              <w:pStyle w:val="35"/>
              <w:keepNext w:val="0"/>
              <w:keepLines w:val="0"/>
              <w:pageBreakBefore w:val="0"/>
              <w:kinsoku/>
              <w:wordWrap w:val="0"/>
              <w:overflowPunct/>
              <w:topLinePunct/>
              <w:autoSpaceDE/>
              <w:autoSpaceDN/>
              <w:bidi w:val="0"/>
              <w:adjustRightInd w:val="0"/>
              <w:snapToGrid w:val="0"/>
              <w:spacing w:before="115" w:line="252" w:lineRule="exact"/>
              <w:ind w:left="1063"/>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position w:val="1"/>
                <w:sz w:val="21"/>
                <w:szCs w:val="21"/>
                <w:highlight w:val="none"/>
              </w:rPr>
              <w:t>Ⅱ</w:t>
            </w:r>
          </w:p>
        </w:tc>
        <w:tc>
          <w:tcPr>
            <w:tcW w:w="1637" w:type="dxa"/>
            <w:tcBorders>
              <w:top w:val="single" w:color="000000" w:sz="10" w:space="0"/>
              <w:right w:val="nil"/>
            </w:tcBorders>
            <w:vAlign w:val="top"/>
          </w:tcPr>
          <w:p w14:paraId="41FE5C3A">
            <w:pPr>
              <w:pStyle w:val="35"/>
              <w:keepNext w:val="0"/>
              <w:keepLines w:val="0"/>
              <w:pageBreakBefore w:val="0"/>
              <w:kinsoku/>
              <w:wordWrap w:val="0"/>
              <w:overflowPunct/>
              <w:topLinePunct/>
              <w:autoSpaceDE/>
              <w:autoSpaceDN/>
              <w:bidi w:val="0"/>
              <w:adjustRightInd w:val="0"/>
              <w:snapToGrid w:val="0"/>
              <w:spacing w:before="115" w:line="251" w:lineRule="exact"/>
              <w:ind w:left="789"/>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position w:val="1"/>
                <w:sz w:val="21"/>
                <w:szCs w:val="21"/>
                <w:highlight w:val="none"/>
              </w:rPr>
              <w:t>Ⅰ</w:t>
            </w:r>
          </w:p>
        </w:tc>
      </w:tr>
      <w:tr w14:paraId="2608AE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 w:hRule="atLeast"/>
        </w:trPr>
        <w:tc>
          <w:tcPr>
            <w:tcW w:w="1450" w:type="dxa"/>
            <w:tcBorders>
              <w:left w:val="nil"/>
              <w:bottom w:val="single" w:color="000000" w:sz="10" w:space="0"/>
            </w:tcBorders>
            <w:vAlign w:val="top"/>
          </w:tcPr>
          <w:p w14:paraId="612D22D4">
            <w:pPr>
              <w:pStyle w:val="35"/>
              <w:keepNext w:val="0"/>
              <w:keepLines w:val="0"/>
              <w:pageBreakBefore w:val="0"/>
              <w:kinsoku/>
              <w:wordWrap w:val="0"/>
              <w:overflowPunct/>
              <w:topLinePunct/>
              <w:autoSpaceDE/>
              <w:autoSpaceDN/>
              <w:bidi w:val="0"/>
              <w:adjustRightInd w:val="0"/>
              <w:snapToGrid w:val="0"/>
              <w:spacing w:before="124" w:line="227" w:lineRule="auto"/>
              <w:ind w:left="136"/>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8"/>
                <w:sz w:val="21"/>
                <w:szCs w:val="21"/>
                <w:highlight w:val="none"/>
              </w:rPr>
              <w:t>评价工作等级</w:t>
            </w:r>
          </w:p>
        </w:tc>
        <w:tc>
          <w:tcPr>
            <w:tcW w:w="1635" w:type="dxa"/>
            <w:tcBorders>
              <w:bottom w:val="single" w:color="000000" w:sz="10" w:space="0"/>
            </w:tcBorders>
            <w:vAlign w:val="top"/>
          </w:tcPr>
          <w:p w14:paraId="5D162B61">
            <w:pPr>
              <w:pStyle w:val="35"/>
              <w:keepNext w:val="0"/>
              <w:keepLines w:val="0"/>
              <w:pageBreakBefore w:val="0"/>
              <w:kinsoku/>
              <w:wordWrap w:val="0"/>
              <w:overflowPunct/>
              <w:topLinePunct/>
              <w:autoSpaceDE/>
              <w:autoSpaceDN/>
              <w:bidi w:val="0"/>
              <w:adjustRightInd w:val="0"/>
              <w:snapToGrid w:val="0"/>
              <w:spacing w:before="198" w:line="148" w:lineRule="exact"/>
              <w:ind w:left="726"/>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position w:val="-4"/>
                <w:sz w:val="21"/>
                <w:szCs w:val="21"/>
                <w:highlight w:val="none"/>
              </w:rPr>
              <w:t>一</w:t>
            </w:r>
          </w:p>
        </w:tc>
        <w:tc>
          <w:tcPr>
            <w:tcW w:w="1834" w:type="dxa"/>
            <w:tcBorders>
              <w:bottom w:val="single" w:color="000000" w:sz="10" w:space="0"/>
            </w:tcBorders>
            <w:vAlign w:val="top"/>
          </w:tcPr>
          <w:p w14:paraId="1AB59677">
            <w:pPr>
              <w:pStyle w:val="35"/>
              <w:keepNext w:val="0"/>
              <w:keepLines w:val="0"/>
              <w:pageBreakBefore w:val="0"/>
              <w:kinsoku/>
              <w:wordWrap w:val="0"/>
              <w:overflowPunct/>
              <w:topLinePunct/>
              <w:autoSpaceDE/>
              <w:autoSpaceDN/>
              <w:bidi w:val="0"/>
              <w:adjustRightInd w:val="0"/>
              <w:snapToGrid w:val="0"/>
              <w:spacing w:before="160" w:line="184" w:lineRule="auto"/>
              <w:ind w:left="82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二</w:t>
            </w:r>
          </w:p>
        </w:tc>
        <w:tc>
          <w:tcPr>
            <w:tcW w:w="2249" w:type="dxa"/>
            <w:tcBorders>
              <w:bottom w:val="single" w:color="000000" w:sz="10" w:space="0"/>
            </w:tcBorders>
            <w:vAlign w:val="top"/>
          </w:tcPr>
          <w:p w14:paraId="4C655473">
            <w:pPr>
              <w:pStyle w:val="35"/>
              <w:keepNext w:val="0"/>
              <w:keepLines w:val="0"/>
              <w:pageBreakBefore w:val="0"/>
              <w:kinsoku/>
              <w:wordWrap w:val="0"/>
              <w:overflowPunct/>
              <w:topLinePunct/>
              <w:autoSpaceDE/>
              <w:autoSpaceDN/>
              <w:bidi w:val="0"/>
              <w:adjustRightInd w:val="0"/>
              <w:snapToGrid w:val="0"/>
              <w:spacing w:before="124" w:line="253" w:lineRule="exact"/>
              <w:ind w:left="1029"/>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1"/>
                <w:position w:val="1"/>
                <w:sz w:val="21"/>
                <w:szCs w:val="21"/>
                <w:highlight w:val="none"/>
              </w:rPr>
              <w:t>三</w:t>
            </w:r>
          </w:p>
        </w:tc>
        <w:tc>
          <w:tcPr>
            <w:tcW w:w="1637" w:type="dxa"/>
            <w:tcBorders>
              <w:bottom w:val="single" w:color="000000" w:sz="10" w:space="0"/>
              <w:right w:val="nil"/>
            </w:tcBorders>
            <w:vAlign w:val="top"/>
          </w:tcPr>
          <w:p w14:paraId="0C297F3C">
            <w:pPr>
              <w:pStyle w:val="35"/>
              <w:keepNext w:val="0"/>
              <w:keepLines w:val="0"/>
              <w:pageBreakBefore w:val="0"/>
              <w:kinsoku/>
              <w:wordWrap w:val="0"/>
              <w:overflowPunct/>
              <w:topLinePunct/>
              <w:autoSpaceDE/>
              <w:autoSpaceDN/>
              <w:bidi w:val="0"/>
              <w:adjustRightInd w:val="0"/>
              <w:snapToGrid w:val="0"/>
              <w:spacing w:before="123" w:line="228" w:lineRule="auto"/>
              <w:ind w:left="429"/>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简单分析</w:t>
            </w:r>
          </w:p>
        </w:tc>
      </w:tr>
    </w:tbl>
    <w:p w14:paraId="12505D62">
      <w:pPr>
        <w:keepNext w:val="0"/>
        <w:keepLines w:val="0"/>
        <w:pageBreakBefore w:val="0"/>
        <w:kinsoku/>
        <w:wordWrap w:val="0"/>
        <w:overflowPunct/>
        <w:topLinePunct/>
        <w:autoSpaceDE/>
        <w:autoSpaceDN/>
        <w:bidi w:val="0"/>
        <w:adjustRightInd w:val="0"/>
        <w:snapToGrid w:val="0"/>
        <w:spacing w:before="34" w:line="214" w:lineRule="auto"/>
        <w:ind w:left="2476"/>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2.5-1</w:t>
      </w:r>
      <w:r>
        <w:rPr>
          <w:rFonts w:hint="eastAsia" w:ascii="Times New Roman" w:hAnsi="Times New Roman" w:eastAsia="宋体" w:cs="Times New Roman"/>
          <w:b/>
          <w:bCs/>
          <w:color w:val="auto"/>
          <w:spacing w:val="-1"/>
          <w:sz w:val="24"/>
          <w:szCs w:val="24"/>
          <w:highlight w:val="none"/>
          <w:lang w:val="en-US" w:eastAsia="zh-CN"/>
        </w:rPr>
        <w:t>9</w:t>
      </w:r>
      <w:r>
        <w:rPr>
          <w:rFonts w:hint="default" w:ascii="Times New Roman" w:hAnsi="Times New Roman" w:eastAsia="宋体" w:cs="Times New Roman"/>
          <w:b/>
          <w:bCs/>
          <w:color w:val="auto"/>
          <w:spacing w:val="-1"/>
          <w:sz w:val="24"/>
          <w:szCs w:val="24"/>
          <w:highlight w:val="none"/>
        </w:rPr>
        <w:t>建设项目环境风险潜势划分表</w:t>
      </w:r>
    </w:p>
    <w:tbl>
      <w:tblPr>
        <w:tblStyle w:val="34"/>
        <w:tblW w:w="900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29"/>
        <w:gridCol w:w="1537"/>
        <w:gridCol w:w="1687"/>
        <w:gridCol w:w="1691"/>
        <w:gridCol w:w="1458"/>
      </w:tblGrid>
      <w:tr w14:paraId="524048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2" w:hRule="atLeast"/>
        </w:trPr>
        <w:tc>
          <w:tcPr>
            <w:tcW w:w="2629" w:type="dxa"/>
            <w:vMerge w:val="restart"/>
            <w:tcBorders>
              <w:top w:val="single" w:color="000000" w:sz="10" w:space="0"/>
              <w:left w:val="nil"/>
              <w:bottom w:val="nil"/>
            </w:tcBorders>
            <w:vAlign w:val="top"/>
          </w:tcPr>
          <w:p w14:paraId="345E6AB0">
            <w:pPr>
              <w:pStyle w:val="35"/>
              <w:keepNext w:val="0"/>
              <w:keepLines w:val="0"/>
              <w:pageBreakBefore w:val="0"/>
              <w:kinsoku/>
              <w:wordWrap w:val="0"/>
              <w:overflowPunct/>
              <w:topLinePunct/>
              <w:autoSpaceDE/>
              <w:autoSpaceDN/>
              <w:bidi w:val="0"/>
              <w:adjustRightInd w:val="0"/>
              <w:snapToGrid w:val="0"/>
              <w:spacing w:before="169" w:line="228" w:lineRule="auto"/>
              <w:ind w:left="466"/>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7"/>
                <w:sz w:val="21"/>
                <w:szCs w:val="21"/>
                <w:highlight w:val="none"/>
              </w:rPr>
              <w:t>环境敏感程度（</w:t>
            </w:r>
            <w:r>
              <w:rPr>
                <w:rFonts w:hint="default" w:ascii="Times New Roman" w:hAnsi="Times New Roman" w:eastAsia="Times New Roman" w:cs="Times New Roman"/>
                <w:color w:val="auto"/>
                <w:spacing w:val="7"/>
                <w:sz w:val="21"/>
                <w:szCs w:val="21"/>
                <w:highlight w:val="none"/>
              </w:rPr>
              <w:t>E</w:t>
            </w:r>
            <w:r>
              <w:rPr>
                <w:rFonts w:hint="default" w:ascii="Times New Roman" w:hAnsi="Times New Roman" w:cs="Times New Roman"/>
                <w:color w:val="auto"/>
                <w:spacing w:val="7"/>
                <w:sz w:val="21"/>
                <w:szCs w:val="21"/>
                <w:highlight w:val="none"/>
              </w:rPr>
              <w:t>）</w:t>
            </w:r>
          </w:p>
        </w:tc>
        <w:tc>
          <w:tcPr>
            <w:tcW w:w="6373" w:type="dxa"/>
            <w:gridSpan w:val="4"/>
            <w:tcBorders>
              <w:top w:val="single" w:color="000000" w:sz="10" w:space="0"/>
              <w:right w:val="nil"/>
            </w:tcBorders>
            <w:vAlign w:val="top"/>
          </w:tcPr>
          <w:p w14:paraId="3ED87C7B">
            <w:pPr>
              <w:pStyle w:val="35"/>
              <w:keepNext w:val="0"/>
              <w:keepLines w:val="0"/>
              <w:pageBreakBefore w:val="0"/>
              <w:kinsoku/>
              <w:wordWrap w:val="0"/>
              <w:overflowPunct/>
              <w:topLinePunct/>
              <w:autoSpaceDE/>
              <w:autoSpaceDN/>
              <w:bidi w:val="0"/>
              <w:adjustRightInd w:val="0"/>
              <w:snapToGrid w:val="0"/>
              <w:spacing w:before="33" w:line="212" w:lineRule="auto"/>
              <w:ind w:left="174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8"/>
                <w:sz w:val="21"/>
                <w:szCs w:val="21"/>
                <w:highlight w:val="none"/>
              </w:rPr>
              <w:t>危险物质及工艺系统危险性（</w:t>
            </w:r>
            <w:r>
              <w:rPr>
                <w:rFonts w:hint="default" w:ascii="Times New Roman" w:hAnsi="Times New Roman" w:eastAsia="Times New Roman" w:cs="Times New Roman"/>
                <w:color w:val="auto"/>
                <w:spacing w:val="8"/>
                <w:sz w:val="21"/>
                <w:szCs w:val="21"/>
                <w:highlight w:val="none"/>
              </w:rPr>
              <w:t>P</w:t>
            </w:r>
            <w:r>
              <w:rPr>
                <w:rFonts w:hint="default" w:ascii="Times New Roman" w:hAnsi="Times New Roman" w:cs="Times New Roman"/>
                <w:color w:val="auto"/>
                <w:spacing w:val="8"/>
                <w:sz w:val="21"/>
                <w:szCs w:val="21"/>
                <w:highlight w:val="none"/>
              </w:rPr>
              <w:t>）</w:t>
            </w:r>
          </w:p>
        </w:tc>
      </w:tr>
      <w:tr w14:paraId="74EA77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9" w:hRule="atLeast"/>
        </w:trPr>
        <w:tc>
          <w:tcPr>
            <w:tcW w:w="2629" w:type="dxa"/>
            <w:vMerge w:val="continue"/>
            <w:tcBorders>
              <w:top w:val="nil"/>
              <w:left w:val="nil"/>
            </w:tcBorders>
            <w:vAlign w:val="top"/>
          </w:tcPr>
          <w:p w14:paraId="63F105B4">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szCs w:val="21"/>
                <w:highlight w:val="none"/>
              </w:rPr>
            </w:pPr>
          </w:p>
        </w:tc>
        <w:tc>
          <w:tcPr>
            <w:tcW w:w="1537" w:type="dxa"/>
            <w:vAlign w:val="top"/>
          </w:tcPr>
          <w:p w14:paraId="42B61178">
            <w:pPr>
              <w:pStyle w:val="35"/>
              <w:keepNext w:val="0"/>
              <w:keepLines w:val="0"/>
              <w:pageBreakBefore w:val="0"/>
              <w:kinsoku/>
              <w:wordWrap w:val="0"/>
              <w:overflowPunct/>
              <w:topLinePunct/>
              <w:autoSpaceDE/>
              <w:autoSpaceDN/>
              <w:bidi w:val="0"/>
              <w:adjustRightInd w:val="0"/>
              <w:snapToGrid w:val="0"/>
              <w:spacing w:before="35" w:line="207" w:lineRule="auto"/>
              <w:ind w:left="112"/>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6"/>
                <w:sz w:val="21"/>
                <w:szCs w:val="21"/>
                <w:highlight w:val="none"/>
              </w:rPr>
              <w:t>极高危害（</w:t>
            </w:r>
            <w:r>
              <w:rPr>
                <w:rFonts w:hint="default" w:ascii="Times New Roman" w:hAnsi="Times New Roman" w:eastAsia="Times New Roman" w:cs="Times New Roman"/>
                <w:color w:val="auto"/>
                <w:spacing w:val="6"/>
                <w:sz w:val="21"/>
                <w:szCs w:val="21"/>
                <w:highlight w:val="none"/>
              </w:rPr>
              <w:t>P1</w:t>
            </w:r>
            <w:r>
              <w:rPr>
                <w:rFonts w:hint="default" w:ascii="Times New Roman" w:hAnsi="Times New Roman" w:cs="Times New Roman"/>
                <w:color w:val="auto"/>
                <w:spacing w:val="6"/>
                <w:sz w:val="21"/>
                <w:szCs w:val="21"/>
                <w:highlight w:val="none"/>
              </w:rPr>
              <w:t>）</w:t>
            </w:r>
          </w:p>
        </w:tc>
        <w:tc>
          <w:tcPr>
            <w:tcW w:w="1687" w:type="dxa"/>
            <w:vAlign w:val="top"/>
          </w:tcPr>
          <w:p w14:paraId="3D648CD1">
            <w:pPr>
              <w:pStyle w:val="35"/>
              <w:keepNext w:val="0"/>
              <w:keepLines w:val="0"/>
              <w:pageBreakBefore w:val="0"/>
              <w:kinsoku/>
              <w:wordWrap w:val="0"/>
              <w:overflowPunct/>
              <w:topLinePunct/>
              <w:autoSpaceDE/>
              <w:autoSpaceDN/>
              <w:bidi w:val="0"/>
              <w:adjustRightInd w:val="0"/>
              <w:snapToGrid w:val="0"/>
              <w:spacing w:before="35" w:line="207" w:lineRule="auto"/>
              <w:ind w:left="148"/>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5"/>
                <w:sz w:val="21"/>
                <w:szCs w:val="21"/>
                <w:highlight w:val="none"/>
              </w:rPr>
              <w:t>高度危害（</w:t>
            </w:r>
            <w:r>
              <w:rPr>
                <w:rFonts w:hint="default" w:ascii="Times New Roman" w:hAnsi="Times New Roman" w:eastAsia="Times New Roman" w:cs="Times New Roman"/>
                <w:color w:val="auto"/>
                <w:spacing w:val="5"/>
                <w:sz w:val="21"/>
                <w:szCs w:val="21"/>
                <w:highlight w:val="none"/>
              </w:rPr>
              <w:t>P2</w:t>
            </w:r>
            <w:r>
              <w:rPr>
                <w:rFonts w:hint="default" w:ascii="Times New Roman" w:hAnsi="Times New Roman" w:cs="Times New Roman"/>
                <w:color w:val="auto"/>
                <w:spacing w:val="5"/>
                <w:sz w:val="21"/>
                <w:szCs w:val="21"/>
                <w:highlight w:val="none"/>
              </w:rPr>
              <w:t>）</w:t>
            </w:r>
          </w:p>
        </w:tc>
        <w:tc>
          <w:tcPr>
            <w:tcW w:w="1691" w:type="dxa"/>
            <w:vAlign w:val="top"/>
          </w:tcPr>
          <w:p w14:paraId="5237BCC9">
            <w:pPr>
              <w:pStyle w:val="35"/>
              <w:keepNext w:val="0"/>
              <w:keepLines w:val="0"/>
              <w:pageBreakBefore w:val="0"/>
              <w:kinsoku/>
              <w:wordWrap w:val="0"/>
              <w:overflowPunct/>
              <w:topLinePunct/>
              <w:autoSpaceDE/>
              <w:autoSpaceDN/>
              <w:bidi w:val="0"/>
              <w:adjustRightInd w:val="0"/>
              <w:snapToGrid w:val="0"/>
              <w:spacing w:before="35" w:line="207" w:lineRule="auto"/>
              <w:ind w:left="16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4"/>
                <w:sz w:val="21"/>
                <w:szCs w:val="21"/>
                <w:highlight w:val="none"/>
              </w:rPr>
              <w:t>中度危害（</w:t>
            </w:r>
            <w:r>
              <w:rPr>
                <w:rFonts w:hint="default" w:ascii="Times New Roman" w:hAnsi="Times New Roman" w:eastAsia="Times New Roman" w:cs="Times New Roman"/>
                <w:color w:val="auto"/>
                <w:spacing w:val="4"/>
                <w:sz w:val="21"/>
                <w:szCs w:val="21"/>
                <w:highlight w:val="none"/>
              </w:rPr>
              <w:t>P3</w:t>
            </w:r>
            <w:r>
              <w:rPr>
                <w:rFonts w:hint="default" w:ascii="Times New Roman" w:hAnsi="Times New Roman" w:cs="Times New Roman"/>
                <w:color w:val="auto"/>
                <w:spacing w:val="4"/>
                <w:sz w:val="21"/>
                <w:szCs w:val="21"/>
                <w:highlight w:val="none"/>
              </w:rPr>
              <w:t>）</w:t>
            </w:r>
          </w:p>
        </w:tc>
        <w:tc>
          <w:tcPr>
            <w:tcW w:w="1458" w:type="dxa"/>
            <w:tcBorders>
              <w:right w:val="nil"/>
            </w:tcBorders>
            <w:vAlign w:val="top"/>
          </w:tcPr>
          <w:p w14:paraId="61DE4125">
            <w:pPr>
              <w:pStyle w:val="35"/>
              <w:keepNext w:val="0"/>
              <w:keepLines w:val="0"/>
              <w:pageBreakBefore w:val="0"/>
              <w:kinsoku/>
              <w:wordWrap w:val="0"/>
              <w:overflowPunct/>
              <w:topLinePunct/>
              <w:autoSpaceDE/>
              <w:autoSpaceDN/>
              <w:bidi w:val="0"/>
              <w:adjustRightInd w:val="0"/>
              <w:snapToGrid w:val="0"/>
              <w:spacing w:before="35" w:line="207" w:lineRule="auto"/>
              <w:ind w:left="114"/>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1"/>
                <w:sz w:val="21"/>
                <w:szCs w:val="21"/>
                <w:highlight w:val="none"/>
              </w:rPr>
              <w:t>轻度危害（</w:t>
            </w:r>
            <w:r>
              <w:rPr>
                <w:rFonts w:hint="default" w:ascii="Times New Roman" w:hAnsi="Times New Roman" w:eastAsia="Times New Roman" w:cs="Times New Roman"/>
                <w:color w:val="auto"/>
                <w:spacing w:val="-1"/>
                <w:sz w:val="21"/>
                <w:szCs w:val="21"/>
                <w:highlight w:val="none"/>
              </w:rPr>
              <w:t>P4</w:t>
            </w:r>
            <w:r>
              <w:rPr>
                <w:rFonts w:hint="default" w:ascii="Times New Roman" w:hAnsi="Times New Roman" w:cs="Times New Roman"/>
                <w:color w:val="auto"/>
                <w:spacing w:val="-1"/>
                <w:sz w:val="21"/>
                <w:szCs w:val="21"/>
                <w:highlight w:val="none"/>
              </w:rPr>
              <w:t>）</w:t>
            </w:r>
          </w:p>
        </w:tc>
      </w:tr>
      <w:tr w14:paraId="79BE76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1" w:hRule="atLeast"/>
        </w:trPr>
        <w:tc>
          <w:tcPr>
            <w:tcW w:w="2629" w:type="dxa"/>
            <w:tcBorders>
              <w:left w:val="nil"/>
            </w:tcBorders>
            <w:vAlign w:val="top"/>
          </w:tcPr>
          <w:p w14:paraId="1F1E1818">
            <w:pPr>
              <w:pStyle w:val="35"/>
              <w:keepNext w:val="0"/>
              <w:keepLines w:val="0"/>
              <w:pageBreakBefore w:val="0"/>
              <w:kinsoku/>
              <w:wordWrap w:val="0"/>
              <w:overflowPunct/>
              <w:topLinePunct/>
              <w:autoSpaceDE/>
              <w:autoSpaceDN/>
              <w:bidi w:val="0"/>
              <w:adjustRightInd w:val="0"/>
              <w:snapToGrid w:val="0"/>
              <w:spacing w:before="43" w:line="202" w:lineRule="auto"/>
              <w:ind w:left="317"/>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7"/>
                <w:sz w:val="21"/>
                <w:szCs w:val="21"/>
                <w:highlight w:val="none"/>
              </w:rPr>
              <w:t>环境高度敏感区（</w:t>
            </w:r>
            <w:r>
              <w:rPr>
                <w:rFonts w:hint="default" w:ascii="Times New Roman" w:hAnsi="Times New Roman" w:eastAsia="Times New Roman" w:cs="Times New Roman"/>
                <w:color w:val="auto"/>
                <w:spacing w:val="7"/>
                <w:sz w:val="21"/>
                <w:szCs w:val="21"/>
                <w:highlight w:val="none"/>
              </w:rPr>
              <w:t>E1</w:t>
            </w:r>
            <w:r>
              <w:rPr>
                <w:rFonts w:hint="default" w:ascii="Times New Roman" w:hAnsi="Times New Roman" w:cs="Times New Roman"/>
                <w:color w:val="auto"/>
                <w:spacing w:val="7"/>
                <w:sz w:val="21"/>
                <w:szCs w:val="21"/>
                <w:highlight w:val="none"/>
              </w:rPr>
              <w:t>）</w:t>
            </w:r>
          </w:p>
        </w:tc>
        <w:tc>
          <w:tcPr>
            <w:tcW w:w="1537" w:type="dxa"/>
            <w:vAlign w:val="top"/>
          </w:tcPr>
          <w:p w14:paraId="07536CC4">
            <w:pPr>
              <w:pStyle w:val="35"/>
              <w:keepNext w:val="0"/>
              <w:keepLines w:val="0"/>
              <w:pageBreakBefore w:val="0"/>
              <w:kinsoku/>
              <w:wordWrap w:val="0"/>
              <w:overflowPunct/>
              <w:topLinePunct/>
              <w:autoSpaceDE/>
              <w:autoSpaceDN/>
              <w:bidi w:val="0"/>
              <w:adjustRightInd w:val="0"/>
              <w:snapToGrid w:val="0"/>
              <w:spacing w:before="43" w:line="202" w:lineRule="auto"/>
              <w:ind w:left="62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cs="Times New Roman"/>
                <w:color w:val="auto"/>
                <w:spacing w:val="-1"/>
                <w:sz w:val="21"/>
                <w:szCs w:val="21"/>
                <w:highlight w:val="none"/>
              </w:rPr>
              <w:t>Ⅳ</w:t>
            </w:r>
            <w:r>
              <w:rPr>
                <w:rFonts w:hint="default" w:ascii="Times New Roman" w:hAnsi="Times New Roman" w:eastAsia="Times New Roman" w:cs="Times New Roman"/>
                <w:color w:val="auto"/>
                <w:spacing w:val="-1"/>
                <w:sz w:val="21"/>
                <w:szCs w:val="21"/>
                <w:highlight w:val="none"/>
              </w:rPr>
              <w:t>+</w:t>
            </w:r>
          </w:p>
        </w:tc>
        <w:tc>
          <w:tcPr>
            <w:tcW w:w="1687" w:type="dxa"/>
            <w:vAlign w:val="top"/>
          </w:tcPr>
          <w:p w14:paraId="69FFF1AB">
            <w:pPr>
              <w:pStyle w:val="35"/>
              <w:keepNext w:val="0"/>
              <w:keepLines w:val="0"/>
              <w:pageBreakBefore w:val="0"/>
              <w:kinsoku/>
              <w:wordWrap w:val="0"/>
              <w:overflowPunct/>
              <w:topLinePunct/>
              <w:autoSpaceDE/>
              <w:autoSpaceDN/>
              <w:bidi w:val="0"/>
              <w:adjustRightInd w:val="0"/>
              <w:snapToGrid w:val="0"/>
              <w:spacing w:before="43" w:line="202" w:lineRule="auto"/>
              <w:ind w:left="75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Ⅳ</w:t>
            </w:r>
          </w:p>
        </w:tc>
        <w:tc>
          <w:tcPr>
            <w:tcW w:w="1691" w:type="dxa"/>
            <w:vAlign w:val="top"/>
          </w:tcPr>
          <w:p w14:paraId="314CBCE6">
            <w:pPr>
              <w:pStyle w:val="35"/>
              <w:keepNext w:val="0"/>
              <w:keepLines w:val="0"/>
              <w:pageBreakBefore w:val="0"/>
              <w:kinsoku/>
              <w:wordWrap w:val="0"/>
              <w:overflowPunct/>
              <w:topLinePunct/>
              <w:autoSpaceDE/>
              <w:autoSpaceDN/>
              <w:bidi w:val="0"/>
              <w:adjustRightInd w:val="0"/>
              <w:snapToGrid w:val="0"/>
              <w:spacing w:before="43" w:line="202" w:lineRule="auto"/>
              <w:ind w:left="750"/>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Ⅲ</w:t>
            </w:r>
          </w:p>
        </w:tc>
        <w:tc>
          <w:tcPr>
            <w:tcW w:w="1458" w:type="dxa"/>
            <w:tcBorders>
              <w:right w:val="nil"/>
            </w:tcBorders>
            <w:vAlign w:val="top"/>
          </w:tcPr>
          <w:p w14:paraId="67177C4E">
            <w:pPr>
              <w:pStyle w:val="35"/>
              <w:keepNext w:val="0"/>
              <w:keepLines w:val="0"/>
              <w:pageBreakBefore w:val="0"/>
              <w:kinsoku/>
              <w:wordWrap w:val="0"/>
              <w:overflowPunct/>
              <w:topLinePunct/>
              <w:autoSpaceDE/>
              <w:autoSpaceDN/>
              <w:bidi w:val="0"/>
              <w:adjustRightInd w:val="0"/>
              <w:snapToGrid w:val="0"/>
              <w:spacing w:before="43" w:line="202" w:lineRule="auto"/>
              <w:ind w:left="643"/>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Ⅲ</w:t>
            </w:r>
          </w:p>
        </w:tc>
      </w:tr>
      <w:tr w14:paraId="5332F7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9" w:hRule="atLeast"/>
        </w:trPr>
        <w:tc>
          <w:tcPr>
            <w:tcW w:w="2629" w:type="dxa"/>
            <w:tcBorders>
              <w:left w:val="nil"/>
            </w:tcBorders>
            <w:vAlign w:val="top"/>
          </w:tcPr>
          <w:p w14:paraId="34C8CA2B">
            <w:pPr>
              <w:pStyle w:val="35"/>
              <w:keepNext w:val="0"/>
              <w:keepLines w:val="0"/>
              <w:pageBreakBefore w:val="0"/>
              <w:kinsoku/>
              <w:wordWrap w:val="0"/>
              <w:overflowPunct/>
              <w:topLinePunct/>
              <w:autoSpaceDE/>
              <w:autoSpaceDN/>
              <w:bidi w:val="0"/>
              <w:adjustRightInd w:val="0"/>
              <w:snapToGrid w:val="0"/>
              <w:spacing w:before="46" w:line="197" w:lineRule="auto"/>
              <w:ind w:left="317"/>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7"/>
                <w:sz w:val="21"/>
                <w:szCs w:val="21"/>
                <w:highlight w:val="none"/>
              </w:rPr>
              <w:t>环境中度敏感区（</w:t>
            </w:r>
            <w:r>
              <w:rPr>
                <w:rFonts w:hint="default" w:ascii="Times New Roman" w:hAnsi="Times New Roman" w:eastAsia="Times New Roman" w:cs="Times New Roman"/>
                <w:color w:val="auto"/>
                <w:spacing w:val="7"/>
                <w:sz w:val="21"/>
                <w:szCs w:val="21"/>
                <w:highlight w:val="none"/>
              </w:rPr>
              <w:t>E2</w:t>
            </w:r>
            <w:r>
              <w:rPr>
                <w:rFonts w:hint="default" w:ascii="Times New Roman" w:hAnsi="Times New Roman" w:cs="Times New Roman"/>
                <w:color w:val="auto"/>
                <w:spacing w:val="7"/>
                <w:sz w:val="21"/>
                <w:szCs w:val="21"/>
                <w:highlight w:val="none"/>
              </w:rPr>
              <w:t>）</w:t>
            </w:r>
          </w:p>
        </w:tc>
        <w:tc>
          <w:tcPr>
            <w:tcW w:w="1537" w:type="dxa"/>
            <w:vAlign w:val="top"/>
          </w:tcPr>
          <w:p w14:paraId="7B44A680">
            <w:pPr>
              <w:pStyle w:val="35"/>
              <w:keepNext w:val="0"/>
              <w:keepLines w:val="0"/>
              <w:pageBreakBefore w:val="0"/>
              <w:kinsoku/>
              <w:wordWrap w:val="0"/>
              <w:overflowPunct/>
              <w:topLinePunct/>
              <w:autoSpaceDE/>
              <w:autoSpaceDN/>
              <w:bidi w:val="0"/>
              <w:adjustRightInd w:val="0"/>
              <w:snapToGrid w:val="0"/>
              <w:spacing w:before="46" w:line="197" w:lineRule="auto"/>
              <w:ind w:left="679"/>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Ⅳ</w:t>
            </w:r>
          </w:p>
        </w:tc>
        <w:tc>
          <w:tcPr>
            <w:tcW w:w="1687" w:type="dxa"/>
            <w:vAlign w:val="top"/>
          </w:tcPr>
          <w:p w14:paraId="2F4C8081">
            <w:pPr>
              <w:pStyle w:val="35"/>
              <w:keepNext w:val="0"/>
              <w:keepLines w:val="0"/>
              <w:pageBreakBefore w:val="0"/>
              <w:kinsoku/>
              <w:wordWrap w:val="0"/>
              <w:overflowPunct/>
              <w:topLinePunct/>
              <w:autoSpaceDE/>
              <w:autoSpaceDN/>
              <w:bidi w:val="0"/>
              <w:adjustRightInd w:val="0"/>
              <w:snapToGrid w:val="0"/>
              <w:spacing w:before="46" w:line="197" w:lineRule="auto"/>
              <w:ind w:left="747"/>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Ⅲ</w:t>
            </w:r>
          </w:p>
        </w:tc>
        <w:tc>
          <w:tcPr>
            <w:tcW w:w="1691" w:type="dxa"/>
            <w:vAlign w:val="top"/>
          </w:tcPr>
          <w:p w14:paraId="7BFEFC6D">
            <w:pPr>
              <w:pStyle w:val="35"/>
              <w:keepNext w:val="0"/>
              <w:keepLines w:val="0"/>
              <w:pageBreakBefore w:val="0"/>
              <w:kinsoku/>
              <w:wordWrap w:val="0"/>
              <w:overflowPunct/>
              <w:topLinePunct/>
              <w:autoSpaceDE/>
              <w:autoSpaceDN/>
              <w:bidi w:val="0"/>
              <w:adjustRightInd w:val="0"/>
              <w:snapToGrid w:val="0"/>
              <w:spacing w:before="46" w:line="197" w:lineRule="auto"/>
              <w:ind w:left="750"/>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Ⅲ</w:t>
            </w:r>
          </w:p>
        </w:tc>
        <w:tc>
          <w:tcPr>
            <w:tcW w:w="1458" w:type="dxa"/>
            <w:tcBorders>
              <w:right w:val="nil"/>
            </w:tcBorders>
            <w:vAlign w:val="top"/>
          </w:tcPr>
          <w:p w14:paraId="04B1D7D6">
            <w:pPr>
              <w:pStyle w:val="35"/>
              <w:keepNext w:val="0"/>
              <w:keepLines w:val="0"/>
              <w:pageBreakBefore w:val="0"/>
              <w:kinsoku/>
              <w:wordWrap w:val="0"/>
              <w:overflowPunct/>
              <w:topLinePunct/>
              <w:autoSpaceDE/>
              <w:autoSpaceDN/>
              <w:bidi w:val="0"/>
              <w:adjustRightInd w:val="0"/>
              <w:snapToGrid w:val="0"/>
              <w:spacing w:before="46" w:line="197" w:lineRule="auto"/>
              <w:ind w:left="678"/>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Ⅱ</w:t>
            </w:r>
          </w:p>
        </w:tc>
      </w:tr>
      <w:tr w14:paraId="072C01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5" w:hRule="atLeast"/>
        </w:trPr>
        <w:tc>
          <w:tcPr>
            <w:tcW w:w="2629" w:type="dxa"/>
            <w:tcBorders>
              <w:left w:val="nil"/>
            </w:tcBorders>
            <w:vAlign w:val="top"/>
          </w:tcPr>
          <w:p w14:paraId="1CEF6AF4">
            <w:pPr>
              <w:pStyle w:val="35"/>
              <w:keepNext w:val="0"/>
              <w:keepLines w:val="0"/>
              <w:pageBreakBefore w:val="0"/>
              <w:kinsoku/>
              <w:wordWrap w:val="0"/>
              <w:overflowPunct/>
              <w:topLinePunct/>
              <w:autoSpaceDE/>
              <w:autoSpaceDN/>
              <w:bidi w:val="0"/>
              <w:adjustRightInd w:val="0"/>
              <w:snapToGrid w:val="0"/>
              <w:spacing w:before="50" w:line="218" w:lineRule="auto"/>
              <w:ind w:left="317"/>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7"/>
                <w:sz w:val="21"/>
                <w:szCs w:val="21"/>
                <w:highlight w:val="none"/>
              </w:rPr>
              <w:t>环境低度敏感区（</w:t>
            </w:r>
            <w:r>
              <w:rPr>
                <w:rFonts w:hint="default" w:ascii="Times New Roman" w:hAnsi="Times New Roman" w:eastAsia="Times New Roman" w:cs="Times New Roman"/>
                <w:color w:val="auto"/>
                <w:spacing w:val="7"/>
                <w:sz w:val="21"/>
                <w:szCs w:val="21"/>
                <w:highlight w:val="none"/>
              </w:rPr>
              <w:t>E3</w:t>
            </w:r>
            <w:r>
              <w:rPr>
                <w:rFonts w:hint="default" w:ascii="Times New Roman" w:hAnsi="Times New Roman" w:cs="Times New Roman"/>
                <w:color w:val="auto"/>
                <w:spacing w:val="7"/>
                <w:sz w:val="21"/>
                <w:szCs w:val="21"/>
                <w:highlight w:val="none"/>
              </w:rPr>
              <w:t>）</w:t>
            </w:r>
          </w:p>
        </w:tc>
        <w:tc>
          <w:tcPr>
            <w:tcW w:w="1537" w:type="dxa"/>
            <w:vAlign w:val="top"/>
          </w:tcPr>
          <w:p w14:paraId="558E98EF">
            <w:pPr>
              <w:pStyle w:val="35"/>
              <w:keepNext w:val="0"/>
              <w:keepLines w:val="0"/>
              <w:pageBreakBefore w:val="0"/>
              <w:kinsoku/>
              <w:wordWrap w:val="0"/>
              <w:overflowPunct/>
              <w:topLinePunct/>
              <w:autoSpaceDE/>
              <w:autoSpaceDN/>
              <w:bidi w:val="0"/>
              <w:adjustRightInd w:val="0"/>
              <w:snapToGrid w:val="0"/>
              <w:spacing w:before="50" w:line="218" w:lineRule="auto"/>
              <w:ind w:left="671"/>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Ⅲ</w:t>
            </w:r>
          </w:p>
        </w:tc>
        <w:tc>
          <w:tcPr>
            <w:tcW w:w="1687" w:type="dxa"/>
            <w:vAlign w:val="top"/>
          </w:tcPr>
          <w:p w14:paraId="6FE14107">
            <w:pPr>
              <w:pStyle w:val="35"/>
              <w:keepNext w:val="0"/>
              <w:keepLines w:val="0"/>
              <w:pageBreakBefore w:val="0"/>
              <w:kinsoku/>
              <w:wordWrap w:val="0"/>
              <w:overflowPunct/>
              <w:topLinePunct/>
              <w:autoSpaceDE/>
              <w:autoSpaceDN/>
              <w:bidi w:val="0"/>
              <w:adjustRightInd w:val="0"/>
              <w:snapToGrid w:val="0"/>
              <w:spacing w:before="50" w:line="218" w:lineRule="auto"/>
              <w:ind w:left="747"/>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Ⅲ</w:t>
            </w:r>
          </w:p>
        </w:tc>
        <w:tc>
          <w:tcPr>
            <w:tcW w:w="1691" w:type="dxa"/>
            <w:vAlign w:val="top"/>
          </w:tcPr>
          <w:p w14:paraId="00A87A31">
            <w:pPr>
              <w:pStyle w:val="35"/>
              <w:keepNext w:val="0"/>
              <w:keepLines w:val="0"/>
              <w:pageBreakBefore w:val="0"/>
              <w:kinsoku/>
              <w:wordWrap w:val="0"/>
              <w:overflowPunct/>
              <w:topLinePunct/>
              <w:autoSpaceDE/>
              <w:autoSpaceDN/>
              <w:bidi w:val="0"/>
              <w:adjustRightInd w:val="0"/>
              <w:snapToGrid w:val="0"/>
              <w:spacing w:before="50" w:line="218" w:lineRule="auto"/>
              <w:ind w:left="785"/>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Ⅱ</w:t>
            </w:r>
          </w:p>
        </w:tc>
        <w:tc>
          <w:tcPr>
            <w:tcW w:w="1458" w:type="dxa"/>
            <w:tcBorders>
              <w:right w:val="nil"/>
            </w:tcBorders>
            <w:vAlign w:val="top"/>
          </w:tcPr>
          <w:p w14:paraId="6E72943E">
            <w:pPr>
              <w:pStyle w:val="35"/>
              <w:keepNext w:val="0"/>
              <w:keepLines w:val="0"/>
              <w:pageBreakBefore w:val="0"/>
              <w:kinsoku/>
              <w:wordWrap w:val="0"/>
              <w:overflowPunct/>
              <w:topLinePunct/>
              <w:autoSpaceDE/>
              <w:autoSpaceDN/>
              <w:bidi w:val="0"/>
              <w:adjustRightInd w:val="0"/>
              <w:snapToGrid w:val="0"/>
              <w:spacing w:before="50" w:line="218" w:lineRule="auto"/>
              <w:ind w:left="708"/>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Ⅰ</w:t>
            </w:r>
          </w:p>
        </w:tc>
      </w:tr>
      <w:tr w14:paraId="5AFB6D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5" w:hRule="atLeast"/>
        </w:trPr>
        <w:tc>
          <w:tcPr>
            <w:tcW w:w="9002" w:type="dxa"/>
            <w:gridSpan w:val="5"/>
            <w:tcBorders>
              <w:left w:val="nil"/>
              <w:bottom w:val="single" w:color="000000" w:sz="10" w:space="0"/>
              <w:right w:val="nil"/>
            </w:tcBorders>
            <w:vAlign w:val="top"/>
          </w:tcPr>
          <w:p w14:paraId="7D320716">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宋体" w:cs="Times New Roman"/>
                <w:snapToGrid w:val="0"/>
                <w:color w:val="auto"/>
                <w:kern w:val="0"/>
                <w:sz w:val="21"/>
                <w:szCs w:val="21"/>
                <w:highlight w:val="none"/>
                <w:lang w:val="en-US" w:eastAsia="zh-CN" w:bidi="ar"/>
              </w:rPr>
              <w:t>注：Ⅳ+为极高环境风险。</w:t>
            </w:r>
          </w:p>
        </w:tc>
      </w:tr>
    </w:tbl>
    <w:p w14:paraId="499C8E5C">
      <w:pPr>
        <w:keepNext w:val="0"/>
        <w:keepLines w:val="0"/>
        <w:pageBreakBefore w:val="0"/>
        <w:kinsoku/>
        <w:wordWrap w:val="0"/>
        <w:overflowPunct/>
        <w:topLinePunct/>
        <w:autoSpaceDE/>
        <w:autoSpaceDN/>
        <w:bidi w:val="0"/>
        <w:adjustRightInd w:val="0"/>
        <w:snapToGrid w:val="0"/>
        <w:spacing w:before="49" w:line="358" w:lineRule="auto"/>
        <w:ind w:left="8" w:firstLine="474"/>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根据《建设项目环境风险评价技术导则》（</w:t>
      </w:r>
      <w:r>
        <w:rPr>
          <w:rFonts w:hint="default" w:ascii="Times New Roman" w:hAnsi="Times New Roman" w:eastAsia="Times New Roman" w:cs="Times New Roman"/>
          <w:color w:val="auto"/>
          <w:spacing w:val="-3"/>
          <w:sz w:val="24"/>
          <w:szCs w:val="24"/>
          <w:highlight w:val="none"/>
        </w:rPr>
        <w:t>HJ169-2018</w:t>
      </w:r>
      <w:r>
        <w:rPr>
          <w:rFonts w:hint="default" w:ascii="Times New Roman" w:hAnsi="Times New Roman" w:eastAsia="宋体" w:cs="Times New Roman"/>
          <w:color w:val="auto"/>
          <w:spacing w:val="-3"/>
          <w:sz w:val="24"/>
          <w:szCs w:val="24"/>
          <w:highlight w:val="none"/>
        </w:rPr>
        <w:t>）中附录</w:t>
      </w:r>
      <w:r>
        <w:rPr>
          <w:rFonts w:hint="default" w:ascii="Times New Roman" w:hAnsi="Times New Roman" w:eastAsia="Times New Roman" w:cs="Times New Roman"/>
          <w:color w:val="auto"/>
          <w:spacing w:val="-4"/>
          <w:sz w:val="24"/>
          <w:szCs w:val="24"/>
          <w:highlight w:val="none"/>
        </w:rPr>
        <w:t>B</w:t>
      </w:r>
      <w:r>
        <w:rPr>
          <w:rFonts w:hint="default" w:ascii="Times New Roman" w:hAnsi="Times New Roman" w:eastAsia="宋体" w:cs="Times New Roman"/>
          <w:color w:val="auto"/>
          <w:spacing w:val="-4"/>
          <w:sz w:val="24"/>
          <w:szCs w:val="24"/>
          <w:highlight w:val="none"/>
        </w:rPr>
        <w:t>危险物质的临</w:t>
      </w:r>
      <w:r>
        <w:rPr>
          <w:rFonts w:hint="default" w:ascii="Times New Roman" w:hAnsi="Times New Roman" w:eastAsia="宋体" w:cs="Times New Roman"/>
          <w:color w:val="auto"/>
          <w:spacing w:val="-1"/>
          <w:sz w:val="24"/>
          <w:szCs w:val="24"/>
          <w:highlight w:val="none"/>
        </w:rPr>
        <w:t>界量，以及附录</w:t>
      </w:r>
      <w:r>
        <w:rPr>
          <w:rFonts w:hint="default" w:ascii="Times New Roman" w:hAnsi="Times New Roman" w:eastAsia="Times New Roman" w:cs="Times New Roman"/>
          <w:color w:val="auto"/>
          <w:spacing w:val="-1"/>
          <w:sz w:val="24"/>
          <w:szCs w:val="24"/>
          <w:highlight w:val="none"/>
        </w:rPr>
        <w:t>C</w:t>
      </w:r>
      <w:r>
        <w:rPr>
          <w:rFonts w:hint="default" w:ascii="Times New Roman" w:hAnsi="Times New Roman" w:eastAsia="宋体" w:cs="Times New Roman"/>
          <w:color w:val="auto"/>
          <w:spacing w:val="-1"/>
          <w:sz w:val="24"/>
          <w:szCs w:val="24"/>
          <w:highlight w:val="none"/>
        </w:rPr>
        <w:t>对危险物质及工艺系统危险性（</w:t>
      </w:r>
      <w:r>
        <w:rPr>
          <w:rFonts w:hint="default" w:ascii="Times New Roman" w:hAnsi="Times New Roman" w:eastAsia="Times New Roman" w:cs="Times New Roman"/>
          <w:color w:val="auto"/>
          <w:spacing w:val="-1"/>
          <w:sz w:val="24"/>
          <w:szCs w:val="24"/>
          <w:highlight w:val="none"/>
        </w:rPr>
        <w:t>P</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pacing w:val="-1"/>
          <w:sz w:val="24"/>
          <w:szCs w:val="24"/>
          <w:highlight w:val="none"/>
        </w:rPr>
        <w:t>判断</w:t>
      </w:r>
      <w:r>
        <w:rPr>
          <w:rFonts w:hint="default" w:ascii="Times New Roman" w:hAnsi="Times New Roman" w:eastAsia="宋体" w:cs="Times New Roman"/>
          <w:color w:val="auto"/>
          <w:spacing w:val="-2"/>
          <w:sz w:val="24"/>
          <w:szCs w:val="24"/>
          <w:highlight w:val="none"/>
        </w:rPr>
        <w:t>危险物质及工艺系统危</w:t>
      </w:r>
      <w:r>
        <w:rPr>
          <w:rFonts w:hint="default" w:ascii="Times New Roman" w:hAnsi="Times New Roman" w:eastAsia="宋体" w:cs="Times New Roman"/>
          <w:color w:val="auto"/>
          <w:spacing w:val="-4"/>
          <w:sz w:val="24"/>
          <w:szCs w:val="24"/>
          <w:highlight w:val="none"/>
        </w:rPr>
        <w:t>险性（</w:t>
      </w:r>
      <w:r>
        <w:rPr>
          <w:rFonts w:hint="default" w:ascii="Times New Roman" w:hAnsi="Times New Roman" w:eastAsia="Times New Roman" w:cs="Times New Roman"/>
          <w:color w:val="auto"/>
          <w:spacing w:val="-4"/>
          <w:sz w:val="24"/>
          <w:szCs w:val="24"/>
          <w:highlight w:val="none"/>
        </w:rPr>
        <w:t>P</w:t>
      </w:r>
      <w:r>
        <w:rPr>
          <w:rFonts w:hint="default" w:ascii="Times New Roman" w:hAnsi="Times New Roman" w:eastAsia="宋体" w:cs="Times New Roman"/>
          <w:color w:val="auto"/>
          <w:spacing w:val="-4"/>
          <w:sz w:val="24"/>
          <w:szCs w:val="24"/>
          <w:highlight w:val="none"/>
        </w:rPr>
        <w:t>）判断环境风险潜势。</w:t>
      </w:r>
    </w:p>
    <w:p w14:paraId="3FCBCC88">
      <w:pPr>
        <w:keepNext w:val="0"/>
        <w:keepLines w:val="0"/>
        <w:pageBreakBefore w:val="0"/>
        <w:widowControl/>
        <w:kinsoku/>
        <w:wordWrap w:val="0"/>
        <w:overflowPunct/>
        <w:topLinePunct/>
        <w:autoSpaceDE/>
        <w:autoSpaceDN/>
        <w:bidi w:val="0"/>
        <w:adjustRightInd w:val="0"/>
        <w:snapToGrid w:val="0"/>
        <w:spacing w:line="360" w:lineRule="auto"/>
        <w:ind w:lef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当只涉及一种危险物质时，计算该物质的总量与其临界量比值，即为</w:t>
      </w:r>
      <w:r>
        <w:rPr>
          <w:rFonts w:hint="default" w:ascii="Times New Roman" w:hAnsi="Times New Roman" w:eastAsia="Times New Roman" w:cs="Times New Roman"/>
          <w:color w:val="auto"/>
          <w:spacing w:val="-2"/>
          <w:sz w:val="24"/>
          <w:szCs w:val="24"/>
          <w:highlight w:val="none"/>
        </w:rPr>
        <w:t>Q</w:t>
      </w:r>
      <w:r>
        <w:rPr>
          <w:rFonts w:hint="default" w:ascii="Times New Roman" w:hAnsi="Times New Roman" w:eastAsia="宋体" w:cs="Times New Roman"/>
          <w:color w:val="auto"/>
          <w:spacing w:val="-2"/>
          <w:sz w:val="24"/>
          <w:szCs w:val="24"/>
          <w:highlight w:val="none"/>
        </w:rPr>
        <w:t>；</w:t>
      </w:r>
    </w:p>
    <w:p w14:paraId="6BE64250">
      <w:pPr>
        <w:keepNext w:val="0"/>
        <w:keepLines w:val="0"/>
        <w:pageBreakBefore w:val="0"/>
        <w:widowControl/>
        <w:kinsoku/>
        <w:wordWrap w:val="0"/>
        <w:overflowPunct/>
        <w:topLinePunct/>
        <w:autoSpaceDE/>
        <w:autoSpaceDN/>
        <w:bidi w:val="0"/>
        <w:adjustRightInd w:val="0"/>
        <w:snapToGrid w:val="0"/>
        <w:spacing w:line="360" w:lineRule="auto"/>
        <w:ind w:lef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当存在多种危险物质时，则按式（</w:t>
      </w:r>
      <w:r>
        <w:rPr>
          <w:rFonts w:hint="default" w:ascii="Times New Roman" w:hAnsi="Times New Roman" w:eastAsia="Times New Roman" w:cs="Times New Roman"/>
          <w:color w:val="auto"/>
          <w:spacing w:val="-1"/>
          <w:sz w:val="24"/>
          <w:szCs w:val="24"/>
          <w:highlight w:val="none"/>
        </w:rPr>
        <w:t>C.</w:t>
      </w:r>
      <w:r>
        <w:rPr>
          <w:rFonts w:hint="eastAsia" w:ascii="Times New Roman" w:hAnsi="Times New Roman" w:eastAsia="宋体" w:cs="Times New Roman"/>
          <w:color w:val="auto"/>
          <w:spacing w:val="-1"/>
          <w:sz w:val="24"/>
          <w:szCs w:val="24"/>
          <w:highlight w:val="none"/>
          <w:lang w:val="en-US" w:eastAsia="zh-CN"/>
        </w:rPr>
        <w:t>+</w:t>
      </w:r>
      <w:r>
        <w:rPr>
          <w:rFonts w:hint="default" w:ascii="Times New Roman" w:hAnsi="Times New Roman" w:eastAsia="Times New Roman" w:cs="Times New Roman"/>
          <w:color w:val="auto"/>
          <w:spacing w:val="-1"/>
          <w:sz w:val="24"/>
          <w:szCs w:val="24"/>
          <w:highlight w:val="none"/>
        </w:rPr>
        <w:t>1</w:t>
      </w:r>
      <w:r>
        <w:rPr>
          <w:rFonts w:hint="default" w:ascii="Times New Roman" w:hAnsi="Times New Roman" w:eastAsia="宋体" w:cs="Times New Roman"/>
          <w:color w:val="auto"/>
          <w:spacing w:val="-1"/>
          <w:sz w:val="24"/>
          <w:szCs w:val="24"/>
          <w:highlight w:val="none"/>
        </w:rPr>
        <w:t>）计算物质总量与其临界量比值（</w:t>
      </w:r>
      <w:r>
        <w:rPr>
          <w:rFonts w:hint="default" w:ascii="Times New Roman" w:hAnsi="Times New Roman" w:eastAsia="Times New Roman" w:cs="Times New Roman"/>
          <w:color w:val="auto"/>
          <w:spacing w:val="-1"/>
          <w:sz w:val="24"/>
          <w:szCs w:val="24"/>
          <w:highlight w:val="none"/>
        </w:rPr>
        <w:t>Q</w:t>
      </w:r>
      <w:r>
        <w:rPr>
          <w:rFonts w:hint="default" w:ascii="Times New Roman" w:hAnsi="Times New Roman" w:eastAsia="宋体" w:cs="Times New Roman"/>
          <w:color w:val="auto"/>
          <w:spacing w:val="-9"/>
          <w:sz w:val="24"/>
          <w:szCs w:val="24"/>
          <w:highlight w:val="none"/>
        </w:rPr>
        <w:t>）：</w:t>
      </w:r>
    </w:p>
    <w:p w14:paraId="44FD2955">
      <w:pPr>
        <w:keepNext w:val="0"/>
        <w:keepLines w:val="0"/>
        <w:pageBreakBefore w:val="0"/>
        <w:kinsoku/>
        <w:wordWrap w:val="0"/>
        <w:overflowPunct/>
        <w:topLinePunct/>
        <w:autoSpaceDE/>
        <w:autoSpaceDN/>
        <w:bidi w:val="0"/>
        <w:adjustRightInd w:val="0"/>
        <w:snapToGrid w:val="0"/>
        <w:spacing w:before="151" w:line="801" w:lineRule="exact"/>
        <w:ind w:firstLine="1641"/>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16"/>
          <w:highlight w:val="none"/>
        </w:rPr>
        <w:drawing>
          <wp:inline distT="0" distB="0" distL="0" distR="0">
            <wp:extent cx="3474720" cy="508000"/>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64"/>
                    <a:stretch>
                      <a:fillRect/>
                    </a:stretch>
                  </pic:blipFill>
                  <pic:spPr>
                    <a:xfrm>
                      <a:off x="0" y="0"/>
                      <a:ext cx="3474720" cy="508634"/>
                    </a:xfrm>
                    <a:prstGeom prst="rect">
                      <a:avLst/>
                    </a:prstGeom>
                  </pic:spPr>
                </pic:pic>
              </a:graphicData>
            </a:graphic>
          </wp:inline>
        </w:drawing>
      </w:r>
    </w:p>
    <w:p w14:paraId="48AB9591">
      <w:pPr>
        <w:keepNext w:val="0"/>
        <w:keepLines w:val="0"/>
        <w:pageBreakBefore w:val="0"/>
        <w:kinsoku/>
        <w:wordWrap w:val="0"/>
        <w:overflowPunct/>
        <w:topLinePunct/>
        <w:autoSpaceDE/>
        <w:autoSpaceDN/>
        <w:bidi w:val="0"/>
        <w:adjustRightInd w:val="0"/>
        <w:snapToGrid w:val="0"/>
        <w:spacing w:before="157" w:line="213" w:lineRule="auto"/>
        <w:ind w:left="487"/>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式中：</w:t>
      </w:r>
      <w:r>
        <w:rPr>
          <w:rFonts w:hint="default" w:ascii="Times New Roman" w:hAnsi="Times New Roman" w:eastAsia="Times New Roman" w:cs="Times New Roman"/>
          <w:color w:val="auto"/>
          <w:spacing w:val="-5"/>
          <w:sz w:val="24"/>
          <w:szCs w:val="24"/>
          <w:highlight w:val="none"/>
        </w:rPr>
        <w:t>q1</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q2</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qn——</w:t>
      </w:r>
      <w:r>
        <w:rPr>
          <w:rFonts w:hint="default" w:ascii="Times New Roman" w:hAnsi="Times New Roman" w:eastAsia="宋体" w:cs="Times New Roman"/>
          <w:color w:val="auto"/>
          <w:spacing w:val="-5"/>
          <w:sz w:val="24"/>
          <w:szCs w:val="24"/>
          <w:highlight w:val="none"/>
        </w:rPr>
        <w:t>每种危险物质的最大存在总量，</w:t>
      </w:r>
      <w:r>
        <w:rPr>
          <w:rFonts w:hint="default" w:ascii="Times New Roman" w:hAnsi="Times New Roman" w:eastAsia="Times New Roman" w:cs="Times New Roman"/>
          <w:color w:val="auto"/>
          <w:spacing w:val="-5"/>
          <w:sz w:val="24"/>
          <w:szCs w:val="24"/>
          <w:highlight w:val="none"/>
        </w:rPr>
        <w:t>t</w:t>
      </w:r>
      <w:r>
        <w:rPr>
          <w:rFonts w:hint="default" w:ascii="Times New Roman" w:hAnsi="Times New Roman" w:eastAsia="宋体" w:cs="Times New Roman"/>
          <w:color w:val="auto"/>
          <w:spacing w:val="-5"/>
          <w:sz w:val="24"/>
          <w:szCs w:val="24"/>
          <w:highlight w:val="none"/>
        </w:rPr>
        <w:t>；</w:t>
      </w:r>
    </w:p>
    <w:p w14:paraId="27E4F78A">
      <w:pPr>
        <w:keepNext w:val="0"/>
        <w:keepLines w:val="0"/>
        <w:pageBreakBefore w:val="0"/>
        <w:kinsoku/>
        <w:wordWrap w:val="0"/>
        <w:overflowPunct/>
        <w:topLinePunct/>
        <w:autoSpaceDE/>
        <w:autoSpaceDN/>
        <w:bidi w:val="0"/>
        <w:adjustRightInd w:val="0"/>
        <w:snapToGrid w:val="0"/>
        <w:spacing w:before="190" w:line="227" w:lineRule="auto"/>
        <w:ind w:left="1201"/>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6"/>
          <w:sz w:val="24"/>
          <w:szCs w:val="24"/>
          <w:highlight w:val="none"/>
        </w:rPr>
        <w:t>Q</w:t>
      </w:r>
      <w:r>
        <w:rPr>
          <w:rFonts w:hint="default" w:ascii="Times New Roman" w:hAnsi="Times New Roman" w:eastAsia="Times New Roman" w:cs="Times New Roman"/>
          <w:color w:val="auto"/>
          <w:spacing w:val="-6"/>
          <w:position w:val="-2"/>
          <w:sz w:val="16"/>
          <w:szCs w:val="16"/>
          <w:highlight w:val="none"/>
        </w:rPr>
        <w:t>1</w:t>
      </w: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Q</w:t>
      </w:r>
      <w:r>
        <w:rPr>
          <w:rFonts w:hint="default" w:ascii="Times New Roman" w:hAnsi="Times New Roman" w:eastAsia="Times New Roman" w:cs="Times New Roman"/>
          <w:color w:val="auto"/>
          <w:spacing w:val="-6"/>
          <w:position w:val="-2"/>
          <w:sz w:val="16"/>
          <w:szCs w:val="16"/>
          <w:highlight w:val="none"/>
        </w:rPr>
        <w:t>2</w:t>
      </w: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w:t>
      </w: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Q</w:t>
      </w:r>
      <w:r>
        <w:rPr>
          <w:rFonts w:hint="default" w:ascii="Times New Roman" w:hAnsi="Times New Roman" w:eastAsia="Times New Roman" w:cs="Times New Roman"/>
          <w:color w:val="auto"/>
          <w:spacing w:val="-6"/>
          <w:position w:val="-2"/>
          <w:sz w:val="16"/>
          <w:szCs w:val="16"/>
          <w:highlight w:val="none"/>
        </w:rPr>
        <w:t>n</w:t>
      </w:r>
      <w:r>
        <w:rPr>
          <w:rFonts w:hint="default" w:ascii="Times New Roman" w:hAnsi="Times New Roman" w:eastAsia="Times New Roman" w:cs="Times New Roman"/>
          <w:color w:val="auto"/>
          <w:spacing w:val="-6"/>
          <w:sz w:val="24"/>
          <w:szCs w:val="24"/>
          <w:highlight w:val="none"/>
        </w:rPr>
        <w:t>——</w:t>
      </w:r>
      <w:r>
        <w:rPr>
          <w:rFonts w:hint="default" w:ascii="Times New Roman" w:hAnsi="Times New Roman" w:eastAsia="宋体" w:cs="Times New Roman"/>
          <w:color w:val="auto"/>
          <w:spacing w:val="-6"/>
          <w:sz w:val="24"/>
          <w:szCs w:val="24"/>
          <w:highlight w:val="none"/>
        </w:rPr>
        <w:t>每种危险物质的临界量，</w:t>
      </w:r>
      <w:r>
        <w:rPr>
          <w:rFonts w:hint="default" w:ascii="Times New Roman" w:hAnsi="Times New Roman" w:eastAsia="Times New Roman" w:cs="Times New Roman"/>
          <w:color w:val="auto"/>
          <w:spacing w:val="-6"/>
          <w:sz w:val="24"/>
          <w:szCs w:val="24"/>
          <w:highlight w:val="none"/>
        </w:rPr>
        <w:t>t</w:t>
      </w:r>
      <w:r>
        <w:rPr>
          <w:rFonts w:hint="default" w:ascii="Times New Roman" w:hAnsi="Times New Roman" w:eastAsia="宋体" w:cs="Times New Roman"/>
          <w:color w:val="auto"/>
          <w:spacing w:val="-6"/>
          <w:sz w:val="24"/>
          <w:szCs w:val="24"/>
          <w:highlight w:val="none"/>
        </w:rPr>
        <w:t>。</w:t>
      </w:r>
    </w:p>
    <w:p w14:paraId="5C114AB4">
      <w:pPr>
        <w:keepNext w:val="0"/>
        <w:keepLines w:val="0"/>
        <w:pageBreakBefore w:val="0"/>
        <w:kinsoku/>
        <w:wordWrap w:val="0"/>
        <w:overflowPunct/>
        <w:topLinePunct/>
        <w:autoSpaceDE/>
        <w:autoSpaceDN/>
        <w:bidi w:val="0"/>
        <w:adjustRightInd w:val="0"/>
        <w:snapToGrid w:val="0"/>
        <w:spacing w:before="173" w:line="216" w:lineRule="auto"/>
        <w:ind w:left="1217"/>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8"/>
          <w:sz w:val="24"/>
          <w:szCs w:val="24"/>
          <w:highlight w:val="none"/>
        </w:rPr>
        <w:t>当</w:t>
      </w:r>
      <w:r>
        <w:rPr>
          <w:rFonts w:hint="default" w:ascii="Times New Roman" w:hAnsi="Times New Roman" w:eastAsia="Times New Roman" w:cs="Times New Roman"/>
          <w:color w:val="auto"/>
          <w:spacing w:val="-8"/>
          <w:sz w:val="24"/>
          <w:szCs w:val="24"/>
          <w:highlight w:val="none"/>
        </w:rPr>
        <w:t>Q</w:t>
      </w: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Times New Roman" w:cs="Times New Roman"/>
          <w:color w:val="auto"/>
          <w:spacing w:val="-8"/>
          <w:sz w:val="24"/>
          <w:szCs w:val="24"/>
          <w:highlight w:val="none"/>
        </w:rPr>
        <w:t>1</w:t>
      </w:r>
      <w:r>
        <w:rPr>
          <w:rFonts w:hint="default" w:ascii="Times New Roman" w:hAnsi="Times New Roman" w:eastAsia="宋体" w:cs="Times New Roman"/>
          <w:color w:val="auto"/>
          <w:spacing w:val="-8"/>
          <w:sz w:val="24"/>
          <w:szCs w:val="24"/>
          <w:highlight w:val="none"/>
        </w:rPr>
        <w:t>时，该项目环境风险潜势为Ⅰ。</w:t>
      </w:r>
    </w:p>
    <w:p w14:paraId="3AD0F109">
      <w:pPr>
        <w:keepNext w:val="0"/>
        <w:keepLines w:val="0"/>
        <w:pageBreakBefore w:val="0"/>
        <w:kinsoku/>
        <w:wordWrap w:val="0"/>
        <w:overflowPunct/>
        <w:topLinePunct/>
        <w:autoSpaceDE/>
        <w:autoSpaceDN/>
        <w:bidi w:val="0"/>
        <w:adjustRightInd w:val="0"/>
        <w:snapToGrid w:val="0"/>
        <w:spacing w:before="185" w:line="216" w:lineRule="auto"/>
        <w:ind w:firstLine="444" w:firstLineChars="200"/>
        <w:jc w:val="both"/>
        <w:textAlignment w:val="baseline"/>
        <w:rPr>
          <w:rFonts w:hint="default" w:ascii="Times New Roman" w:hAnsi="Times New Roman" w:cs="Times New Roman" w:eastAsiaTheme="minorEastAsia"/>
          <w:color w:val="auto"/>
          <w:sz w:val="24"/>
          <w:szCs w:val="24"/>
          <w:highlight w:val="none"/>
        </w:rPr>
      </w:pPr>
      <w:r>
        <w:rPr>
          <w:rFonts w:hint="default" w:ascii="Times New Roman" w:hAnsi="Times New Roman" w:cs="Times New Roman" w:eastAsiaTheme="minorEastAsia"/>
          <w:color w:val="auto"/>
          <w:spacing w:val="-9"/>
          <w:sz w:val="24"/>
          <w:szCs w:val="24"/>
          <w:highlight w:val="none"/>
        </w:rPr>
        <w:t>当Q≥1时，将Q值划分为</w:t>
      </w:r>
      <w:r>
        <w:rPr>
          <w:rFonts w:hint="default" w:ascii="Times New Roman" w:hAnsi="Times New Roman" w:cs="Times New Roman" w:eastAsiaTheme="minorEastAsia"/>
          <w:color w:val="auto"/>
          <w:spacing w:val="-65"/>
          <w:sz w:val="24"/>
          <w:szCs w:val="24"/>
          <w:highlight w:val="none"/>
        </w:rPr>
        <w:t>：</w:t>
      </w:r>
      <w:r>
        <w:rPr>
          <w:rFonts w:hint="default" w:ascii="Times New Roman" w:hAnsi="Times New Roman" w:cs="Times New Roman" w:eastAsiaTheme="minorEastAsia"/>
          <w:color w:val="auto"/>
          <w:spacing w:val="-65"/>
          <w:sz w:val="24"/>
          <w:szCs w:val="24"/>
          <w:highlight w:val="none"/>
          <w:lang w:eastAsia="zh-CN"/>
        </w:rPr>
        <w:t>（</w:t>
      </w:r>
      <w:r>
        <w:rPr>
          <w:rFonts w:hint="default" w:ascii="Times New Roman" w:hAnsi="Times New Roman" w:cs="Times New Roman" w:eastAsiaTheme="minorEastAsia"/>
          <w:color w:val="auto"/>
          <w:spacing w:val="-65"/>
          <w:sz w:val="24"/>
          <w:szCs w:val="24"/>
          <w:highlight w:val="none"/>
          <w:lang w:val="en-US" w:eastAsia="zh-CN"/>
        </w:rPr>
        <w:t>1</w:t>
      </w:r>
      <w:r>
        <w:rPr>
          <w:rFonts w:hint="default" w:ascii="Times New Roman" w:hAnsi="Times New Roman" w:cs="Times New Roman" w:eastAsiaTheme="minorEastAsia"/>
          <w:color w:val="auto"/>
          <w:spacing w:val="-65"/>
          <w:sz w:val="24"/>
          <w:szCs w:val="24"/>
          <w:highlight w:val="none"/>
          <w:lang w:eastAsia="zh-CN"/>
        </w:rPr>
        <w:t>）</w:t>
      </w:r>
      <w:r>
        <w:rPr>
          <w:rFonts w:hint="default" w:ascii="Times New Roman" w:hAnsi="Times New Roman" w:cs="Times New Roman" w:eastAsiaTheme="minorEastAsia"/>
          <w:color w:val="auto"/>
          <w:spacing w:val="-9"/>
          <w:sz w:val="24"/>
          <w:szCs w:val="24"/>
          <w:highlight w:val="none"/>
        </w:rPr>
        <w:t>1≤Q＜10</w:t>
      </w:r>
      <w:r>
        <w:rPr>
          <w:rFonts w:hint="default" w:ascii="Times New Roman" w:hAnsi="Times New Roman" w:cs="Times New Roman" w:eastAsiaTheme="minorEastAsia"/>
          <w:color w:val="auto"/>
          <w:spacing w:val="-65"/>
          <w:sz w:val="24"/>
          <w:szCs w:val="24"/>
          <w:highlight w:val="none"/>
        </w:rPr>
        <w:t>；</w:t>
      </w:r>
      <w:r>
        <w:rPr>
          <w:rFonts w:hint="default" w:ascii="Times New Roman" w:hAnsi="Times New Roman" w:cs="Times New Roman" w:eastAsiaTheme="minorEastAsia"/>
          <w:color w:val="auto"/>
          <w:spacing w:val="-65"/>
          <w:sz w:val="24"/>
          <w:szCs w:val="24"/>
          <w:highlight w:val="none"/>
          <w:lang w:eastAsia="zh-CN"/>
        </w:rPr>
        <w:t>（</w:t>
      </w:r>
      <w:r>
        <w:rPr>
          <w:rFonts w:hint="default" w:ascii="Times New Roman" w:hAnsi="Times New Roman" w:cs="Times New Roman" w:eastAsiaTheme="minorEastAsia"/>
          <w:color w:val="auto"/>
          <w:spacing w:val="-65"/>
          <w:sz w:val="24"/>
          <w:szCs w:val="24"/>
          <w:highlight w:val="none"/>
          <w:lang w:val="en-US" w:eastAsia="zh-CN"/>
        </w:rPr>
        <w:t>2</w:t>
      </w:r>
      <w:r>
        <w:rPr>
          <w:rFonts w:hint="default" w:ascii="Times New Roman" w:hAnsi="Times New Roman" w:cs="Times New Roman" w:eastAsiaTheme="minorEastAsia"/>
          <w:color w:val="auto"/>
          <w:spacing w:val="-65"/>
          <w:sz w:val="24"/>
          <w:szCs w:val="24"/>
          <w:highlight w:val="none"/>
          <w:lang w:eastAsia="zh-CN"/>
        </w:rPr>
        <w:t>）</w:t>
      </w:r>
      <w:r>
        <w:rPr>
          <w:rFonts w:hint="default" w:ascii="Times New Roman" w:hAnsi="Times New Roman" w:cs="Times New Roman" w:eastAsiaTheme="minorEastAsia"/>
          <w:color w:val="auto"/>
          <w:spacing w:val="-9"/>
          <w:sz w:val="24"/>
          <w:szCs w:val="24"/>
          <w:highlight w:val="none"/>
        </w:rPr>
        <w:t>10≤Q＜100</w:t>
      </w:r>
      <w:r>
        <w:rPr>
          <w:rFonts w:hint="default" w:ascii="Times New Roman" w:hAnsi="Times New Roman" w:cs="Times New Roman" w:eastAsiaTheme="minorEastAsia"/>
          <w:color w:val="auto"/>
          <w:spacing w:val="-65"/>
          <w:sz w:val="24"/>
          <w:szCs w:val="24"/>
          <w:highlight w:val="none"/>
        </w:rPr>
        <w:t>；</w:t>
      </w:r>
      <w:r>
        <w:rPr>
          <w:rFonts w:hint="default" w:ascii="Times New Roman" w:hAnsi="Times New Roman" w:cs="Times New Roman" w:eastAsiaTheme="minorEastAsia"/>
          <w:color w:val="auto"/>
          <w:spacing w:val="-65"/>
          <w:sz w:val="24"/>
          <w:szCs w:val="24"/>
          <w:highlight w:val="none"/>
          <w:lang w:eastAsia="zh-CN"/>
        </w:rPr>
        <w:t>（</w:t>
      </w:r>
      <w:r>
        <w:rPr>
          <w:rFonts w:hint="default" w:ascii="Times New Roman" w:hAnsi="Times New Roman" w:cs="Times New Roman" w:eastAsiaTheme="minorEastAsia"/>
          <w:color w:val="auto"/>
          <w:spacing w:val="-65"/>
          <w:sz w:val="24"/>
          <w:szCs w:val="24"/>
          <w:highlight w:val="none"/>
          <w:lang w:val="en-US" w:eastAsia="zh-CN"/>
        </w:rPr>
        <w:t>3</w:t>
      </w:r>
      <w:r>
        <w:rPr>
          <w:rFonts w:hint="default" w:ascii="Times New Roman" w:hAnsi="Times New Roman" w:cs="Times New Roman" w:eastAsiaTheme="minorEastAsia"/>
          <w:color w:val="auto"/>
          <w:spacing w:val="-65"/>
          <w:sz w:val="24"/>
          <w:szCs w:val="24"/>
          <w:highlight w:val="none"/>
          <w:lang w:eastAsia="zh-CN"/>
        </w:rPr>
        <w:t>）</w:t>
      </w:r>
      <w:r>
        <w:rPr>
          <w:rFonts w:hint="default" w:ascii="Times New Roman" w:hAnsi="Times New Roman" w:cs="Times New Roman" w:eastAsiaTheme="minorEastAsia"/>
          <w:color w:val="auto"/>
          <w:spacing w:val="-9"/>
          <w:sz w:val="24"/>
          <w:szCs w:val="24"/>
          <w:highlight w:val="none"/>
        </w:rPr>
        <w:t>Q≥100。</w:t>
      </w:r>
    </w:p>
    <w:p w14:paraId="24C0C3D6">
      <w:pPr>
        <w:keepNext w:val="0"/>
        <w:keepLines w:val="0"/>
        <w:pageBreakBefore w:val="0"/>
        <w:kinsoku/>
        <w:wordWrap w:val="0"/>
        <w:overflowPunct/>
        <w:topLinePunct/>
        <w:autoSpaceDE/>
        <w:autoSpaceDN/>
        <w:bidi w:val="0"/>
        <w:adjustRightInd w:val="0"/>
        <w:snapToGrid w:val="0"/>
        <w:spacing w:before="188" w:line="352" w:lineRule="auto"/>
        <w:ind w:right="16" w:firstLine="472" w:firstLineChars="200"/>
        <w:textAlignment w:val="baseline"/>
        <w:rPr>
          <w:rFonts w:hint="default" w:ascii="Times New Roman" w:hAnsi="Times New Roman" w:cs="Times New Roman" w:eastAsiaTheme="minorEastAsia"/>
          <w:color w:val="auto"/>
          <w:sz w:val="24"/>
          <w:szCs w:val="24"/>
          <w:highlight w:val="none"/>
        </w:rPr>
      </w:pPr>
      <w:r>
        <w:rPr>
          <w:rFonts w:hint="default" w:ascii="Times New Roman" w:hAnsi="Times New Roman" w:cs="Times New Roman" w:eastAsiaTheme="minorEastAsia"/>
          <w:color w:val="auto"/>
          <w:spacing w:val="-2"/>
          <w:sz w:val="24"/>
          <w:szCs w:val="24"/>
          <w:highlight w:val="none"/>
        </w:rPr>
        <w:t>根据《建设项目环境风险评价技术导则》（HJ169-2018）附录B</w:t>
      </w:r>
      <w:r>
        <w:rPr>
          <w:rFonts w:hint="default" w:ascii="Times New Roman" w:hAnsi="Times New Roman" w:cs="Times New Roman" w:eastAsiaTheme="minorEastAsia"/>
          <w:color w:val="auto"/>
          <w:spacing w:val="-3"/>
          <w:sz w:val="24"/>
          <w:szCs w:val="24"/>
          <w:highlight w:val="none"/>
        </w:rPr>
        <w:t>，本项目不涉及环境风险物质，项目Q值小于1，故环境风险潜势为I。</w:t>
      </w:r>
    </w:p>
    <w:p w14:paraId="690A1A39">
      <w:pPr>
        <w:keepNext w:val="0"/>
        <w:keepLines w:val="0"/>
        <w:pageBreakBefore w:val="0"/>
        <w:kinsoku/>
        <w:wordWrap w:val="0"/>
        <w:overflowPunct/>
        <w:topLinePunct/>
        <w:autoSpaceDE/>
        <w:autoSpaceDN/>
        <w:bidi w:val="0"/>
        <w:adjustRightInd w:val="0"/>
        <w:snapToGrid w:val="0"/>
        <w:spacing w:before="17" w:line="232" w:lineRule="auto"/>
        <w:ind w:left="47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、评价等级</w:t>
      </w:r>
    </w:p>
    <w:p w14:paraId="17915F3D">
      <w:pPr>
        <w:keepNext w:val="0"/>
        <w:keepLines w:val="0"/>
        <w:pageBreakBefore w:val="0"/>
        <w:kinsoku/>
        <w:wordWrap w:val="0"/>
        <w:overflowPunct/>
        <w:topLinePunct/>
        <w:autoSpaceDE/>
        <w:autoSpaceDN/>
        <w:bidi w:val="0"/>
        <w:adjustRightInd w:val="0"/>
        <w:snapToGrid w:val="0"/>
        <w:spacing w:before="166" w:line="360" w:lineRule="auto"/>
        <w:ind w:left="4" w:firstLine="47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环境风险评价工作等级划分为一级、二级、三级。根据建设项目涉及的物质及工艺系统危险性和所在地的环境敏感性确定环境风险潜势，按照表</w:t>
      </w:r>
      <w:r>
        <w:rPr>
          <w:rFonts w:hint="default" w:ascii="Times New Roman" w:hAnsi="Times New Roman" w:eastAsia="Times New Roman" w:cs="Times New Roman"/>
          <w:color w:val="auto"/>
          <w:spacing w:val="-3"/>
          <w:sz w:val="24"/>
          <w:szCs w:val="24"/>
          <w:highlight w:val="none"/>
        </w:rPr>
        <w:t>2.5-1</w:t>
      </w:r>
      <w:r>
        <w:rPr>
          <w:rFonts w:hint="eastAsia" w:ascii="Times New Roman" w:hAnsi="Times New Roman" w:eastAsia="宋体" w:cs="Times New Roman"/>
          <w:color w:val="auto"/>
          <w:spacing w:val="-3"/>
          <w:sz w:val="24"/>
          <w:szCs w:val="24"/>
          <w:highlight w:val="none"/>
          <w:lang w:val="en-US" w:eastAsia="zh-CN"/>
        </w:rPr>
        <w:t>8</w:t>
      </w:r>
      <w:r>
        <w:rPr>
          <w:rFonts w:hint="default" w:ascii="Times New Roman" w:hAnsi="Times New Roman" w:eastAsia="宋体" w:cs="Times New Roman"/>
          <w:color w:val="auto"/>
          <w:spacing w:val="-4"/>
          <w:sz w:val="24"/>
          <w:szCs w:val="24"/>
          <w:highlight w:val="none"/>
        </w:rPr>
        <w:t>确定评价工作</w:t>
      </w:r>
      <w:r>
        <w:rPr>
          <w:rFonts w:hint="default" w:ascii="Times New Roman" w:hAnsi="Times New Roman" w:eastAsia="宋体" w:cs="Times New Roman"/>
          <w:color w:val="auto"/>
          <w:spacing w:val="-2"/>
          <w:sz w:val="24"/>
          <w:szCs w:val="24"/>
          <w:highlight w:val="none"/>
        </w:rPr>
        <w:t>等级，本项目环境风险潜势为</w:t>
      </w:r>
      <w:r>
        <w:rPr>
          <w:rFonts w:hint="default" w:ascii="Times New Roman" w:hAnsi="Times New Roman" w:eastAsia="Times New Roman" w:cs="Times New Roman"/>
          <w:color w:val="auto"/>
          <w:spacing w:val="-2"/>
          <w:sz w:val="24"/>
          <w:szCs w:val="24"/>
          <w:highlight w:val="none"/>
        </w:rPr>
        <w:t>I</w:t>
      </w:r>
      <w:r>
        <w:rPr>
          <w:rFonts w:hint="default" w:ascii="Times New Roman" w:hAnsi="Times New Roman" w:eastAsia="宋体" w:cs="Times New Roman"/>
          <w:color w:val="auto"/>
          <w:spacing w:val="-2"/>
          <w:sz w:val="24"/>
          <w:szCs w:val="24"/>
          <w:highlight w:val="none"/>
        </w:rPr>
        <w:t>，可开展简单</w:t>
      </w:r>
      <w:r>
        <w:rPr>
          <w:rFonts w:hint="default" w:ascii="Times New Roman" w:hAnsi="Times New Roman" w:eastAsia="宋体" w:cs="Times New Roman"/>
          <w:color w:val="auto"/>
          <w:spacing w:val="-3"/>
          <w:sz w:val="24"/>
          <w:szCs w:val="24"/>
          <w:highlight w:val="none"/>
        </w:rPr>
        <w:t>分析。</w:t>
      </w:r>
    </w:p>
    <w:p w14:paraId="6B167EBB">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86" w:name="_Toc32087"/>
      <w:r>
        <w:rPr>
          <w:rFonts w:hint="default" w:ascii="Times New Roman" w:hAnsi="Times New Roman" w:eastAsia="宋体" w:cs="Times New Roman"/>
          <w:b/>
          <w:bCs/>
          <w:color w:val="auto"/>
          <w:spacing w:val="-2"/>
          <w:sz w:val="24"/>
          <w:szCs w:val="24"/>
          <w:highlight w:val="none"/>
          <w:lang w:val="en-US" w:eastAsia="zh-CN"/>
        </w:rPr>
        <w:t>2.5.2评价重点</w:t>
      </w:r>
      <w:bookmarkEnd w:id="86"/>
    </w:p>
    <w:p w14:paraId="6065AD0D">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在工程分析基础上重点进行环境空气影响评价和声环境影响评价，有针对性地提</w:t>
      </w:r>
      <w:r>
        <w:rPr>
          <w:rFonts w:hint="default" w:ascii="Times New Roman" w:hAnsi="Times New Roman" w:eastAsia="宋体" w:cs="Times New Roman"/>
          <w:color w:val="auto"/>
          <w:spacing w:val="-4"/>
          <w:sz w:val="24"/>
          <w:szCs w:val="24"/>
          <w:highlight w:val="none"/>
        </w:rPr>
        <w:t>出进一步防治环境污染的对策措施。</w:t>
      </w:r>
    </w:p>
    <w:p w14:paraId="39D5EE5F">
      <w:pPr>
        <w:keepNext w:val="0"/>
        <w:keepLines w:val="0"/>
        <w:pageBreakBefore w:val="0"/>
        <w:widowControl/>
        <w:kinsoku/>
        <w:wordWrap w:val="0"/>
        <w:overflowPunct/>
        <w:topLinePunct/>
        <w:autoSpaceDE/>
        <w:autoSpaceDN/>
        <w:bidi w:val="0"/>
        <w:adjustRightInd w:val="0"/>
        <w:snapToGrid w:val="0"/>
        <w:spacing w:line="360" w:lineRule="auto"/>
        <w:ind w:left="11"/>
        <w:textAlignment w:val="baseline"/>
        <w:outlineLvl w:val="1"/>
        <w:rPr>
          <w:rFonts w:hint="default" w:ascii="Times New Roman" w:hAnsi="Times New Roman" w:eastAsia="Times New Roman" w:cs="Times New Roman"/>
          <w:b/>
          <w:bCs/>
          <w:color w:val="auto"/>
          <w:spacing w:val="-5"/>
          <w:sz w:val="28"/>
          <w:szCs w:val="28"/>
          <w:highlight w:val="none"/>
        </w:rPr>
      </w:pPr>
      <w:bookmarkStart w:id="87" w:name="_Toc7232"/>
      <w:bookmarkStart w:id="88" w:name="_Toc8524"/>
      <w:bookmarkStart w:id="89" w:name="_Toc6857"/>
      <w:r>
        <w:rPr>
          <w:rFonts w:hint="default" w:ascii="Times New Roman" w:hAnsi="Times New Roman" w:eastAsia="Times New Roman" w:cs="Times New Roman"/>
          <w:b/>
          <w:bCs/>
          <w:color w:val="auto"/>
          <w:spacing w:val="-5"/>
          <w:sz w:val="28"/>
          <w:szCs w:val="28"/>
          <w:highlight w:val="none"/>
        </w:rPr>
        <w:t>2.6评价范围</w:t>
      </w:r>
      <w:bookmarkEnd w:id="87"/>
      <w:bookmarkEnd w:id="88"/>
      <w:bookmarkEnd w:id="89"/>
    </w:p>
    <w:p w14:paraId="045AE12F">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5"/>
          <w:sz w:val="24"/>
          <w:szCs w:val="24"/>
          <w:highlight w:val="none"/>
        </w:rPr>
        <w:t>1</w:t>
      </w:r>
      <w:r>
        <w:rPr>
          <w:rFonts w:hint="default" w:ascii="Times New Roman" w:hAnsi="Times New Roman" w:eastAsia="宋体" w:cs="Times New Roman"/>
          <w:color w:val="auto"/>
          <w:spacing w:val="-5"/>
          <w:sz w:val="24"/>
          <w:szCs w:val="24"/>
          <w:highlight w:val="none"/>
        </w:rPr>
        <w:t>、大气环境影响评价范围</w:t>
      </w:r>
    </w:p>
    <w:p w14:paraId="2E9188B3">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根据《环境影响评价技术导则大气环境》（</w:t>
      </w:r>
      <w:r>
        <w:rPr>
          <w:rFonts w:hint="default" w:ascii="Times New Roman" w:hAnsi="Times New Roman" w:eastAsia="Times New Roman" w:cs="Times New Roman"/>
          <w:color w:val="auto"/>
          <w:spacing w:val="-1"/>
          <w:sz w:val="24"/>
          <w:szCs w:val="24"/>
          <w:highlight w:val="none"/>
        </w:rPr>
        <w:t>HJ2.2-2018</w:t>
      </w:r>
      <w:r>
        <w:rPr>
          <w:rFonts w:hint="default" w:ascii="Times New Roman" w:hAnsi="Times New Roman" w:eastAsia="宋体" w:cs="Times New Roman"/>
          <w:color w:val="auto"/>
          <w:spacing w:val="-1"/>
          <w:sz w:val="24"/>
          <w:szCs w:val="24"/>
          <w:highlight w:val="none"/>
        </w:rPr>
        <w:t>）二级评价要求，评价</w:t>
      </w:r>
      <w:r>
        <w:rPr>
          <w:rFonts w:hint="default" w:ascii="Times New Roman" w:hAnsi="Times New Roman" w:eastAsia="宋体" w:cs="Times New Roman"/>
          <w:color w:val="auto"/>
          <w:spacing w:val="-2"/>
          <w:sz w:val="24"/>
          <w:szCs w:val="24"/>
          <w:highlight w:val="none"/>
        </w:rPr>
        <w:t>范围以项目场址为中心区域，大气环境影响评价范围边长为</w:t>
      </w:r>
      <w:r>
        <w:rPr>
          <w:rFonts w:hint="default" w:ascii="Times New Roman" w:hAnsi="Times New Roman" w:eastAsia="Times New Roman" w:cs="Times New Roman"/>
          <w:color w:val="auto"/>
          <w:spacing w:val="-2"/>
          <w:sz w:val="24"/>
          <w:szCs w:val="24"/>
          <w:highlight w:val="none"/>
        </w:rPr>
        <w:t>5</w:t>
      </w:r>
      <w:r>
        <w:rPr>
          <w:rFonts w:hint="default" w:ascii="Times New Roman" w:hAnsi="Times New Roman" w:eastAsia="Times New Roman" w:cs="Times New Roman"/>
          <w:color w:val="auto"/>
          <w:spacing w:val="-3"/>
          <w:sz w:val="24"/>
          <w:szCs w:val="24"/>
          <w:highlight w:val="none"/>
        </w:rPr>
        <w:t>km</w:t>
      </w:r>
      <w:r>
        <w:rPr>
          <w:rFonts w:hint="default" w:ascii="Times New Roman" w:hAnsi="Times New Roman" w:eastAsia="宋体" w:cs="Times New Roman"/>
          <w:color w:val="auto"/>
          <w:spacing w:val="-3"/>
          <w:sz w:val="24"/>
          <w:szCs w:val="24"/>
          <w:highlight w:val="none"/>
        </w:rPr>
        <w:t>的矩形区域。</w:t>
      </w:r>
    </w:p>
    <w:p w14:paraId="2EE134CF">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、地下水环境评价范围</w:t>
      </w:r>
    </w:p>
    <w:p w14:paraId="25385FC4">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根据《环境影响评价技术导则地下水环境》</w:t>
      </w:r>
      <w:r>
        <w:rPr>
          <w:rFonts w:hint="default" w:ascii="Times New Roman" w:hAnsi="Times New Roman" w:eastAsia="Times New Roman" w:cs="Times New Roman"/>
          <w:color w:val="auto"/>
          <w:spacing w:val="-5"/>
          <w:sz w:val="24"/>
          <w:szCs w:val="24"/>
          <w:highlight w:val="none"/>
        </w:rPr>
        <w:t>(HJ610-2016)</w:t>
      </w:r>
      <w:r>
        <w:rPr>
          <w:rFonts w:hint="default" w:ascii="Times New Roman" w:hAnsi="Times New Roman" w:eastAsia="宋体" w:cs="Times New Roman"/>
          <w:color w:val="auto"/>
          <w:spacing w:val="-5"/>
          <w:sz w:val="24"/>
          <w:szCs w:val="24"/>
          <w:highlight w:val="none"/>
        </w:rPr>
        <w:t>中地</w:t>
      </w:r>
      <w:r>
        <w:rPr>
          <w:rFonts w:hint="default" w:ascii="Times New Roman" w:hAnsi="Times New Roman" w:eastAsia="宋体" w:cs="Times New Roman"/>
          <w:color w:val="auto"/>
          <w:spacing w:val="-6"/>
          <w:sz w:val="24"/>
          <w:szCs w:val="24"/>
          <w:highlight w:val="none"/>
        </w:rPr>
        <w:t>下水环境现状</w:t>
      </w:r>
      <w:r>
        <w:rPr>
          <w:rFonts w:hint="default" w:ascii="Times New Roman" w:hAnsi="Times New Roman" w:eastAsia="宋体" w:cs="Times New Roman"/>
          <w:color w:val="auto"/>
          <w:spacing w:val="-6"/>
          <w:sz w:val="24"/>
          <w:szCs w:val="24"/>
          <w:highlight w:val="none"/>
          <w:lang w:eastAsia="zh-CN"/>
        </w:rPr>
        <w:t>“</w:t>
      </w:r>
      <w:r>
        <w:rPr>
          <w:rFonts w:hint="default" w:ascii="Times New Roman" w:hAnsi="Times New Roman" w:eastAsia="宋体" w:cs="Times New Roman"/>
          <w:color w:val="auto"/>
          <w:spacing w:val="-6"/>
          <w:sz w:val="24"/>
          <w:szCs w:val="24"/>
          <w:highlight w:val="none"/>
        </w:rPr>
        <w:t>调</w:t>
      </w:r>
      <w:r>
        <w:rPr>
          <w:rFonts w:hint="default" w:ascii="Times New Roman" w:hAnsi="Times New Roman" w:eastAsia="宋体" w:cs="Times New Roman"/>
          <w:color w:val="auto"/>
          <w:sz w:val="24"/>
          <w:szCs w:val="24"/>
          <w:highlight w:val="none"/>
        </w:rPr>
        <w:t>查评价范围确定</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中查表法：三级评价调查评价面积为</w:t>
      </w:r>
      <w:r>
        <w:rPr>
          <w:rFonts w:hint="default" w:ascii="Times New Roman" w:hAnsi="Times New Roman" w:eastAsia="Times New Roman" w:cs="Times New Roman"/>
          <w:color w:val="auto"/>
          <w:sz w:val="24"/>
          <w:szCs w:val="24"/>
          <w:highlight w:val="none"/>
        </w:rPr>
        <w:t>6km</w:t>
      </w:r>
      <w:r>
        <w:rPr>
          <w:rFonts w:hint="default" w:ascii="Times New Roman" w:hAnsi="Times New Roman" w:eastAsia="Times New Roman" w:cs="Times New Roman"/>
          <w:color w:val="auto"/>
          <w:position w:val="10"/>
          <w:sz w:val="16"/>
          <w:szCs w:val="16"/>
          <w:highlight w:val="none"/>
        </w:rPr>
        <w:t>2</w:t>
      </w:r>
      <w:r>
        <w:rPr>
          <w:rFonts w:hint="default" w:ascii="Times New Roman" w:hAnsi="Times New Roman" w:eastAsia="宋体" w:cs="Times New Roman"/>
          <w:color w:val="auto"/>
          <w:sz w:val="24"/>
          <w:szCs w:val="24"/>
          <w:highlight w:val="none"/>
        </w:rPr>
        <w:t>。</w:t>
      </w:r>
    </w:p>
    <w:p w14:paraId="654D19D8">
      <w:pPr>
        <w:keepNext w:val="0"/>
        <w:keepLines w:val="0"/>
        <w:pageBreakBefore w:val="0"/>
        <w:widowControl/>
        <w:kinsoku/>
        <w:wordWrap w:val="0"/>
        <w:overflowPunct/>
        <w:topLinePunct/>
        <w:autoSpaceDE/>
        <w:autoSpaceDN/>
        <w:bidi w:val="0"/>
        <w:adjustRightInd w:val="0"/>
        <w:snapToGrid w:val="0"/>
        <w:spacing w:line="360" w:lineRule="auto"/>
        <w:ind w:left="0" w:right="0" w:firstLine="49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因此，确定本项目地下水评价范围为：项目所在区域</w:t>
      </w:r>
      <w:r>
        <w:rPr>
          <w:rFonts w:hint="default" w:ascii="Times New Roman" w:hAnsi="Times New Roman" w:eastAsia="Times New Roman" w:cs="Times New Roman"/>
          <w:color w:val="auto"/>
          <w:spacing w:val="3"/>
          <w:sz w:val="24"/>
          <w:szCs w:val="24"/>
          <w:highlight w:val="none"/>
        </w:rPr>
        <w:t>6</w:t>
      </w:r>
      <w:r>
        <w:rPr>
          <w:rFonts w:hint="default" w:ascii="Times New Roman" w:hAnsi="Times New Roman" w:eastAsia="Times New Roman" w:cs="Times New Roman"/>
          <w:color w:val="auto"/>
          <w:sz w:val="24"/>
          <w:szCs w:val="24"/>
          <w:highlight w:val="none"/>
        </w:rPr>
        <w:t>km</w:t>
      </w:r>
      <w:r>
        <w:rPr>
          <w:rFonts w:hint="default" w:ascii="Times New Roman" w:hAnsi="Times New Roman" w:eastAsia="Times New Roman" w:cs="Times New Roman"/>
          <w:color w:val="auto"/>
          <w:spacing w:val="3"/>
          <w:position w:val="10"/>
          <w:sz w:val="16"/>
          <w:szCs w:val="16"/>
          <w:highlight w:val="none"/>
        </w:rPr>
        <w:t>2</w:t>
      </w:r>
      <w:r>
        <w:rPr>
          <w:rFonts w:hint="default" w:ascii="Times New Roman" w:hAnsi="Times New Roman" w:eastAsia="宋体" w:cs="Times New Roman"/>
          <w:color w:val="auto"/>
          <w:spacing w:val="3"/>
          <w:sz w:val="24"/>
          <w:szCs w:val="24"/>
          <w:highlight w:val="none"/>
        </w:rPr>
        <w:t>范围，即场区上游</w:t>
      </w:r>
      <w:r>
        <w:rPr>
          <w:rFonts w:hint="default" w:ascii="Times New Roman" w:hAnsi="Times New Roman" w:eastAsia="Times New Roman" w:cs="Times New Roman"/>
          <w:color w:val="auto"/>
          <w:spacing w:val="-5"/>
          <w:sz w:val="24"/>
          <w:szCs w:val="24"/>
          <w:highlight w:val="none"/>
        </w:rPr>
        <w:t>1000m</w:t>
      </w:r>
      <w:r>
        <w:rPr>
          <w:rFonts w:hint="default" w:ascii="Times New Roman" w:hAnsi="Times New Roman" w:eastAsia="宋体" w:cs="Times New Roman"/>
          <w:color w:val="auto"/>
          <w:spacing w:val="-5"/>
          <w:sz w:val="24"/>
          <w:szCs w:val="24"/>
          <w:highlight w:val="none"/>
        </w:rPr>
        <w:t>、下游</w:t>
      </w:r>
      <w:r>
        <w:rPr>
          <w:rFonts w:hint="default" w:ascii="Times New Roman" w:hAnsi="Times New Roman" w:eastAsia="Times New Roman" w:cs="Times New Roman"/>
          <w:color w:val="auto"/>
          <w:spacing w:val="-5"/>
          <w:sz w:val="24"/>
          <w:szCs w:val="24"/>
          <w:highlight w:val="none"/>
        </w:rPr>
        <w:t>2000m</w:t>
      </w:r>
      <w:r>
        <w:rPr>
          <w:rFonts w:hint="default" w:ascii="Times New Roman" w:hAnsi="Times New Roman" w:eastAsia="宋体" w:cs="Times New Roman"/>
          <w:color w:val="auto"/>
          <w:spacing w:val="-5"/>
          <w:sz w:val="24"/>
          <w:szCs w:val="24"/>
          <w:highlight w:val="none"/>
        </w:rPr>
        <w:t>，两侧各</w:t>
      </w:r>
      <w:r>
        <w:rPr>
          <w:rFonts w:hint="default" w:ascii="Times New Roman" w:hAnsi="Times New Roman" w:eastAsia="Times New Roman" w:cs="Times New Roman"/>
          <w:color w:val="auto"/>
          <w:spacing w:val="-5"/>
          <w:sz w:val="24"/>
          <w:szCs w:val="24"/>
          <w:highlight w:val="none"/>
        </w:rPr>
        <w:t>1000m</w:t>
      </w:r>
      <w:r>
        <w:rPr>
          <w:rFonts w:hint="default" w:ascii="Times New Roman" w:hAnsi="Times New Roman" w:eastAsia="宋体" w:cs="Times New Roman"/>
          <w:color w:val="auto"/>
          <w:spacing w:val="-5"/>
          <w:sz w:val="24"/>
          <w:szCs w:val="24"/>
          <w:highlight w:val="none"/>
        </w:rPr>
        <w:t>范围内的矩形。</w:t>
      </w:r>
    </w:p>
    <w:p w14:paraId="4D7D86D5">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3</w:t>
      </w:r>
      <w:r>
        <w:rPr>
          <w:rFonts w:hint="default" w:ascii="Times New Roman" w:hAnsi="Times New Roman" w:eastAsia="宋体" w:cs="Times New Roman"/>
          <w:color w:val="auto"/>
          <w:spacing w:val="-3"/>
          <w:sz w:val="24"/>
          <w:szCs w:val="24"/>
          <w:highlight w:val="none"/>
        </w:rPr>
        <w:t>、声环境影响评价范围</w:t>
      </w:r>
    </w:p>
    <w:p w14:paraId="6F7C8704">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声环境影响评价范围确定为项目</w:t>
      </w:r>
      <w:r>
        <w:rPr>
          <w:rFonts w:hint="default" w:ascii="Times New Roman" w:hAnsi="Times New Roman" w:eastAsia="宋体" w:cs="Times New Roman"/>
          <w:color w:val="auto"/>
          <w:spacing w:val="-3"/>
          <w:sz w:val="24"/>
          <w:szCs w:val="24"/>
          <w:highlight w:val="none"/>
          <w:lang w:eastAsia="zh-CN"/>
        </w:rPr>
        <w:t>厂界</w:t>
      </w:r>
      <w:r>
        <w:rPr>
          <w:rFonts w:hint="default" w:ascii="Times New Roman" w:hAnsi="Times New Roman" w:eastAsia="宋体" w:cs="Times New Roman"/>
          <w:color w:val="auto"/>
          <w:spacing w:val="-3"/>
          <w:sz w:val="24"/>
          <w:szCs w:val="24"/>
          <w:highlight w:val="none"/>
        </w:rPr>
        <w:t>外</w:t>
      </w:r>
      <w:r>
        <w:rPr>
          <w:rFonts w:hint="default" w:ascii="Times New Roman" w:hAnsi="Times New Roman" w:eastAsia="Times New Roman" w:cs="Times New Roman"/>
          <w:color w:val="auto"/>
          <w:spacing w:val="-3"/>
          <w:sz w:val="24"/>
          <w:szCs w:val="24"/>
          <w:highlight w:val="none"/>
        </w:rPr>
        <w:t>200m</w:t>
      </w:r>
      <w:r>
        <w:rPr>
          <w:rFonts w:hint="default" w:ascii="Times New Roman" w:hAnsi="Times New Roman" w:eastAsia="宋体" w:cs="Times New Roman"/>
          <w:color w:val="auto"/>
          <w:spacing w:val="-3"/>
          <w:sz w:val="24"/>
          <w:szCs w:val="24"/>
          <w:highlight w:val="none"/>
        </w:rPr>
        <w:t>范围内。</w:t>
      </w:r>
    </w:p>
    <w:p w14:paraId="0397266A">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4</w:t>
      </w:r>
      <w:r>
        <w:rPr>
          <w:rFonts w:hint="default" w:ascii="Times New Roman" w:hAnsi="Times New Roman" w:eastAsia="宋体" w:cs="Times New Roman"/>
          <w:color w:val="auto"/>
          <w:spacing w:val="-3"/>
          <w:sz w:val="24"/>
          <w:szCs w:val="24"/>
          <w:highlight w:val="none"/>
        </w:rPr>
        <w:t>、土壤评价范围</w:t>
      </w:r>
    </w:p>
    <w:p w14:paraId="20E79328">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本项目土壤评价等级为三级，为污染影响型项目，评价范围确定为项目占地范围</w:t>
      </w:r>
      <w:r>
        <w:rPr>
          <w:rFonts w:hint="default" w:ascii="Times New Roman" w:hAnsi="Times New Roman" w:eastAsia="宋体" w:cs="Times New Roman"/>
          <w:color w:val="auto"/>
          <w:spacing w:val="-4"/>
          <w:sz w:val="24"/>
          <w:szCs w:val="24"/>
          <w:highlight w:val="none"/>
        </w:rPr>
        <w:t>内及</w:t>
      </w:r>
      <w:r>
        <w:rPr>
          <w:rFonts w:hint="default" w:ascii="Times New Roman" w:hAnsi="Times New Roman" w:eastAsia="宋体" w:cs="Times New Roman"/>
          <w:color w:val="auto"/>
          <w:spacing w:val="-4"/>
          <w:sz w:val="24"/>
          <w:szCs w:val="24"/>
          <w:highlight w:val="none"/>
          <w:lang w:eastAsia="zh-CN"/>
        </w:rPr>
        <w:t>厂界</w:t>
      </w:r>
      <w:r>
        <w:rPr>
          <w:rFonts w:hint="default" w:ascii="Times New Roman" w:hAnsi="Times New Roman" w:eastAsia="宋体" w:cs="Times New Roman"/>
          <w:color w:val="auto"/>
          <w:spacing w:val="-4"/>
          <w:sz w:val="24"/>
          <w:szCs w:val="24"/>
          <w:highlight w:val="none"/>
        </w:rPr>
        <w:t>占地范围外</w:t>
      </w:r>
      <w:r>
        <w:rPr>
          <w:rFonts w:hint="default" w:ascii="Times New Roman" w:hAnsi="Times New Roman" w:eastAsia="Times New Roman" w:cs="Times New Roman"/>
          <w:color w:val="auto"/>
          <w:spacing w:val="-4"/>
          <w:sz w:val="24"/>
          <w:szCs w:val="24"/>
          <w:highlight w:val="none"/>
        </w:rPr>
        <w:t>50m</w:t>
      </w:r>
      <w:r>
        <w:rPr>
          <w:rFonts w:hint="default" w:ascii="Times New Roman" w:hAnsi="Times New Roman" w:eastAsia="宋体" w:cs="Times New Roman"/>
          <w:color w:val="auto"/>
          <w:spacing w:val="-4"/>
          <w:sz w:val="24"/>
          <w:szCs w:val="24"/>
          <w:highlight w:val="none"/>
        </w:rPr>
        <w:t>。</w:t>
      </w:r>
    </w:p>
    <w:p w14:paraId="2BF0242A">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5</w:t>
      </w:r>
      <w:r>
        <w:rPr>
          <w:rFonts w:hint="default" w:ascii="Times New Roman" w:hAnsi="Times New Roman" w:eastAsia="宋体" w:cs="Times New Roman"/>
          <w:color w:val="auto"/>
          <w:spacing w:val="-3"/>
          <w:sz w:val="24"/>
          <w:szCs w:val="24"/>
          <w:highlight w:val="none"/>
        </w:rPr>
        <w:t>、生态环境影响评价范围</w:t>
      </w:r>
    </w:p>
    <w:p w14:paraId="18684320">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pacing w:val="-1"/>
          <w:sz w:val="24"/>
          <w:szCs w:val="24"/>
          <w:highlight w:val="none"/>
        </w:rPr>
      </w:pPr>
      <w:r>
        <w:rPr>
          <w:rFonts w:hint="default" w:ascii="Times New Roman" w:hAnsi="Times New Roman" w:eastAsia="宋体" w:cs="Times New Roman"/>
          <w:color w:val="auto"/>
          <w:spacing w:val="-2"/>
          <w:sz w:val="24"/>
          <w:szCs w:val="24"/>
          <w:highlight w:val="none"/>
        </w:rPr>
        <w:t>根据《环境影响评价技术导则生态影响》（</w:t>
      </w:r>
      <w:r>
        <w:rPr>
          <w:rFonts w:hint="default" w:ascii="Times New Roman" w:hAnsi="Times New Roman" w:eastAsia="Times New Roman" w:cs="Times New Roman"/>
          <w:color w:val="auto"/>
          <w:spacing w:val="-2"/>
          <w:sz w:val="24"/>
          <w:szCs w:val="24"/>
          <w:highlight w:val="none"/>
        </w:rPr>
        <w:t>HJ19-2022</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宋体" w:cs="Times New Roman"/>
          <w:color w:val="auto"/>
          <w:spacing w:val="-2"/>
          <w:sz w:val="24"/>
          <w:szCs w:val="24"/>
          <w:highlight w:val="none"/>
        </w:rPr>
        <w:t>污染影响类建设项目</w:t>
      </w:r>
      <w:r>
        <w:rPr>
          <w:rFonts w:hint="default" w:ascii="Times New Roman" w:hAnsi="Times New Roman" w:eastAsia="宋体" w:cs="Times New Roman"/>
          <w:color w:val="auto"/>
          <w:spacing w:val="-3"/>
          <w:sz w:val="24"/>
          <w:szCs w:val="24"/>
          <w:highlight w:val="none"/>
        </w:rPr>
        <w:t>评价范围应涵盖直接占用区域以及污染物排放产生的间接生态影响区域。本项目大气</w:t>
      </w:r>
      <w:r>
        <w:rPr>
          <w:rFonts w:hint="default" w:ascii="Times New Roman" w:hAnsi="Times New Roman" w:eastAsia="宋体" w:cs="Times New Roman"/>
          <w:color w:val="auto"/>
          <w:spacing w:val="2"/>
          <w:sz w:val="24"/>
          <w:szCs w:val="24"/>
          <w:highlight w:val="none"/>
        </w:rPr>
        <w:t>污染物排放间接影响区域以大气防护距离</w:t>
      </w:r>
      <w:r>
        <w:rPr>
          <w:rFonts w:hint="default" w:ascii="Times New Roman" w:hAnsi="Times New Roman" w:eastAsia="Times New Roman" w:cs="Times New Roman"/>
          <w:color w:val="auto"/>
          <w:spacing w:val="2"/>
          <w:sz w:val="24"/>
          <w:szCs w:val="24"/>
          <w:highlight w:val="none"/>
        </w:rPr>
        <w:t>500m</w:t>
      </w:r>
      <w:r>
        <w:rPr>
          <w:rFonts w:hint="default" w:ascii="Times New Roman" w:hAnsi="Times New Roman" w:eastAsia="宋体" w:cs="Times New Roman"/>
          <w:color w:val="auto"/>
          <w:spacing w:val="2"/>
          <w:sz w:val="24"/>
          <w:szCs w:val="24"/>
          <w:highlight w:val="none"/>
        </w:rPr>
        <w:t>计，厂区噪声排放间</w:t>
      </w:r>
      <w:r>
        <w:rPr>
          <w:rFonts w:hint="default" w:ascii="Times New Roman" w:hAnsi="Times New Roman" w:eastAsia="宋体" w:cs="Times New Roman"/>
          <w:color w:val="auto"/>
          <w:spacing w:val="1"/>
          <w:sz w:val="24"/>
          <w:szCs w:val="24"/>
          <w:highlight w:val="none"/>
        </w:rPr>
        <w:t>接影响区域以</w:t>
      </w:r>
      <w:r>
        <w:rPr>
          <w:rFonts w:hint="default" w:ascii="Times New Roman" w:hAnsi="Times New Roman" w:eastAsia="Times New Roman" w:cs="Times New Roman"/>
          <w:color w:val="auto"/>
          <w:spacing w:val="-1"/>
          <w:sz w:val="24"/>
          <w:szCs w:val="24"/>
          <w:highlight w:val="none"/>
        </w:rPr>
        <w:t>200m</w:t>
      </w:r>
      <w:r>
        <w:rPr>
          <w:rFonts w:hint="default" w:ascii="Times New Roman" w:hAnsi="Times New Roman" w:eastAsia="宋体" w:cs="Times New Roman"/>
          <w:color w:val="auto"/>
          <w:spacing w:val="-1"/>
          <w:sz w:val="24"/>
          <w:szCs w:val="24"/>
          <w:highlight w:val="none"/>
        </w:rPr>
        <w:t>计，因此确定生态评价范围为厂址边界外延</w:t>
      </w:r>
      <w:r>
        <w:rPr>
          <w:rFonts w:hint="default" w:ascii="Times New Roman" w:hAnsi="Times New Roman" w:eastAsia="Times New Roman" w:cs="Times New Roman"/>
          <w:color w:val="auto"/>
          <w:spacing w:val="-1"/>
          <w:sz w:val="24"/>
          <w:szCs w:val="24"/>
          <w:highlight w:val="none"/>
        </w:rPr>
        <w:t>500m</w:t>
      </w:r>
      <w:r>
        <w:rPr>
          <w:rFonts w:hint="default" w:ascii="Times New Roman" w:hAnsi="Times New Roman" w:eastAsia="宋体" w:cs="Times New Roman"/>
          <w:color w:val="auto"/>
          <w:spacing w:val="-1"/>
          <w:sz w:val="24"/>
          <w:szCs w:val="24"/>
          <w:highlight w:val="none"/>
        </w:rPr>
        <w:t>范围内。</w:t>
      </w:r>
    </w:p>
    <w:p w14:paraId="62677FFE">
      <w:pPr>
        <w:keepNext w:val="0"/>
        <w:keepLines w:val="0"/>
        <w:pageBreakBefore w:val="0"/>
        <w:widowControl w:val="0"/>
        <w:tabs>
          <w:tab w:val="left" w:leader="middleDot" w:pos="0"/>
        </w:tabs>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rPr>
        <w:t>根据工程特征与环境现状确定本项目环境影响评价范围</w:t>
      </w:r>
      <w:r>
        <w:rPr>
          <w:rFonts w:hint="default" w:ascii="Times New Roman" w:hAnsi="Times New Roman" w:eastAsia="宋体" w:cs="Times New Roman"/>
          <w:color w:val="auto"/>
          <w:sz w:val="24"/>
          <w:highlight w:val="none"/>
          <w:lang w:val="en-US" w:eastAsia="zh-CN"/>
        </w:rPr>
        <w:t>见</w:t>
      </w:r>
      <w:r>
        <w:rPr>
          <w:rFonts w:hint="default" w:ascii="Times New Roman" w:hAnsi="Times New Roman" w:eastAsia="宋体" w:cs="Times New Roman"/>
          <w:color w:val="auto"/>
          <w:sz w:val="24"/>
          <w:highlight w:val="none"/>
        </w:rPr>
        <w:t>表2</w:t>
      </w:r>
      <w:r>
        <w:rPr>
          <w:rFonts w:hint="default" w:ascii="Times New Roman" w:hAnsi="Times New Roman" w:eastAsia="宋体" w:cs="Times New Roman"/>
          <w:color w:val="auto"/>
          <w:sz w:val="24"/>
          <w:highlight w:val="none"/>
          <w:lang w:val="en-US" w:eastAsia="zh-CN"/>
        </w:rPr>
        <w:t>.6</w:t>
      </w:r>
      <w:r>
        <w:rPr>
          <w:rFonts w:hint="default" w:ascii="Times New Roman" w:hAnsi="Times New Roman" w:eastAsia="宋体" w:cs="Times New Roman"/>
          <w:color w:val="auto"/>
          <w:sz w:val="24"/>
          <w:highlight w:val="none"/>
        </w:rPr>
        <w:t>-1</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snapToGrid w:val="0"/>
          <w:color w:val="auto"/>
          <w:kern w:val="0"/>
          <w:sz w:val="24"/>
          <w:highlight w:val="none"/>
        </w:rPr>
        <w:t>评价范围</w:t>
      </w:r>
      <w:r>
        <w:rPr>
          <w:rFonts w:hint="default" w:ascii="Times New Roman" w:hAnsi="Times New Roman" w:eastAsia="宋体" w:cs="Times New Roman"/>
          <w:snapToGrid w:val="0"/>
          <w:color w:val="auto"/>
          <w:kern w:val="0"/>
          <w:sz w:val="24"/>
          <w:highlight w:val="none"/>
          <w:lang w:val="en-US" w:eastAsia="zh-CN"/>
        </w:rPr>
        <w:t>图见附图。</w:t>
      </w:r>
    </w:p>
    <w:p w14:paraId="765849BD">
      <w:pPr>
        <w:keepNext w:val="0"/>
        <w:keepLines w:val="0"/>
        <w:pageBreakBefore w:val="0"/>
        <w:widowControl w:val="0"/>
        <w:kinsoku/>
        <w:wordWrap/>
        <w:overflowPunct/>
        <w:topLinePunct w:val="0"/>
        <w:autoSpaceDE/>
        <w:autoSpaceDN/>
        <w:bidi w:val="0"/>
        <w:adjustRightInd/>
        <w:snapToGrid/>
        <w:spacing w:line="240" w:lineRule="auto"/>
        <w:ind w:firstLine="426" w:firstLineChars="177"/>
        <w:jc w:val="center"/>
        <w:textAlignment w:val="auto"/>
        <w:rPr>
          <w:rFonts w:hint="default" w:ascii="Times New Roman" w:hAnsi="Times New Roman" w:eastAsia="宋体" w:cs="Times New Roman"/>
          <w:b/>
          <w:color w:val="auto"/>
          <w:kern w:val="0"/>
          <w:sz w:val="24"/>
          <w:highlight w:val="none"/>
        </w:rPr>
      </w:pPr>
      <w:r>
        <w:rPr>
          <w:rFonts w:hint="default" w:ascii="Times New Roman" w:hAnsi="Times New Roman" w:eastAsia="宋体" w:cs="Times New Roman"/>
          <w:b/>
          <w:color w:val="auto"/>
          <w:kern w:val="0"/>
          <w:sz w:val="24"/>
          <w:highlight w:val="none"/>
        </w:rPr>
        <w:t>表2</w:t>
      </w:r>
      <w:r>
        <w:rPr>
          <w:rFonts w:hint="default" w:ascii="Times New Roman" w:hAnsi="Times New Roman" w:eastAsia="宋体" w:cs="Times New Roman"/>
          <w:b/>
          <w:color w:val="auto"/>
          <w:kern w:val="0"/>
          <w:sz w:val="24"/>
          <w:highlight w:val="none"/>
          <w:lang w:val="en-US" w:eastAsia="zh-CN"/>
        </w:rPr>
        <w:t>.6-</w:t>
      </w:r>
      <w:r>
        <w:rPr>
          <w:rFonts w:hint="default" w:ascii="Times New Roman" w:hAnsi="Times New Roman" w:eastAsia="宋体" w:cs="Times New Roman"/>
          <w:b/>
          <w:color w:val="auto"/>
          <w:kern w:val="0"/>
          <w:sz w:val="24"/>
          <w:highlight w:val="none"/>
        </w:rPr>
        <w:t>1</w:t>
      </w:r>
      <w:r>
        <w:rPr>
          <w:rFonts w:hint="default" w:ascii="Times New Roman" w:hAnsi="Times New Roman" w:eastAsia="宋体" w:cs="Times New Roman"/>
          <w:b/>
          <w:color w:val="auto"/>
          <w:kern w:val="0"/>
          <w:sz w:val="24"/>
          <w:highlight w:val="none"/>
          <w:lang w:val="en-US" w:eastAsia="zh-CN"/>
        </w:rPr>
        <w:t xml:space="preserve"> </w:t>
      </w:r>
      <w:r>
        <w:rPr>
          <w:rFonts w:hint="default" w:ascii="Times New Roman" w:hAnsi="Times New Roman" w:eastAsia="宋体" w:cs="Times New Roman"/>
          <w:b/>
          <w:color w:val="auto"/>
          <w:kern w:val="0"/>
          <w:sz w:val="24"/>
          <w:highlight w:val="none"/>
        </w:rPr>
        <w:t>本项目环境影响评价范围一览表</w:t>
      </w:r>
    </w:p>
    <w:tbl>
      <w:tblPr>
        <w:tblStyle w:val="26"/>
        <w:tblW w:w="5000"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318"/>
        <w:gridCol w:w="7209"/>
      </w:tblGrid>
      <w:tr w14:paraId="73C0C2F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blHeader/>
          <w:jc w:val="center"/>
        </w:trPr>
        <w:tc>
          <w:tcPr>
            <w:tcW w:w="1317" w:type="dxa"/>
            <w:vAlign w:val="center"/>
          </w:tcPr>
          <w:p w14:paraId="2E52047D">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kern w:val="0"/>
                <w:sz w:val="21"/>
                <w:szCs w:val="21"/>
                <w:highlight w:val="none"/>
              </w:rPr>
              <w:t>评价内容</w:t>
            </w:r>
          </w:p>
        </w:tc>
        <w:tc>
          <w:tcPr>
            <w:tcW w:w="7205" w:type="dxa"/>
            <w:vAlign w:val="center"/>
          </w:tcPr>
          <w:p w14:paraId="11C5712E">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kern w:val="0"/>
                <w:sz w:val="21"/>
                <w:szCs w:val="21"/>
                <w:highlight w:val="none"/>
              </w:rPr>
              <w:t>评价范围</w:t>
            </w:r>
          </w:p>
        </w:tc>
      </w:tr>
      <w:tr w14:paraId="0442D5D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1317" w:type="dxa"/>
            <w:vAlign w:val="center"/>
          </w:tcPr>
          <w:p w14:paraId="12F74910">
            <w:pPr>
              <w:pageBreakBefore w:val="0"/>
              <w:wordWrap/>
              <w:topLinePunct w:val="0"/>
              <w:bidi w:val="0"/>
              <w:adjustRightInd/>
              <w:snapToGrid/>
              <w:spacing w:line="240" w:lineRule="auto"/>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大气环境</w:t>
            </w:r>
          </w:p>
        </w:tc>
        <w:tc>
          <w:tcPr>
            <w:tcW w:w="7205" w:type="dxa"/>
            <w:vAlign w:val="center"/>
          </w:tcPr>
          <w:p w14:paraId="34A54B89">
            <w:pPr>
              <w:pageBreakBefore w:val="0"/>
              <w:wordWrap/>
              <w:topLinePunct w:val="0"/>
              <w:bidi w:val="0"/>
              <w:adjustRightInd/>
              <w:snapToGrid/>
              <w:spacing w:line="240" w:lineRule="auto"/>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以项目厂址为中心，边长5km的矩形区域</w:t>
            </w:r>
          </w:p>
        </w:tc>
      </w:tr>
      <w:tr w14:paraId="02DB948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1317" w:type="dxa"/>
            <w:vAlign w:val="center"/>
          </w:tcPr>
          <w:p w14:paraId="10764AD9">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rPr>
              <w:t>地下水</w:t>
            </w:r>
            <w:r>
              <w:rPr>
                <w:rFonts w:hint="default" w:ascii="Times New Roman" w:hAnsi="Times New Roman" w:eastAsia="宋体" w:cs="Times New Roman"/>
                <w:color w:val="auto"/>
                <w:kern w:val="0"/>
                <w:sz w:val="21"/>
                <w:szCs w:val="21"/>
                <w:highlight w:val="none"/>
                <w:lang w:val="en-US" w:eastAsia="zh-CN"/>
              </w:rPr>
              <w:t>环境</w:t>
            </w:r>
          </w:p>
        </w:tc>
        <w:tc>
          <w:tcPr>
            <w:tcW w:w="7205" w:type="dxa"/>
            <w:vAlign w:val="center"/>
          </w:tcPr>
          <w:p w14:paraId="6252B92C">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沿地下水流向，以场区为中心，场区上游1000m、下游2000m，两侧各1000m 范围内的矩形</w:t>
            </w:r>
            <w:r>
              <w:rPr>
                <w:rFonts w:hint="default" w:ascii="Times New Roman" w:hAnsi="Times New Roman" w:eastAsia="宋体" w:cs="Times New Roman"/>
                <w:color w:val="auto"/>
                <w:sz w:val="21"/>
                <w:szCs w:val="21"/>
                <w:highlight w:val="none"/>
                <w:lang w:val="en-US" w:eastAsia="zh-CN"/>
              </w:rPr>
              <w:t>区域</w:t>
            </w:r>
          </w:p>
        </w:tc>
      </w:tr>
      <w:tr w14:paraId="1D70FE5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1317" w:type="dxa"/>
            <w:vAlign w:val="center"/>
          </w:tcPr>
          <w:p w14:paraId="353D274E">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rPr>
              <w:t>声</w:t>
            </w:r>
            <w:r>
              <w:rPr>
                <w:rFonts w:hint="default" w:ascii="Times New Roman" w:hAnsi="Times New Roman" w:eastAsia="宋体" w:cs="Times New Roman"/>
                <w:color w:val="auto"/>
                <w:kern w:val="0"/>
                <w:sz w:val="21"/>
                <w:szCs w:val="21"/>
                <w:highlight w:val="none"/>
                <w:lang w:val="en-US" w:eastAsia="zh-CN"/>
              </w:rPr>
              <w:t>环境</w:t>
            </w:r>
          </w:p>
        </w:tc>
        <w:tc>
          <w:tcPr>
            <w:tcW w:w="7205" w:type="dxa"/>
            <w:vAlign w:val="center"/>
          </w:tcPr>
          <w:p w14:paraId="7B6375C9">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rPr>
              <w:t>厂界外200m范围</w:t>
            </w:r>
          </w:p>
        </w:tc>
      </w:tr>
      <w:tr w14:paraId="01915B7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1317" w:type="dxa"/>
            <w:vAlign w:val="center"/>
          </w:tcPr>
          <w:p w14:paraId="76E38B61">
            <w:pPr>
              <w:pageBreakBefore w:val="0"/>
              <w:kinsoku/>
              <w:wordWrap/>
              <w:topLinePunct w:val="0"/>
              <w:bidi w:val="0"/>
              <w:adjustRightInd/>
              <w:snapToGrid/>
              <w:spacing w:line="240" w:lineRule="auto"/>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土壤环境</w:t>
            </w:r>
          </w:p>
        </w:tc>
        <w:tc>
          <w:tcPr>
            <w:tcW w:w="7205" w:type="dxa"/>
            <w:vAlign w:val="center"/>
          </w:tcPr>
          <w:p w14:paraId="7F38DD4B">
            <w:pPr>
              <w:pageBreakBefore w:val="0"/>
              <w:kinsoku/>
              <w:wordWrap/>
              <w:topLinePunct w:val="0"/>
              <w:bidi w:val="0"/>
              <w:adjustRightInd/>
              <w:snapToGrid/>
              <w:spacing w:line="240" w:lineRule="auto"/>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项目</w:t>
            </w:r>
            <w:r>
              <w:rPr>
                <w:rFonts w:hint="default" w:ascii="Times New Roman" w:hAnsi="Times New Roman" w:eastAsia="宋体" w:cs="Times New Roman"/>
                <w:color w:val="auto"/>
                <w:kern w:val="0"/>
                <w:sz w:val="21"/>
                <w:szCs w:val="21"/>
                <w:highlight w:val="none"/>
              </w:rPr>
              <w:t>占地范围内全部及占地范围外50m范围内</w:t>
            </w:r>
          </w:p>
        </w:tc>
      </w:tr>
      <w:tr w14:paraId="5E97ED5B">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1317" w:type="dxa"/>
            <w:vAlign w:val="center"/>
          </w:tcPr>
          <w:p w14:paraId="44B00DBE">
            <w:pPr>
              <w:pageBreakBefore w:val="0"/>
              <w:tabs>
                <w:tab w:val="left" w:leader="middleDot" w:pos="0"/>
              </w:tabs>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生态</w:t>
            </w:r>
            <w:r>
              <w:rPr>
                <w:rFonts w:hint="default" w:ascii="Times New Roman" w:hAnsi="Times New Roman" w:eastAsia="宋体" w:cs="Times New Roman"/>
                <w:color w:val="auto"/>
                <w:sz w:val="21"/>
                <w:szCs w:val="21"/>
                <w:highlight w:val="none"/>
                <w:lang w:val="en-US" w:eastAsia="zh-CN"/>
              </w:rPr>
              <w:t>环境</w:t>
            </w:r>
          </w:p>
        </w:tc>
        <w:tc>
          <w:tcPr>
            <w:tcW w:w="7205" w:type="dxa"/>
            <w:vAlign w:val="center"/>
          </w:tcPr>
          <w:p w14:paraId="6E425400">
            <w:pPr>
              <w:pageBreakBefore w:val="0"/>
              <w:tabs>
                <w:tab w:val="left" w:leader="middleDot" w:pos="0"/>
              </w:tabs>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rPr>
              <w:t>项目场地及四周</w:t>
            </w:r>
            <w:r>
              <w:rPr>
                <w:rFonts w:hint="default" w:ascii="Times New Roman" w:hAnsi="Times New Roman" w:eastAsia="宋体" w:cs="Times New Roman"/>
                <w:color w:val="auto"/>
                <w:kern w:val="0"/>
                <w:sz w:val="21"/>
                <w:szCs w:val="21"/>
                <w:highlight w:val="none"/>
                <w:lang w:val="en-US" w:eastAsia="zh-CN"/>
              </w:rPr>
              <w:t>2</w:t>
            </w:r>
            <w:r>
              <w:rPr>
                <w:rFonts w:hint="default" w:ascii="Times New Roman" w:hAnsi="Times New Roman" w:eastAsia="宋体" w:cs="Times New Roman"/>
                <w:color w:val="auto"/>
                <w:kern w:val="0"/>
                <w:sz w:val="21"/>
                <w:szCs w:val="21"/>
                <w:highlight w:val="none"/>
              </w:rPr>
              <w:t>00m范围</w:t>
            </w:r>
          </w:p>
        </w:tc>
      </w:tr>
    </w:tbl>
    <w:p w14:paraId="333F839B">
      <w:pPr>
        <w:keepNext w:val="0"/>
        <w:keepLines w:val="0"/>
        <w:pageBreakBefore w:val="0"/>
        <w:kinsoku/>
        <w:wordWrap w:val="0"/>
        <w:overflowPunct/>
        <w:topLinePunct/>
        <w:autoSpaceDE/>
        <w:autoSpaceDN/>
        <w:bidi w:val="0"/>
        <w:adjustRightInd w:val="0"/>
        <w:snapToGrid w:val="0"/>
        <w:spacing w:before="176" w:line="234" w:lineRule="auto"/>
        <w:ind w:left="2"/>
        <w:textAlignment w:val="baseline"/>
        <w:outlineLvl w:val="1"/>
        <w:rPr>
          <w:rFonts w:hint="default" w:ascii="Times New Roman" w:hAnsi="Times New Roman" w:eastAsia="宋体" w:cs="Times New Roman"/>
          <w:color w:val="auto"/>
          <w:sz w:val="30"/>
          <w:szCs w:val="30"/>
          <w:highlight w:val="none"/>
        </w:rPr>
      </w:pPr>
      <w:bookmarkStart w:id="90" w:name="_Toc5313"/>
      <w:bookmarkStart w:id="91" w:name="_Toc15718"/>
      <w:bookmarkStart w:id="92" w:name="_Toc3380"/>
      <w:r>
        <w:rPr>
          <w:rFonts w:hint="default" w:ascii="Times New Roman" w:hAnsi="Times New Roman" w:eastAsia="Times New Roman" w:cs="Times New Roman"/>
          <w:b/>
          <w:bCs/>
          <w:color w:val="auto"/>
          <w:spacing w:val="-2"/>
          <w:sz w:val="30"/>
          <w:szCs w:val="30"/>
          <w:highlight w:val="none"/>
        </w:rPr>
        <w:t>2.7</w:t>
      </w:r>
      <w:r>
        <w:rPr>
          <w:rFonts w:hint="default" w:ascii="Times New Roman" w:hAnsi="Times New Roman" w:eastAsia="宋体" w:cs="Times New Roman"/>
          <w:b/>
          <w:bCs/>
          <w:color w:val="auto"/>
          <w:spacing w:val="-2"/>
          <w:sz w:val="30"/>
          <w:szCs w:val="30"/>
          <w:highlight w:val="none"/>
        </w:rPr>
        <w:t>保护目标</w:t>
      </w:r>
      <w:bookmarkEnd w:id="90"/>
      <w:bookmarkEnd w:id="91"/>
      <w:bookmarkEnd w:id="92"/>
    </w:p>
    <w:p w14:paraId="43B72C03">
      <w:pPr>
        <w:keepNext w:val="0"/>
        <w:keepLines w:val="0"/>
        <w:pageBreakBefore w:val="0"/>
        <w:kinsoku/>
        <w:wordWrap w:val="0"/>
        <w:overflowPunct/>
        <w:topLinePunct/>
        <w:autoSpaceDE/>
        <w:autoSpaceDN/>
        <w:bidi w:val="0"/>
        <w:adjustRightInd w:val="0"/>
        <w:snapToGrid w:val="0"/>
        <w:spacing w:before="79" w:line="234" w:lineRule="auto"/>
        <w:ind w:left="49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1</w:t>
      </w:r>
      <w:r>
        <w:rPr>
          <w:rFonts w:hint="default" w:ascii="Times New Roman" w:hAnsi="Times New Roman" w:eastAsia="宋体" w:cs="Times New Roman"/>
          <w:color w:val="auto"/>
          <w:spacing w:val="-3"/>
          <w:sz w:val="24"/>
          <w:szCs w:val="24"/>
          <w:highlight w:val="none"/>
        </w:rPr>
        <w:t>）大气环境保护目标</w:t>
      </w:r>
    </w:p>
    <w:p w14:paraId="54D47E38">
      <w:pPr>
        <w:keepNext w:val="0"/>
        <w:keepLines w:val="0"/>
        <w:pageBreakBefore w:val="0"/>
        <w:kinsoku/>
        <w:wordWrap w:val="0"/>
        <w:overflowPunct/>
        <w:topLinePunct/>
        <w:autoSpaceDE/>
        <w:autoSpaceDN/>
        <w:bidi w:val="0"/>
        <w:adjustRightInd w:val="0"/>
        <w:snapToGrid w:val="0"/>
        <w:spacing w:before="165" w:line="369" w:lineRule="auto"/>
        <w:ind w:left="65" w:right="122" w:hanging="28"/>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本项目厂址不在自然保护区、风景名胜区、世界文化和自然遗产地、海洋特别保</w:t>
      </w:r>
      <w:r>
        <w:rPr>
          <w:rFonts w:hint="default" w:ascii="Times New Roman" w:hAnsi="Times New Roman" w:eastAsia="宋体" w:cs="Times New Roman"/>
          <w:color w:val="auto"/>
          <w:spacing w:val="-7"/>
          <w:sz w:val="24"/>
          <w:szCs w:val="24"/>
          <w:highlight w:val="none"/>
        </w:rPr>
        <w:t>护区、饮用水水源保护区；基本农田保护区、基本草原</w:t>
      </w:r>
      <w:r>
        <w:rPr>
          <w:rFonts w:hint="default" w:ascii="Times New Roman" w:hAnsi="Times New Roman" w:eastAsia="宋体" w:cs="Times New Roman"/>
          <w:color w:val="auto"/>
          <w:spacing w:val="-8"/>
          <w:sz w:val="24"/>
          <w:szCs w:val="24"/>
          <w:highlight w:val="none"/>
        </w:rPr>
        <w:t>、森林公园、地质公园、重要</w:t>
      </w:r>
      <w:r>
        <w:rPr>
          <w:rFonts w:hint="default" w:ascii="Times New Roman" w:hAnsi="Times New Roman" w:eastAsia="宋体" w:cs="Times New Roman"/>
          <w:color w:val="auto"/>
          <w:spacing w:val="-3"/>
          <w:sz w:val="24"/>
          <w:szCs w:val="24"/>
          <w:highlight w:val="none"/>
        </w:rPr>
        <w:t>湿地、天然林、野生动物重要栖息地、重点保护野生植物生长繁殖地、重要水生生物的自然产卵场、索饵场、越冬场和洄游通道、天然渔场、沙化土地封禁保护区、封闭</w:t>
      </w:r>
      <w:r>
        <w:rPr>
          <w:rFonts w:hint="default" w:ascii="Times New Roman" w:hAnsi="Times New Roman" w:eastAsia="宋体" w:cs="Times New Roman"/>
          <w:color w:val="auto"/>
          <w:spacing w:val="-10"/>
          <w:sz w:val="24"/>
          <w:szCs w:val="24"/>
          <w:highlight w:val="none"/>
        </w:rPr>
        <w:t>及半封闭海域；以居住、医疗卫生、文化教育、科研</w:t>
      </w:r>
      <w:r>
        <w:rPr>
          <w:rFonts w:hint="default" w:ascii="Times New Roman" w:hAnsi="Times New Roman" w:eastAsia="宋体" w:cs="Times New Roman"/>
          <w:color w:val="auto"/>
          <w:spacing w:val="-11"/>
          <w:sz w:val="24"/>
          <w:szCs w:val="24"/>
          <w:highlight w:val="none"/>
        </w:rPr>
        <w:t>、行政办公等为主要功能的区域，</w:t>
      </w:r>
      <w:r>
        <w:rPr>
          <w:rFonts w:hint="default" w:ascii="Times New Roman" w:hAnsi="Times New Roman" w:eastAsia="宋体" w:cs="Times New Roman"/>
          <w:color w:val="auto"/>
          <w:spacing w:val="-6"/>
          <w:sz w:val="24"/>
          <w:szCs w:val="24"/>
          <w:highlight w:val="none"/>
        </w:rPr>
        <w:t>以及文物保护单位范围内。</w:t>
      </w:r>
    </w:p>
    <w:p w14:paraId="5CDABA9A">
      <w:pPr>
        <w:keepNext w:val="0"/>
        <w:keepLines w:val="0"/>
        <w:pageBreakBefore w:val="0"/>
        <w:kinsoku/>
        <w:wordWrap w:val="0"/>
        <w:overflowPunct/>
        <w:topLinePunct/>
        <w:autoSpaceDE/>
        <w:autoSpaceDN/>
        <w:bidi w:val="0"/>
        <w:adjustRightInd w:val="0"/>
        <w:snapToGrid w:val="0"/>
        <w:spacing w:before="4" w:line="365" w:lineRule="auto"/>
        <w:ind w:left="37" w:firstLine="486"/>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8"/>
          <w:sz w:val="24"/>
          <w:szCs w:val="24"/>
          <w:highlight w:val="none"/>
        </w:rPr>
        <w:t>结合本项目特点，夏季风向主要为西风，主城区居民主要</w:t>
      </w:r>
      <w:r>
        <w:rPr>
          <w:rFonts w:hint="default" w:ascii="Times New Roman" w:hAnsi="Times New Roman" w:eastAsia="宋体" w:cs="Times New Roman"/>
          <w:color w:val="auto"/>
          <w:spacing w:val="-8"/>
          <w:sz w:val="24"/>
          <w:szCs w:val="24"/>
          <w:highlight w:val="none"/>
          <w:lang w:eastAsia="zh-CN"/>
        </w:rPr>
        <w:t>位于</w:t>
      </w:r>
      <w:r>
        <w:rPr>
          <w:rFonts w:hint="default" w:ascii="Times New Roman" w:hAnsi="Times New Roman" w:eastAsia="宋体" w:cs="Times New Roman"/>
          <w:color w:val="auto"/>
          <w:spacing w:val="-8"/>
          <w:sz w:val="24"/>
          <w:szCs w:val="24"/>
          <w:highlight w:val="none"/>
        </w:rPr>
        <w:t>本项目厂界</w:t>
      </w:r>
      <w:r>
        <w:rPr>
          <w:rFonts w:hint="default" w:ascii="Times New Roman" w:hAnsi="Times New Roman" w:eastAsia="宋体" w:cs="Times New Roman"/>
          <w:color w:val="auto"/>
          <w:spacing w:val="-8"/>
          <w:sz w:val="24"/>
          <w:szCs w:val="24"/>
          <w:highlight w:val="none"/>
          <w:lang w:val="en-US" w:eastAsia="zh-CN"/>
        </w:rPr>
        <w:t>东</w:t>
      </w:r>
      <w:r>
        <w:rPr>
          <w:rFonts w:hint="default" w:ascii="Times New Roman" w:hAnsi="Times New Roman" w:eastAsia="宋体" w:cs="Times New Roman"/>
          <w:color w:val="auto"/>
          <w:spacing w:val="-8"/>
          <w:sz w:val="24"/>
          <w:szCs w:val="24"/>
          <w:highlight w:val="none"/>
        </w:rPr>
        <w:t>侧风向，</w:t>
      </w:r>
      <w:r>
        <w:rPr>
          <w:rFonts w:hint="default" w:ascii="Times New Roman" w:hAnsi="Times New Roman" w:eastAsia="宋体" w:cs="Times New Roman"/>
          <w:color w:val="auto"/>
          <w:spacing w:val="-1"/>
          <w:sz w:val="24"/>
          <w:szCs w:val="24"/>
          <w:highlight w:val="none"/>
        </w:rPr>
        <w:t>距离本项目最近的人口集中区域位于本项目</w:t>
      </w:r>
      <w:r>
        <w:rPr>
          <w:rFonts w:hint="default" w:ascii="Times New Roman" w:hAnsi="Times New Roman" w:eastAsia="宋体" w:cs="Times New Roman"/>
          <w:color w:val="auto"/>
          <w:spacing w:val="-1"/>
          <w:sz w:val="24"/>
          <w:szCs w:val="24"/>
          <w:highlight w:val="none"/>
          <w:lang w:val="en-US" w:eastAsia="zh-CN"/>
        </w:rPr>
        <w:t>北</w:t>
      </w:r>
      <w:r>
        <w:rPr>
          <w:rFonts w:hint="default" w:ascii="Times New Roman" w:hAnsi="Times New Roman" w:eastAsia="宋体" w:cs="Times New Roman"/>
          <w:color w:val="auto"/>
          <w:spacing w:val="-1"/>
          <w:sz w:val="24"/>
          <w:szCs w:val="24"/>
          <w:highlight w:val="none"/>
        </w:rPr>
        <w:t>侧</w:t>
      </w:r>
      <w:r>
        <w:rPr>
          <w:rFonts w:hint="default" w:ascii="Times New Roman" w:hAnsi="Times New Roman" w:eastAsia="宋体" w:cs="Times New Roman"/>
          <w:color w:val="auto"/>
          <w:spacing w:val="-1"/>
          <w:sz w:val="24"/>
          <w:szCs w:val="24"/>
          <w:highlight w:val="none"/>
          <w:lang w:val="en-US" w:eastAsia="zh-CN"/>
        </w:rPr>
        <w:t>720</w:t>
      </w:r>
      <w:r>
        <w:rPr>
          <w:rFonts w:hint="default" w:ascii="Times New Roman" w:hAnsi="Times New Roman" w:eastAsia="Times New Roman" w:cs="Times New Roman"/>
          <w:color w:val="auto"/>
          <w:spacing w:val="-1"/>
          <w:sz w:val="24"/>
          <w:szCs w:val="24"/>
          <w:highlight w:val="none"/>
        </w:rPr>
        <w:t>m</w:t>
      </w:r>
      <w:r>
        <w:rPr>
          <w:rFonts w:hint="default" w:ascii="Times New Roman" w:hAnsi="Times New Roman" w:eastAsia="宋体" w:cs="Times New Roman"/>
          <w:color w:val="auto"/>
          <w:spacing w:val="-1"/>
          <w:sz w:val="24"/>
          <w:szCs w:val="24"/>
          <w:highlight w:val="none"/>
        </w:rPr>
        <w:t>处</w:t>
      </w:r>
      <w:r>
        <w:rPr>
          <w:rFonts w:hint="default" w:ascii="Times New Roman" w:hAnsi="Times New Roman" w:eastAsia="宋体" w:cs="Times New Roman"/>
          <w:color w:val="auto"/>
          <w:spacing w:val="-1"/>
          <w:sz w:val="24"/>
          <w:szCs w:val="24"/>
          <w:highlight w:val="none"/>
          <w:lang w:val="en-US" w:eastAsia="zh-CN"/>
        </w:rPr>
        <w:t>康家屯村</w:t>
      </w:r>
      <w:r>
        <w:rPr>
          <w:rFonts w:hint="default" w:ascii="Times New Roman" w:hAnsi="Times New Roman" w:eastAsia="宋体" w:cs="Times New Roman"/>
          <w:color w:val="auto"/>
          <w:spacing w:val="-2"/>
          <w:sz w:val="24"/>
          <w:szCs w:val="24"/>
          <w:highlight w:val="none"/>
        </w:rPr>
        <w:t>。主要环境空气保护目标见下表。</w:t>
      </w:r>
    </w:p>
    <w:p w14:paraId="447E3109">
      <w:pPr>
        <w:keepNext w:val="0"/>
        <w:keepLines w:val="0"/>
        <w:pageBreakBefore w:val="0"/>
        <w:kinsoku/>
        <w:wordWrap w:val="0"/>
        <w:overflowPunct/>
        <w:topLinePunct/>
        <w:autoSpaceDE/>
        <w:autoSpaceDN/>
        <w:bidi w:val="0"/>
        <w:adjustRightInd w:val="0"/>
        <w:snapToGrid w:val="0"/>
        <w:spacing w:before="18" w:line="232" w:lineRule="auto"/>
        <w:ind w:left="2682"/>
        <w:textAlignment w:val="baseline"/>
        <w:rPr>
          <w:rFonts w:hint="default" w:ascii="Times New Roman" w:hAnsi="Times New Roman" w:eastAsia="宋体" w:cs="Times New Roman"/>
          <w:b/>
          <w:bCs/>
          <w:color w:val="FF0000"/>
          <w:sz w:val="24"/>
          <w:szCs w:val="24"/>
          <w:highlight w:val="none"/>
        </w:rPr>
      </w:pPr>
      <w:r>
        <w:rPr>
          <w:rFonts w:hint="default" w:ascii="Times New Roman" w:hAnsi="Times New Roman" w:eastAsia="宋体" w:cs="Times New Roman"/>
          <w:b/>
          <w:bCs/>
          <w:color w:val="FF0000"/>
          <w:spacing w:val="-1"/>
          <w:sz w:val="24"/>
          <w:szCs w:val="24"/>
          <w:highlight w:val="none"/>
        </w:rPr>
        <w:t>表</w:t>
      </w:r>
      <w:r>
        <w:rPr>
          <w:rFonts w:hint="default" w:ascii="Times New Roman" w:hAnsi="Times New Roman" w:eastAsia="Times New Roman" w:cs="Times New Roman"/>
          <w:b/>
          <w:bCs/>
          <w:color w:val="FF0000"/>
          <w:spacing w:val="-1"/>
          <w:sz w:val="24"/>
          <w:szCs w:val="24"/>
          <w:highlight w:val="none"/>
        </w:rPr>
        <w:t>2.7-1</w:t>
      </w:r>
      <w:r>
        <w:rPr>
          <w:rFonts w:hint="default" w:ascii="Times New Roman" w:hAnsi="Times New Roman" w:eastAsia="宋体" w:cs="Times New Roman"/>
          <w:b/>
          <w:bCs/>
          <w:color w:val="FF0000"/>
          <w:spacing w:val="-1"/>
          <w:sz w:val="24"/>
          <w:szCs w:val="24"/>
          <w:highlight w:val="none"/>
        </w:rPr>
        <w:t>环境空气保护目标一览表</w:t>
      </w:r>
    </w:p>
    <w:tbl>
      <w:tblPr>
        <w:tblStyle w:val="34"/>
        <w:tblW w:w="908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75"/>
        <w:gridCol w:w="748"/>
        <w:gridCol w:w="1353"/>
        <w:gridCol w:w="1247"/>
        <w:gridCol w:w="1015"/>
        <w:gridCol w:w="1104"/>
        <w:gridCol w:w="680"/>
        <w:gridCol w:w="554"/>
        <w:gridCol w:w="987"/>
        <w:gridCol w:w="822"/>
      </w:tblGrid>
      <w:tr w14:paraId="595B94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75" w:type="dxa"/>
            <w:vMerge w:val="restart"/>
            <w:tcBorders>
              <w:top w:val="single" w:color="000000" w:sz="10" w:space="0"/>
              <w:left w:val="nil"/>
              <w:bottom w:val="nil"/>
            </w:tcBorders>
            <w:vAlign w:val="center"/>
          </w:tcPr>
          <w:p w14:paraId="5A49EA10">
            <w:pPr>
              <w:pStyle w:val="35"/>
              <w:keepNext w:val="0"/>
              <w:keepLines w:val="0"/>
              <w:pageBreakBefore w:val="0"/>
              <w:widowControl/>
              <w:kinsoku/>
              <w:wordWrap w:val="0"/>
              <w:overflowPunct/>
              <w:topLinePunct/>
              <w:autoSpaceDE/>
              <w:autoSpaceDN/>
              <w:bidi w:val="0"/>
              <w:adjustRightInd w:val="0"/>
              <w:snapToGrid w:val="0"/>
              <w:spacing w:line="240" w:lineRule="auto"/>
              <w:ind w:left="69"/>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序号</w:t>
            </w:r>
          </w:p>
        </w:tc>
        <w:tc>
          <w:tcPr>
            <w:tcW w:w="748" w:type="dxa"/>
            <w:vMerge w:val="restart"/>
            <w:tcBorders>
              <w:top w:val="single" w:color="000000" w:sz="10" w:space="0"/>
              <w:bottom w:val="nil"/>
            </w:tcBorders>
            <w:vAlign w:val="center"/>
          </w:tcPr>
          <w:p w14:paraId="04171B59">
            <w:pPr>
              <w:pStyle w:val="35"/>
              <w:keepNext w:val="0"/>
              <w:keepLines w:val="0"/>
              <w:pageBreakBefore w:val="0"/>
              <w:widowControl/>
              <w:kinsoku/>
              <w:wordWrap w:val="0"/>
              <w:overflowPunct/>
              <w:topLinePunct/>
              <w:autoSpaceDE/>
              <w:autoSpaceDN/>
              <w:bidi w:val="0"/>
              <w:adjustRightInd w:val="0"/>
              <w:snapToGrid w:val="0"/>
              <w:spacing w:line="240" w:lineRule="auto"/>
              <w:ind w:left="190"/>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3"/>
                <w:sz w:val="21"/>
                <w:szCs w:val="21"/>
                <w:highlight w:val="none"/>
              </w:rPr>
              <w:t>名称</w:t>
            </w:r>
          </w:p>
        </w:tc>
        <w:tc>
          <w:tcPr>
            <w:tcW w:w="2600" w:type="dxa"/>
            <w:gridSpan w:val="2"/>
            <w:tcBorders>
              <w:top w:val="single" w:color="000000" w:sz="10" w:space="0"/>
            </w:tcBorders>
            <w:vAlign w:val="center"/>
          </w:tcPr>
          <w:p w14:paraId="3AC6F49E">
            <w:pPr>
              <w:pStyle w:val="35"/>
              <w:keepNext w:val="0"/>
              <w:keepLines w:val="0"/>
              <w:pageBreakBefore w:val="0"/>
              <w:widowControl/>
              <w:kinsoku/>
              <w:wordWrap w:val="0"/>
              <w:overflowPunct/>
              <w:topLinePunct/>
              <w:autoSpaceDE/>
              <w:autoSpaceDN/>
              <w:bidi w:val="0"/>
              <w:adjustRightInd w:val="0"/>
              <w:snapToGrid w:val="0"/>
              <w:spacing w:line="240" w:lineRule="auto"/>
              <w:ind w:left="964"/>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2"/>
                <w:sz w:val="21"/>
                <w:szCs w:val="21"/>
                <w:highlight w:val="none"/>
              </w:rPr>
              <w:t>坐标</w:t>
            </w:r>
          </w:p>
        </w:tc>
        <w:tc>
          <w:tcPr>
            <w:tcW w:w="1015" w:type="dxa"/>
            <w:vMerge w:val="restart"/>
            <w:tcBorders>
              <w:top w:val="single" w:color="000000" w:sz="10" w:space="0"/>
              <w:bottom w:val="nil"/>
            </w:tcBorders>
            <w:vAlign w:val="center"/>
          </w:tcPr>
          <w:p w14:paraId="7974492B">
            <w:pPr>
              <w:pStyle w:val="35"/>
              <w:keepNext w:val="0"/>
              <w:keepLines w:val="0"/>
              <w:pageBreakBefore w:val="0"/>
              <w:widowControl/>
              <w:kinsoku/>
              <w:wordWrap w:val="0"/>
              <w:overflowPunct/>
              <w:topLinePunct/>
              <w:autoSpaceDE/>
              <w:autoSpaceDN/>
              <w:bidi w:val="0"/>
              <w:adjustRightInd w:val="0"/>
              <w:snapToGrid w:val="0"/>
              <w:spacing w:line="240" w:lineRule="auto"/>
              <w:ind w:left="139"/>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2"/>
                <w:sz w:val="21"/>
                <w:szCs w:val="21"/>
                <w:highlight w:val="none"/>
              </w:rPr>
              <w:t>保护对象</w:t>
            </w:r>
          </w:p>
        </w:tc>
        <w:tc>
          <w:tcPr>
            <w:tcW w:w="1104" w:type="dxa"/>
            <w:vMerge w:val="restart"/>
            <w:tcBorders>
              <w:top w:val="single" w:color="000000" w:sz="10" w:space="0"/>
              <w:bottom w:val="nil"/>
            </w:tcBorders>
            <w:vAlign w:val="center"/>
          </w:tcPr>
          <w:p w14:paraId="5038B124">
            <w:pPr>
              <w:pStyle w:val="35"/>
              <w:keepNext w:val="0"/>
              <w:keepLines w:val="0"/>
              <w:pageBreakBefore w:val="0"/>
              <w:widowControl/>
              <w:kinsoku/>
              <w:wordWrap w:val="0"/>
              <w:overflowPunct/>
              <w:topLinePunct/>
              <w:autoSpaceDE/>
              <w:autoSpaceDN/>
              <w:bidi w:val="0"/>
              <w:adjustRightInd w:val="0"/>
              <w:snapToGrid w:val="0"/>
              <w:spacing w:line="240" w:lineRule="auto"/>
              <w:ind w:left="128"/>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2"/>
                <w:sz w:val="21"/>
                <w:szCs w:val="21"/>
                <w:highlight w:val="none"/>
              </w:rPr>
              <w:t>保护内容</w:t>
            </w:r>
          </w:p>
          <w:p w14:paraId="5B2023E9">
            <w:pPr>
              <w:pStyle w:val="35"/>
              <w:keepNext w:val="0"/>
              <w:keepLines w:val="0"/>
              <w:pageBreakBefore w:val="0"/>
              <w:widowControl/>
              <w:kinsoku/>
              <w:wordWrap w:val="0"/>
              <w:overflowPunct/>
              <w:topLinePunct/>
              <w:autoSpaceDE/>
              <w:autoSpaceDN/>
              <w:bidi w:val="0"/>
              <w:adjustRightInd w:val="0"/>
              <w:snapToGrid w:val="0"/>
              <w:spacing w:line="240" w:lineRule="auto"/>
              <w:ind w:left="239"/>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6"/>
                <w:sz w:val="21"/>
                <w:szCs w:val="21"/>
                <w:highlight w:val="none"/>
              </w:rPr>
              <w:t>（人）</w:t>
            </w:r>
          </w:p>
        </w:tc>
        <w:tc>
          <w:tcPr>
            <w:tcW w:w="680" w:type="dxa"/>
            <w:vMerge w:val="restart"/>
            <w:tcBorders>
              <w:top w:val="single" w:color="000000" w:sz="10" w:space="0"/>
              <w:bottom w:val="nil"/>
            </w:tcBorders>
            <w:vAlign w:val="center"/>
          </w:tcPr>
          <w:p w14:paraId="0AE754A7">
            <w:pPr>
              <w:pStyle w:val="35"/>
              <w:keepNext w:val="0"/>
              <w:keepLines w:val="0"/>
              <w:pageBreakBefore w:val="0"/>
              <w:widowControl/>
              <w:kinsoku/>
              <w:wordWrap w:val="0"/>
              <w:overflowPunct/>
              <w:topLinePunct/>
              <w:autoSpaceDE/>
              <w:autoSpaceDN/>
              <w:bidi w:val="0"/>
              <w:adjustRightInd w:val="0"/>
              <w:snapToGrid w:val="0"/>
              <w:spacing w:line="240" w:lineRule="auto"/>
              <w:ind w:left="139" w:right="22" w:hanging="113"/>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2"/>
                <w:sz w:val="21"/>
                <w:szCs w:val="21"/>
                <w:highlight w:val="none"/>
              </w:rPr>
              <w:t>环境功</w:t>
            </w:r>
            <w:r>
              <w:rPr>
                <w:rFonts w:hint="default" w:ascii="Times New Roman" w:hAnsi="Times New Roman" w:eastAsia="宋体" w:cs="Times New Roman"/>
                <w:color w:val="FF0000"/>
                <w:spacing w:val="-4"/>
                <w:sz w:val="21"/>
                <w:szCs w:val="21"/>
                <w:highlight w:val="none"/>
              </w:rPr>
              <w:t>能区</w:t>
            </w:r>
          </w:p>
        </w:tc>
        <w:tc>
          <w:tcPr>
            <w:tcW w:w="554" w:type="dxa"/>
            <w:vMerge w:val="restart"/>
            <w:tcBorders>
              <w:top w:val="single" w:color="000000" w:sz="10" w:space="0"/>
              <w:bottom w:val="nil"/>
            </w:tcBorders>
            <w:vAlign w:val="center"/>
          </w:tcPr>
          <w:p w14:paraId="7F6DC61B">
            <w:pPr>
              <w:pStyle w:val="35"/>
              <w:keepNext w:val="0"/>
              <w:keepLines w:val="0"/>
              <w:pageBreakBefore w:val="0"/>
              <w:widowControl/>
              <w:kinsoku/>
              <w:wordWrap w:val="0"/>
              <w:overflowPunct/>
              <w:topLinePunct/>
              <w:autoSpaceDE/>
              <w:autoSpaceDN/>
              <w:bidi w:val="0"/>
              <w:adjustRightInd w:val="0"/>
              <w:snapToGrid w:val="0"/>
              <w:spacing w:line="240" w:lineRule="auto"/>
              <w:ind w:left="186" w:right="52" w:hanging="105"/>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3"/>
                <w:sz w:val="21"/>
                <w:szCs w:val="21"/>
                <w:highlight w:val="none"/>
              </w:rPr>
              <w:t>相方</w:t>
            </w:r>
            <w:r>
              <w:rPr>
                <w:rFonts w:hint="default" w:ascii="Times New Roman" w:hAnsi="Times New Roman" w:eastAsia="宋体" w:cs="Times New Roman"/>
                <w:color w:val="FF0000"/>
                <w:sz w:val="21"/>
                <w:szCs w:val="21"/>
                <w:highlight w:val="none"/>
              </w:rPr>
              <w:t>位</w:t>
            </w:r>
          </w:p>
        </w:tc>
        <w:tc>
          <w:tcPr>
            <w:tcW w:w="987" w:type="dxa"/>
            <w:vMerge w:val="restart"/>
            <w:tcBorders>
              <w:top w:val="single" w:color="000000" w:sz="10" w:space="0"/>
              <w:bottom w:val="nil"/>
            </w:tcBorders>
            <w:vAlign w:val="center"/>
          </w:tcPr>
          <w:p w14:paraId="6218A1D5">
            <w:pPr>
              <w:pStyle w:val="35"/>
              <w:keepNext w:val="0"/>
              <w:keepLines w:val="0"/>
              <w:pageBreakBefore w:val="0"/>
              <w:widowControl/>
              <w:kinsoku/>
              <w:wordWrap w:val="0"/>
              <w:overflowPunct/>
              <w:topLinePunct/>
              <w:autoSpaceDE/>
              <w:autoSpaceDN/>
              <w:bidi w:val="0"/>
              <w:adjustRightInd w:val="0"/>
              <w:snapToGrid w:val="0"/>
              <w:spacing w:line="240" w:lineRule="auto"/>
              <w:ind w:left="40" w:firstLine="58"/>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11"/>
                <w:sz w:val="21"/>
                <w:szCs w:val="21"/>
                <w:highlight w:val="none"/>
              </w:rPr>
              <w:t>与厂界距</w:t>
            </w:r>
            <w:r>
              <w:rPr>
                <w:rFonts w:hint="default" w:ascii="Times New Roman" w:hAnsi="Times New Roman" w:eastAsia="宋体" w:cs="Times New Roman"/>
                <w:color w:val="FF0000"/>
                <w:spacing w:val="-13"/>
                <w:sz w:val="21"/>
                <w:szCs w:val="21"/>
                <w:highlight w:val="none"/>
              </w:rPr>
              <w:t>离约（m）</w:t>
            </w:r>
          </w:p>
        </w:tc>
        <w:tc>
          <w:tcPr>
            <w:tcW w:w="822" w:type="dxa"/>
            <w:vMerge w:val="restart"/>
            <w:tcBorders>
              <w:top w:val="single" w:color="000000" w:sz="10" w:space="0"/>
              <w:bottom w:val="nil"/>
              <w:right w:val="single" w:color="FFFFFF" w:sz="6" w:space="0"/>
            </w:tcBorders>
            <w:vAlign w:val="center"/>
          </w:tcPr>
          <w:p w14:paraId="6441F601">
            <w:pPr>
              <w:keepNext w:val="0"/>
              <w:keepLines w:val="0"/>
              <w:pageBreakBefore w:val="0"/>
              <w:widowControl/>
              <w:kinsoku/>
              <w:wordWrap w:val="0"/>
              <w:overflowPunct/>
              <w:topLinePunct/>
              <w:autoSpaceDE/>
              <w:autoSpaceDN/>
              <w:bidi w:val="0"/>
              <w:adjustRightInd w:val="0"/>
              <w:snapToGrid w:val="0"/>
              <w:spacing w:line="240" w:lineRule="auto"/>
              <w:ind w:left="117"/>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4"/>
                <w:sz w:val="21"/>
                <w:szCs w:val="21"/>
                <w:highlight w:val="none"/>
              </w:rPr>
              <w:t>规模约</w:t>
            </w:r>
          </w:p>
          <w:p w14:paraId="55FCD25E">
            <w:pPr>
              <w:keepNext w:val="0"/>
              <w:keepLines w:val="0"/>
              <w:pageBreakBefore w:val="0"/>
              <w:widowControl/>
              <w:kinsoku/>
              <w:wordWrap w:val="0"/>
              <w:overflowPunct/>
              <w:topLinePunct/>
              <w:autoSpaceDE/>
              <w:autoSpaceDN/>
              <w:bidi w:val="0"/>
              <w:adjustRightInd w:val="0"/>
              <w:snapToGrid w:val="0"/>
              <w:spacing w:line="240" w:lineRule="auto"/>
              <w:ind w:left="119"/>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6"/>
                <w:sz w:val="21"/>
                <w:szCs w:val="21"/>
                <w:highlight w:val="none"/>
              </w:rPr>
              <w:t>（人）</w:t>
            </w:r>
          </w:p>
        </w:tc>
      </w:tr>
      <w:tr w14:paraId="1C887B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75" w:type="dxa"/>
            <w:vMerge w:val="continue"/>
            <w:tcBorders>
              <w:top w:val="nil"/>
              <w:left w:val="nil"/>
            </w:tcBorders>
            <w:textDirection w:val="tbRlV"/>
            <w:vAlign w:val="center"/>
          </w:tcPr>
          <w:p w14:paraId="07CA97E9">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c>
          <w:tcPr>
            <w:tcW w:w="748" w:type="dxa"/>
            <w:vMerge w:val="continue"/>
            <w:tcBorders>
              <w:top w:val="nil"/>
            </w:tcBorders>
            <w:vAlign w:val="center"/>
          </w:tcPr>
          <w:p w14:paraId="1840C7B6">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c>
          <w:tcPr>
            <w:tcW w:w="1353" w:type="dxa"/>
            <w:vAlign w:val="center"/>
          </w:tcPr>
          <w:p w14:paraId="2AB9633D">
            <w:pPr>
              <w:pStyle w:val="35"/>
              <w:keepNext w:val="0"/>
              <w:keepLines w:val="0"/>
              <w:pageBreakBefore w:val="0"/>
              <w:widowControl/>
              <w:kinsoku/>
              <w:wordWrap w:val="0"/>
              <w:overflowPunct/>
              <w:topLinePunct/>
              <w:autoSpaceDE/>
              <w:autoSpaceDN/>
              <w:bidi w:val="0"/>
              <w:adjustRightInd w:val="0"/>
              <w:snapToGrid w:val="0"/>
              <w:spacing w:line="240" w:lineRule="auto"/>
              <w:ind w:left="398"/>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2"/>
                <w:sz w:val="21"/>
                <w:szCs w:val="21"/>
                <w:highlight w:val="none"/>
              </w:rPr>
              <w:t>经度</w:t>
            </w:r>
          </w:p>
        </w:tc>
        <w:tc>
          <w:tcPr>
            <w:tcW w:w="1247" w:type="dxa"/>
            <w:vAlign w:val="center"/>
          </w:tcPr>
          <w:p w14:paraId="12AF739C">
            <w:pPr>
              <w:pStyle w:val="35"/>
              <w:keepNext w:val="0"/>
              <w:keepLines w:val="0"/>
              <w:pageBreakBefore w:val="0"/>
              <w:widowControl/>
              <w:kinsoku/>
              <w:wordWrap w:val="0"/>
              <w:overflowPunct/>
              <w:topLinePunct/>
              <w:autoSpaceDE/>
              <w:autoSpaceDN/>
              <w:bidi w:val="0"/>
              <w:adjustRightInd w:val="0"/>
              <w:snapToGrid w:val="0"/>
              <w:spacing w:line="240" w:lineRule="auto"/>
              <w:ind w:left="347"/>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2"/>
                <w:sz w:val="21"/>
                <w:szCs w:val="21"/>
                <w:highlight w:val="none"/>
              </w:rPr>
              <w:t>纬度</w:t>
            </w:r>
          </w:p>
        </w:tc>
        <w:tc>
          <w:tcPr>
            <w:tcW w:w="1015" w:type="dxa"/>
            <w:vMerge w:val="continue"/>
            <w:tcBorders>
              <w:top w:val="nil"/>
            </w:tcBorders>
            <w:vAlign w:val="center"/>
          </w:tcPr>
          <w:p w14:paraId="5DBB5B79">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c>
          <w:tcPr>
            <w:tcW w:w="1104" w:type="dxa"/>
            <w:vMerge w:val="continue"/>
            <w:tcBorders>
              <w:top w:val="nil"/>
            </w:tcBorders>
            <w:vAlign w:val="center"/>
          </w:tcPr>
          <w:p w14:paraId="4CC6867C">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c>
          <w:tcPr>
            <w:tcW w:w="680" w:type="dxa"/>
            <w:vMerge w:val="continue"/>
            <w:tcBorders>
              <w:top w:val="nil"/>
            </w:tcBorders>
            <w:vAlign w:val="center"/>
          </w:tcPr>
          <w:p w14:paraId="7C6E4016">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c>
          <w:tcPr>
            <w:tcW w:w="554" w:type="dxa"/>
            <w:vMerge w:val="continue"/>
            <w:tcBorders>
              <w:top w:val="nil"/>
            </w:tcBorders>
            <w:vAlign w:val="center"/>
          </w:tcPr>
          <w:p w14:paraId="7BDB39CC">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c>
          <w:tcPr>
            <w:tcW w:w="987" w:type="dxa"/>
            <w:vMerge w:val="continue"/>
            <w:tcBorders>
              <w:top w:val="nil"/>
            </w:tcBorders>
            <w:vAlign w:val="center"/>
          </w:tcPr>
          <w:p w14:paraId="75BBDE7A">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c>
          <w:tcPr>
            <w:tcW w:w="822" w:type="dxa"/>
            <w:vMerge w:val="continue"/>
            <w:tcBorders>
              <w:top w:val="nil"/>
              <w:right w:val="single" w:color="FFFFFF" w:sz="6" w:space="0"/>
            </w:tcBorders>
            <w:vAlign w:val="center"/>
          </w:tcPr>
          <w:p w14:paraId="691FABF0">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r>
      <w:tr w14:paraId="708761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75" w:type="dxa"/>
            <w:tcBorders>
              <w:left w:val="nil"/>
            </w:tcBorders>
            <w:vAlign w:val="center"/>
          </w:tcPr>
          <w:p w14:paraId="796F9383">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val="en-US" w:eastAsia="zh-CN"/>
              </w:rPr>
              <w:t>1</w:t>
            </w:r>
          </w:p>
        </w:tc>
        <w:tc>
          <w:tcPr>
            <w:tcW w:w="748" w:type="dxa"/>
            <w:vAlign w:val="center"/>
          </w:tcPr>
          <w:p w14:paraId="641740F1">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康家屯</w:t>
            </w:r>
          </w:p>
        </w:tc>
        <w:tc>
          <w:tcPr>
            <w:tcW w:w="1353" w:type="dxa"/>
            <w:vAlign w:val="center"/>
          </w:tcPr>
          <w:p w14:paraId="4A6BD223">
            <w:pPr>
              <w:keepNext w:val="0"/>
              <w:keepLines w:val="0"/>
              <w:pageBreakBefore w:val="0"/>
              <w:widowControl/>
              <w:kinsoku/>
              <w:wordWrap w:val="0"/>
              <w:overflowPunct/>
              <w:topLinePunct/>
              <w:autoSpaceDE/>
              <w:autoSpaceDN/>
              <w:bidi w:val="0"/>
              <w:adjustRightInd w:val="0"/>
              <w:snapToGrid w:val="0"/>
              <w:spacing w:line="240" w:lineRule="auto"/>
              <w:ind w:left="19"/>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131.16554885</w:t>
            </w:r>
          </w:p>
        </w:tc>
        <w:tc>
          <w:tcPr>
            <w:tcW w:w="1247" w:type="dxa"/>
            <w:vAlign w:val="center"/>
          </w:tcPr>
          <w:p w14:paraId="1B92171A">
            <w:pPr>
              <w:keepNext w:val="0"/>
              <w:keepLines w:val="0"/>
              <w:pageBreakBefore w:val="0"/>
              <w:widowControl/>
              <w:kinsoku/>
              <w:wordWrap w:val="0"/>
              <w:overflowPunct/>
              <w:topLinePunct/>
              <w:autoSpaceDE/>
              <w:autoSpaceDN/>
              <w:bidi w:val="0"/>
              <w:adjustRightInd w:val="0"/>
              <w:snapToGrid w:val="0"/>
              <w:spacing w:line="240" w:lineRule="auto"/>
              <w:ind w:left="1"/>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46.80705183</w:t>
            </w:r>
          </w:p>
        </w:tc>
        <w:tc>
          <w:tcPr>
            <w:tcW w:w="1015" w:type="dxa"/>
            <w:vAlign w:val="center"/>
          </w:tcPr>
          <w:p w14:paraId="76F3A58B">
            <w:pPr>
              <w:pStyle w:val="35"/>
              <w:keepNext w:val="0"/>
              <w:keepLines w:val="0"/>
              <w:pageBreakBefore w:val="0"/>
              <w:widowControl/>
              <w:kinsoku/>
              <w:wordWrap w:val="0"/>
              <w:overflowPunct/>
              <w:topLinePunct/>
              <w:autoSpaceDE/>
              <w:autoSpaceDN/>
              <w:bidi w:val="0"/>
              <w:adjustRightInd w:val="0"/>
              <w:snapToGrid w:val="0"/>
              <w:spacing w:line="240" w:lineRule="auto"/>
              <w:ind w:left="243"/>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pict>
                <v:shape id="_x0000_s1039" o:spid="_x0000_s1039" style="position:absolute;left:0pt;margin-left:-0.6pt;margin-top:30pt;height:0.75pt;width:56.7pt;mso-position-horizontal-relative:page;mso-position-vertical-relative:page;z-index:-251651072;mso-width-relative:page;mso-height-relative:page;" fillcolor="#FFFFFF" filled="t" stroked="f" coordsize="1134,15" path="m0,14l1133,14,1133,0,0,0,0,14xe">
                  <v:path/>
                  <v:fill on="t" focussize="0,0"/>
                  <v:stroke on="f"/>
                  <v:imagedata o:title=""/>
                  <o:lock v:ext="edit"/>
                </v:shape>
              </w:pict>
            </w:r>
            <w:r>
              <w:rPr>
                <w:rFonts w:hint="default" w:ascii="Times New Roman" w:hAnsi="Times New Roman" w:eastAsia="宋体" w:cs="Times New Roman"/>
                <w:color w:val="FF0000"/>
                <w:spacing w:val="-2"/>
                <w:sz w:val="21"/>
                <w:szCs w:val="21"/>
                <w:highlight w:val="none"/>
              </w:rPr>
              <w:t>居住区</w:t>
            </w:r>
          </w:p>
        </w:tc>
        <w:tc>
          <w:tcPr>
            <w:tcW w:w="1104" w:type="dxa"/>
            <w:vAlign w:val="center"/>
          </w:tcPr>
          <w:p w14:paraId="21B8DE74">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pict>
                <v:shape id="_x0000_s1040" o:spid="_x0000_s1040" style="position:absolute;left:0pt;margin-left:-0.45pt;margin-top:30pt;height:0.75pt;width:55.35pt;mso-position-horizontal-relative:page;mso-position-vertical-relative:page;z-index:-251652096;mso-width-relative:page;mso-height-relative:page;" fillcolor="#FFFFFF" filled="t" stroked="f" coordsize="1106,15" path="m0,14l1106,14,1106,0,0,0,0,14xe">
                  <v:path/>
                  <v:fill on="t" focussize="0,0"/>
                  <v:stroke on="f"/>
                  <v:imagedata o:title=""/>
                  <o:lock v:ext="edit"/>
                </v:shape>
              </w:pict>
            </w:r>
            <w:r>
              <w:rPr>
                <w:rFonts w:hint="default" w:ascii="Times New Roman" w:hAnsi="Times New Roman" w:eastAsia="宋体" w:cs="Times New Roman"/>
                <w:color w:val="FF0000"/>
                <w:spacing w:val="-2"/>
                <w:sz w:val="21"/>
                <w:szCs w:val="21"/>
                <w:highlight w:val="none"/>
              </w:rPr>
              <w:t>居民</w:t>
            </w:r>
          </w:p>
        </w:tc>
        <w:tc>
          <w:tcPr>
            <w:tcW w:w="680" w:type="dxa"/>
            <w:vMerge w:val="continue"/>
            <w:vAlign w:val="center"/>
          </w:tcPr>
          <w:p w14:paraId="350C0E59">
            <w:pPr>
              <w:pStyle w:val="35"/>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FF0000"/>
                <w:sz w:val="21"/>
                <w:szCs w:val="21"/>
                <w:highlight w:val="none"/>
              </w:rPr>
            </w:pPr>
          </w:p>
        </w:tc>
        <w:tc>
          <w:tcPr>
            <w:tcW w:w="554" w:type="dxa"/>
            <w:vAlign w:val="center"/>
          </w:tcPr>
          <w:p w14:paraId="69D7DD97">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N</w:t>
            </w:r>
          </w:p>
        </w:tc>
        <w:tc>
          <w:tcPr>
            <w:tcW w:w="987" w:type="dxa"/>
            <w:vAlign w:val="center"/>
          </w:tcPr>
          <w:p w14:paraId="15980310">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720</w:t>
            </w:r>
          </w:p>
        </w:tc>
        <w:tc>
          <w:tcPr>
            <w:tcW w:w="822" w:type="dxa"/>
            <w:tcBorders>
              <w:right w:val="nil"/>
            </w:tcBorders>
            <w:vAlign w:val="center"/>
          </w:tcPr>
          <w:p w14:paraId="65F745A0">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1600</w:t>
            </w:r>
          </w:p>
        </w:tc>
      </w:tr>
      <w:tr w14:paraId="7570F6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575" w:type="dxa"/>
            <w:tcBorders>
              <w:left w:val="nil"/>
            </w:tcBorders>
            <w:vAlign w:val="center"/>
          </w:tcPr>
          <w:p w14:paraId="6DE7585A">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w:t>
            </w:r>
          </w:p>
        </w:tc>
        <w:tc>
          <w:tcPr>
            <w:tcW w:w="748" w:type="dxa"/>
            <w:vAlign w:val="center"/>
          </w:tcPr>
          <w:p w14:paraId="61BB7C75">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1"/>
                <w:sz w:val="21"/>
                <w:szCs w:val="21"/>
                <w:highlight w:val="none"/>
                <w:lang w:val="en-US" w:eastAsia="zh-CN"/>
              </w:rPr>
            </w:pPr>
            <w:r>
              <w:rPr>
                <w:rFonts w:hint="default" w:ascii="Times New Roman" w:hAnsi="Times New Roman" w:eastAsia="宋体" w:cs="Times New Roman"/>
                <w:color w:val="FF0000"/>
                <w:spacing w:val="-1"/>
                <w:sz w:val="21"/>
                <w:szCs w:val="21"/>
                <w:highlight w:val="none"/>
                <w:lang w:val="en-US" w:eastAsia="zh-CN"/>
              </w:rPr>
              <w:t>永富村</w:t>
            </w:r>
          </w:p>
        </w:tc>
        <w:tc>
          <w:tcPr>
            <w:tcW w:w="1353" w:type="dxa"/>
            <w:vAlign w:val="center"/>
          </w:tcPr>
          <w:p w14:paraId="51A04953">
            <w:pPr>
              <w:keepNext w:val="0"/>
              <w:keepLines w:val="0"/>
              <w:pageBreakBefore w:val="0"/>
              <w:widowControl/>
              <w:kinsoku/>
              <w:wordWrap w:val="0"/>
              <w:overflowPunct/>
              <w:topLinePunct/>
              <w:autoSpaceDE/>
              <w:autoSpaceDN/>
              <w:bidi w:val="0"/>
              <w:adjustRightInd w:val="0"/>
              <w:snapToGrid w:val="0"/>
              <w:spacing w:line="240" w:lineRule="auto"/>
              <w:ind w:left="19"/>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131.19478718</w:t>
            </w:r>
          </w:p>
        </w:tc>
        <w:tc>
          <w:tcPr>
            <w:tcW w:w="1247" w:type="dxa"/>
            <w:vAlign w:val="center"/>
          </w:tcPr>
          <w:p w14:paraId="106DF3A2">
            <w:pPr>
              <w:keepNext w:val="0"/>
              <w:keepLines w:val="0"/>
              <w:pageBreakBefore w:val="0"/>
              <w:widowControl/>
              <w:kinsoku/>
              <w:wordWrap w:val="0"/>
              <w:overflowPunct/>
              <w:topLinePunct/>
              <w:autoSpaceDE/>
              <w:autoSpaceDN/>
              <w:bidi w:val="0"/>
              <w:adjustRightInd w:val="0"/>
              <w:snapToGrid w:val="0"/>
              <w:spacing w:line="240" w:lineRule="auto"/>
              <w:ind w:left="1"/>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46.78827433</w:t>
            </w:r>
          </w:p>
        </w:tc>
        <w:tc>
          <w:tcPr>
            <w:tcW w:w="1015" w:type="dxa"/>
            <w:shd w:val="clear" w:color="auto" w:fill="auto"/>
            <w:vAlign w:val="center"/>
          </w:tcPr>
          <w:p w14:paraId="5574AB59">
            <w:pPr>
              <w:pStyle w:val="35"/>
              <w:keepNext w:val="0"/>
              <w:keepLines w:val="0"/>
              <w:pageBreakBefore w:val="0"/>
              <w:widowControl/>
              <w:kinsoku/>
              <w:wordWrap w:val="0"/>
              <w:overflowPunct/>
              <w:topLinePunct/>
              <w:autoSpaceDE/>
              <w:autoSpaceDN/>
              <w:bidi w:val="0"/>
              <w:adjustRightInd w:val="0"/>
              <w:snapToGrid w:val="0"/>
              <w:spacing w:line="240" w:lineRule="auto"/>
              <w:ind w:left="243" w:leftChars="0"/>
              <w:jc w:val="both"/>
              <w:textAlignment w:val="baseline"/>
              <w:rPr>
                <w:rFonts w:hint="default" w:ascii="Times New Roman" w:hAnsi="Times New Roman" w:eastAsia="宋体" w:cs="Times New Roman"/>
                <w:snapToGrid w:val="0"/>
                <w:color w:val="FF0000"/>
                <w:kern w:val="0"/>
                <w:sz w:val="21"/>
                <w:szCs w:val="21"/>
                <w:highlight w:val="none"/>
                <w:lang w:val="en-US" w:eastAsia="en-US" w:bidi="ar-SA"/>
              </w:rPr>
            </w:pPr>
            <w:r>
              <w:rPr>
                <w:rFonts w:hint="default" w:ascii="Times New Roman" w:hAnsi="Times New Roman" w:eastAsia="宋体" w:cs="Times New Roman"/>
                <w:color w:val="FF0000"/>
                <w:spacing w:val="-2"/>
                <w:sz w:val="21"/>
                <w:szCs w:val="21"/>
                <w:highlight w:val="none"/>
              </w:rPr>
              <w:t>居住区</w:t>
            </w:r>
          </w:p>
        </w:tc>
        <w:tc>
          <w:tcPr>
            <w:tcW w:w="1104" w:type="dxa"/>
            <w:shd w:val="clear" w:color="auto" w:fill="auto"/>
            <w:vAlign w:val="center"/>
          </w:tcPr>
          <w:p w14:paraId="611EA946">
            <w:pPr>
              <w:pStyle w:val="35"/>
              <w:keepNext w:val="0"/>
              <w:keepLines w:val="0"/>
              <w:pageBreakBefore w:val="0"/>
              <w:widowControl/>
              <w:kinsoku/>
              <w:wordWrap w:val="0"/>
              <w:overflowPunct/>
              <w:topLinePunct/>
              <w:autoSpaceDE/>
              <w:autoSpaceDN/>
              <w:bidi w:val="0"/>
              <w:adjustRightInd w:val="0"/>
              <w:snapToGrid w:val="0"/>
              <w:spacing w:line="240" w:lineRule="auto"/>
              <w:ind w:left="340" w:leftChars="0"/>
              <w:jc w:val="both"/>
              <w:textAlignment w:val="baseline"/>
              <w:rPr>
                <w:rFonts w:hint="default" w:ascii="Times New Roman" w:hAnsi="Times New Roman" w:eastAsia="宋体" w:cs="Times New Roman"/>
                <w:snapToGrid w:val="0"/>
                <w:color w:val="FF0000"/>
                <w:kern w:val="0"/>
                <w:sz w:val="21"/>
                <w:szCs w:val="21"/>
                <w:highlight w:val="none"/>
                <w:lang w:val="en-US" w:eastAsia="en-US" w:bidi="ar-SA"/>
              </w:rPr>
            </w:pPr>
            <w:r>
              <w:rPr>
                <w:rFonts w:hint="default" w:ascii="Times New Roman" w:hAnsi="Times New Roman" w:eastAsia="宋体" w:cs="Times New Roman"/>
                <w:color w:val="FF0000"/>
                <w:spacing w:val="-2"/>
                <w:sz w:val="21"/>
                <w:szCs w:val="21"/>
                <w:highlight w:val="none"/>
              </w:rPr>
              <w:t>居民</w:t>
            </w:r>
          </w:p>
        </w:tc>
        <w:tc>
          <w:tcPr>
            <w:tcW w:w="680" w:type="dxa"/>
            <w:vMerge w:val="continue"/>
            <w:vAlign w:val="center"/>
          </w:tcPr>
          <w:p w14:paraId="4F8622D5">
            <w:pPr>
              <w:pStyle w:val="35"/>
              <w:keepNext w:val="0"/>
              <w:keepLines w:val="0"/>
              <w:pageBreakBefore w:val="0"/>
              <w:widowControl/>
              <w:kinsoku/>
              <w:wordWrap w:val="0"/>
              <w:overflowPunct/>
              <w:topLinePunct/>
              <w:autoSpaceDE/>
              <w:autoSpaceDN/>
              <w:bidi w:val="0"/>
              <w:adjustRightInd w:val="0"/>
              <w:snapToGrid w:val="0"/>
              <w:spacing w:line="240" w:lineRule="auto"/>
              <w:ind w:left="30"/>
              <w:textAlignment w:val="baseline"/>
              <w:rPr>
                <w:rFonts w:hint="default" w:ascii="Times New Roman" w:hAnsi="Times New Roman" w:eastAsia="宋体" w:cs="Times New Roman"/>
                <w:color w:val="FF0000"/>
                <w:sz w:val="21"/>
                <w:szCs w:val="21"/>
                <w:highlight w:val="none"/>
              </w:rPr>
            </w:pPr>
          </w:p>
        </w:tc>
        <w:tc>
          <w:tcPr>
            <w:tcW w:w="554" w:type="dxa"/>
            <w:vAlign w:val="center"/>
          </w:tcPr>
          <w:p w14:paraId="61AEF337">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SE</w:t>
            </w:r>
          </w:p>
        </w:tc>
        <w:tc>
          <w:tcPr>
            <w:tcW w:w="987" w:type="dxa"/>
            <w:vAlign w:val="center"/>
          </w:tcPr>
          <w:p w14:paraId="62EC66FE">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1890</w:t>
            </w:r>
          </w:p>
        </w:tc>
        <w:tc>
          <w:tcPr>
            <w:tcW w:w="822" w:type="dxa"/>
            <w:tcBorders>
              <w:right w:val="nil"/>
            </w:tcBorders>
            <w:vAlign w:val="center"/>
          </w:tcPr>
          <w:p w14:paraId="0A3221BD">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2500</w:t>
            </w:r>
          </w:p>
        </w:tc>
      </w:tr>
    </w:tbl>
    <w:p w14:paraId="441692DE">
      <w:pPr>
        <w:keepNext w:val="0"/>
        <w:keepLines w:val="0"/>
        <w:pageBreakBefore w:val="0"/>
        <w:kinsoku/>
        <w:wordWrap w:val="0"/>
        <w:overflowPunct/>
        <w:topLinePunct/>
        <w:autoSpaceDE/>
        <w:autoSpaceDN/>
        <w:bidi w:val="0"/>
        <w:adjustRightInd w:val="0"/>
        <w:snapToGrid w:val="0"/>
        <w:spacing w:before="34" w:line="233" w:lineRule="auto"/>
        <w:textAlignment w:val="baseline"/>
        <w:rPr>
          <w:rFonts w:hint="default" w:ascii="Times New Roman" w:hAnsi="Times New Roman" w:eastAsia="宋体" w:cs="Times New Roman"/>
          <w:b/>
          <w:bCs/>
          <w:color w:val="FF0000"/>
          <w:spacing w:val="-3"/>
          <w:sz w:val="21"/>
          <w:szCs w:val="21"/>
          <w:highlight w:val="none"/>
          <w:lang w:val="en-US" w:eastAsia="zh-CN"/>
        </w:rPr>
      </w:pPr>
      <w:r>
        <w:rPr>
          <w:rFonts w:hint="default" w:ascii="Times New Roman" w:hAnsi="Times New Roman" w:eastAsia="宋体" w:cs="Times New Roman"/>
          <w:b/>
          <w:bCs/>
          <w:color w:val="FF0000"/>
          <w:spacing w:val="-3"/>
          <w:sz w:val="21"/>
          <w:szCs w:val="21"/>
          <w:highlight w:val="none"/>
          <w:lang w:val="en-US" w:eastAsia="zh-CN"/>
        </w:rPr>
        <w:t>注：项目东侧有一处工业企业聚集地，不属于保护目标，详见附图。</w:t>
      </w:r>
    </w:p>
    <w:p w14:paraId="1AE6BCFF">
      <w:pPr>
        <w:keepNext w:val="0"/>
        <w:keepLines w:val="0"/>
        <w:pageBreakBefore w:val="0"/>
        <w:kinsoku/>
        <w:wordWrap w:val="0"/>
        <w:overflowPunct/>
        <w:topLinePunct/>
        <w:autoSpaceDE/>
        <w:autoSpaceDN/>
        <w:bidi w:val="0"/>
        <w:adjustRightInd w:val="0"/>
        <w:snapToGrid w:val="0"/>
        <w:spacing w:before="34" w:line="233" w:lineRule="auto"/>
        <w:ind w:left="524"/>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pacing w:val="-3"/>
          <w:sz w:val="24"/>
          <w:szCs w:val="24"/>
          <w:highlight w:val="none"/>
        </w:rPr>
        <w:t>（</w:t>
      </w:r>
      <w:r>
        <w:rPr>
          <w:rFonts w:hint="default" w:ascii="Times New Roman" w:hAnsi="Times New Roman" w:eastAsia="Times New Roman" w:cs="Times New Roman"/>
          <w:color w:val="FF0000"/>
          <w:spacing w:val="-3"/>
          <w:sz w:val="24"/>
          <w:szCs w:val="24"/>
          <w:highlight w:val="none"/>
        </w:rPr>
        <w:t>2</w:t>
      </w:r>
      <w:r>
        <w:rPr>
          <w:rFonts w:hint="default" w:ascii="Times New Roman" w:hAnsi="Times New Roman" w:eastAsia="宋体" w:cs="Times New Roman"/>
          <w:color w:val="FF0000"/>
          <w:spacing w:val="-3"/>
          <w:sz w:val="24"/>
          <w:szCs w:val="24"/>
          <w:highlight w:val="none"/>
        </w:rPr>
        <w:t>）水环境保护目标</w:t>
      </w:r>
    </w:p>
    <w:p w14:paraId="29573B08">
      <w:pPr>
        <w:keepNext w:val="0"/>
        <w:keepLines w:val="0"/>
        <w:pageBreakBefore w:val="0"/>
        <w:kinsoku/>
        <w:wordWrap w:val="0"/>
        <w:overflowPunct/>
        <w:topLinePunct/>
        <w:autoSpaceDE/>
        <w:autoSpaceDN/>
        <w:bidi w:val="0"/>
        <w:adjustRightInd w:val="0"/>
        <w:snapToGrid w:val="0"/>
        <w:spacing w:before="162" w:line="359" w:lineRule="auto"/>
        <w:ind w:left="43" w:right="113" w:firstLine="475"/>
        <w:textAlignment w:val="baseline"/>
        <w:rPr>
          <w:rFonts w:hint="default" w:ascii="Times New Roman" w:hAnsi="Times New Roman" w:cs="Times New Roman"/>
          <w:color w:val="FF0000"/>
          <w:highlight w:val="none"/>
        </w:rPr>
      </w:pPr>
      <w:r>
        <w:rPr>
          <w:rFonts w:hint="default" w:ascii="Times New Roman" w:hAnsi="Times New Roman" w:eastAsia="宋体" w:cs="Times New Roman"/>
          <w:color w:val="FF0000"/>
          <w:spacing w:val="-4"/>
          <w:sz w:val="24"/>
          <w:szCs w:val="24"/>
          <w:highlight w:val="none"/>
        </w:rPr>
        <w:t>本项目地表水环境影响评价等级为三级</w:t>
      </w:r>
      <w:r>
        <w:rPr>
          <w:rFonts w:hint="default" w:ascii="Times New Roman" w:hAnsi="Times New Roman" w:eastAsia="Times New Roman" w:cs="Times New Roman"/>
          <w:color w:val="FF0000"/>
          <w:spacing w:val="-4"/>
          <w:sz w:val="24"/>
          <w:szCs w:val="24"/>
          <w:highlight w:val="none"/>
        </w:rPr>
        <w:t>B</w:t>
      </w:r>
      <w:r>
        <w:rPr>
          <w:rFonts w:hint="default" w:ascii="Times New Roman" w:hAnsi="Times New Roman" w:eastAsia="宋体" w:cs="Times New Roman"/>
          <w:color w:val="FF0000"/>
          <w:spacing w:val="-4"/>
          <w:sz w:val="24"/>
          <w:szCs w:val="24"/>
          <w:highlight w:val="none"/>
        </w:rPr>
        <w:t>，项目附近水体为安邦河，位于本项目</w:t>
      </w:r>
      <w:r>
        <w:rPr>
          <w:rFonts w:hint="default" w:ascii="Times New Roman" w:hAnsi="Times New Roman" w:eastAsia="宋体" w:cs="Times New Roman"/>
          <w:color w:val="FF0000"/>
          <w:spacing w:val="-2"/>
          <w:sz w:val="24"/>
          <w:szCs w:val="24"/>
          <w:highlight w:val="none"/>
        </w:rPr>
        <w:t>西北侧，距离本项目厂界约</w:t>
      </w:r>
      <w:r>
        <w:rPr>
          <w:rFonts w:hint="default" w:ascii="Times New Roman" w:hAnsi="Times New Roman" w:eastAsia="宋体" w:cs="Times New Roman"/>
          <w:color w:val="FF0000"/>
          <w:spacing w:val="-2"/>
          <w:sz w:val="24"/>
          <w:szCs w:val="24"/>
          <w:highlight w:val="none"/>
          <w:lang w:eastAsia="zh-CN"/>
        </w:rPr>
        <w:t>3300</w:t>
      </w:r>
      <w:r>
        <w:rPr>
          <w:rFonts w:hint="default" w:ascii="Times New Roman" w:hAnsi="Times New Roman" w:eastAsia="Times New Roman" w:cs="Times New Roman"/>
          <w:color w:val="FF0000"/>
          <w:spacing w:val="-2"/>
          <w:sz w:val="24"/>
          <w:szCs w:val="24"/>
          <w:highlight w:val="none"/>
        </w:rPr>
        <w:t>m</w:t>
      </w:r>
      <w:r>
        <w:rPr>
          <w:rFonts w:hint="default" w:ascii="Times New Roman" w:hAnsi="Times New Roman" w:eastAsia="宋体" w:cs="Times New Roman"/>
          <w:color w:val="FF0000"/>
          <w:spacing w:val="-2"/>
          <w:sz w:val="24"/>
          <w:szCs w:val="24"/>
          <w:highlight w:val="none"/>
        </w:rPr>
        <w:t>。</w:t>
      </w:r>
    </w:p>
    <w:p w14:paraId="6DEEB84C">
      <w:pPr>
        <w:keepNext w:val="0"/>
        <w:keepLines w:val="0"/>
        <w:pageBreakBefore w:val="0"/>
        <w:kinsoku/>
        <w:wordWrap w:val="0"/>
        <w:overflowPunct/>
        <w:topLinePunct/>
        <w:autoSpaceDE/>
        <w:autoSpaceDN/>
        <w:bidi w:val="0"/>
        <w:adjustRightInd w:val="0"/>
        <w:snapToGrid w:val="0"/>
        <w:spacing w:before="18" w:line="232" w:lineRule="auto"/>
        <w:jc w:val="center"/>
        <w:textAlignment w:val="baseline"/>
        <w:rPr>
          <w:rFonts w:hint="default" w:ascii="Times New Roman" w:hAnsi="Times New Roman" w:eastAsia="宋体" w:cs="Times New Roman"/>
          <w:b/>
          <w:bCs/>
          <w:color w:val="FF0000"/>
          <w:spacing w:val="-1"/>
          <w:sz w:val="24"/>
          <w:szCs w:val="24"/>
          <w:highlight w:val="none"/>
        </w:rPr>
      </w:pPr>
      <w:r>
        <w:rPr>
          <w:rFonts w:hint="default" w:ascii="Times New Roman" w:hAnsi="Times New Roman" w:eastAsia="宋体" w:cs="Times New Roman"/>
          <w:b/>
          <w:bCs/>
          <w:color w:val="FF0000"/>
          <w:spacing w:val="-1"/>
          <w:sz w:val="24"/>
          <w:szCs w:val="24"/>
          <w:highlight w:val="none"/>
        </w:rPr>
        <w:t>表2</w:t>
      </w:r>
      <w:r>
        <w:rPr>
          <w:rFonts w:hint="default" w:ascii="Times New Roman" w:hAnsi="Times New Roman" w:eastAsia="宋体" w:cs="Times New Roman"/>
          <w:b/>
          <w:bCs/>
          <w:color w:val="FF0000"/>
          <w:spacing w:val="-1"/>
          <w:sz w:val="24"/>
          <w:szCs w:val="24"/>
          <w:highlight w:val="none"/>
          <w:lang w:val="en-US" w:eastAsia="zh-CN"/>
        </w:rPr>
        <w:t>.</w:t>
      </w:r>
      <w:r>
        <w:rPr>
          <w:rFonts w:hint="default" w:ascii="Times New Roman" w:hAnsi="Times New Roman" w:eastAsia="宋体" w:cs="Times New Roman"/>
          <w:b/>
          <w:bCs/>
          <w:color w:val="FF0000"/>
          <w:spacing w:val="-1"/>
          <w:sz w:val="24"/>
          <w:szCs w:val="24"/>
          <w:highlight w:val="none"/>
        </w:rPr>
        <w:t>7</w:t>
      </w:r>
      <w:r>
        <w:rPr>
          <w:rFonts w:hint="default" w:ascii="Times New Roman" w:hAnsi="Times New Roman" w:eastAsia="宋体" w:cs="Times New Roman"/>
          <w:b/>
          <w:bCs/>
          <w:color w:val="FF0000"/>
          <w:spacing w:val="-1"/>
          <w:sz w:val="24"/>
          <w:szCs w:val="24"/>
          <w:highlight w:val="none"/>
          <w:lang w:eastAsia="zh-CN"/>
        </w:rPr>
        <w:t>-</w:t>
      </w:r>
      <w:r>
        <w:rPr>
          <w:rFonts w:hint="default" w:ascii="Times New Roman" w:hAnsi="Times New Roman" w:eastAsia="宋体" w:cs="Times New Roman"/>
          <w:b/>
          <w:bCs/>
          <w:color w:val="FF0000"/>
          <w:spacing w:val="-1"/>
          <w:sz w:val="24"/>
          <w:szCs w:val="24"/>
          <w:highlight w:val="none"/>
        </w:rPr>
        <w:t>2地</w:t>
      </w:r>
      <w:r>
        <w:rPr>
          <w:rFonts w:hint="default" w:ascii="Times New Roman" w:hAnsi="Times New Roman" w:eastAsia="宋体" w:cs="Times New Roman"/>
          <w:b/>
          <w:bCs/>
          <w:color w:val="FF0000"/>
          <w:spacing w:val="-1"/>
          <w:sz w:val="24"/>
          <w:szCs w:val="24"/>
          <w:highlight w:val="none"/>
          <w:lang w:eastAsia="zh-CN"/>
        </w:rPr>
        <w:t>表</w:t>
      </w:r>
      <w:r>
        <w:rPr>
          <w:rFonts w:hint="default" w:ascii="Times New Roman" w:hAnsi="Times New Roman" w:eastAsia="宋体" w:cs="Times New Roman"/>
          <w:b/>
          <w:bCs/>
          <w:color w:val="FF0000"/>
          <w:spacing w:val="-1"/>
          <w:sz w:val="24"/>
          <w:szCs w:val="24"/>
          <w:highlight w:val="none"/>
        </w:rPr>
        <w:t>水环境保护目标一览表</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6"/>
        <w:gridCol w:w="1629"/>
        <w:gridCol w:w="1745"/>
        <w:gridCol w:w="3727"/>
      </w:tblGrid>
      <w:tr w14:paraId="698744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6" w:type="pct"/>
            <w:vAlign w:val="center"/>
          </w:tcPr>
          <w:p w14:paraId="7A213810">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rPr>
              <w:t>保护对象</w:t>
            </w:r>
          </w:p>
        </w:tc>
        <w:tc>
          <w:tcPr>
            <w:tcW w:w="955" w:type="pct"/>
            <w:vAlign w:val="center"/>
          </w:tcPr>
          <w:p w14:paraId="63A9D7A2">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相对厂址方位</w:t>
            </w:r>
          </w:p>
        </w:tc>
        <w:tc>
          <w:tcPr>
            <w:tcW w:w="1023" w:type="pct"/>
            <w:vAlign w:val="center"/>
          </w:tcPr>
          <w:p w14:paraId="7CA62F3F">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相对厂界</w:t>
            </w:r>
            <w:r>
              <w:rPr>
                <w:rFonts w:hint="default" w:ascii="Times New Roman" w:hAnsi="Times New Roman" w:eastAsia="宋体" w:cs="Times New Roman"/>
                <w:snapToGrid w:val="0"/>
                <w:color w:val="FF0000"/>
                <w:sz w:val="21"/>
                <w:szCs w:val="21"/>
                <w:highlight w:val="none"/>
              </w:rPr>
              <w:t>距离</w:t>
            </w:r>
            <w:r>
              <w:rPr>
                <w:rFonts w:hint="default" w:ascii="Times New Roman" w:hAnsi="Times New Roman" w:eastAsia="宋体" w:cs="Times New Roman"/>
                <w:snapToGrid w:val="0"/>
                <w:color w:val="FF0000"/>
                <w:sz w:val="21"/>
                <w:szCs w:val="21"/>
                <w:highlight w:val="none"/>
                <w:lang w:eastAsia="zh-CN"/>
              </w:rPr>
              <w:t>/</w:t>
            </w:r>
            <w:r>
              <w:rPr>
                <w:rFonts w:hint="default" w:ascii="Times New Roman" w:hAnsi="Times New Roman" w:eastAsia="宋体" w:cs="Times New Roman"/>
                <w:snapToGrid w:val="0"/>
                <w:color w:val="FF0000"/>
                <w:sz w:val="21"/>
                <w:szCs w:val="21"/>
                <w:highlight w:val="none"/>
              </w:rPr>
              <w:t>m</w:t>
            </w:r>
          </w:p>
        </w:tc>
        <w:tc>
          <w:tcPr>
            <w:tcW w:w="2184" w:type="pct"/>
            <w:shd w:val="clear" w:color="auto" w:fill="auto"/>
            <w:vAlign w:val="center"/>
          </w:tcPr>
          <w:p w14:paraId="6770B2C6">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环境质量标准</w:t>
            </w:r>
          </w:p>
        </w:tc>
      </w:tr>
      <w:tr w14:paraId="33612A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6" w:type="pct"/>
            <w:vAlign w:val="center"/>
          </w:tcPr>
          <w:p w14:paraId="055F864A">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color w:val="FF0000"/>
                <w:spacing w:val="-4"/>
                <w:sz w:val="21"/>
                <w:szCs w:val="21"/>
                <w:highlight w:val="none"/>
              </w:rPr>
              <w:t>安邦河</w:t>
            </w:r>
          </w:p>
        </w:tc>
        <w:tc>
          <w:tcPr>
            <w:tcW w:w="955" w:type="pct"/>
            <w:vAlign w:val="center"/>
          </w:tcPr>
          <w:p w14:paraId="0AA9223F">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NW</w:t>
            </w:r>
          </w:p>
        </w:tc>
        <w:tc>
          <w:tcPr>
            <w:tcW w:w="1023" w:type="pct"/>
            <w:vAlign w:val="center"/>
          </w:tcPr>
          <w:p w14:paraId="66F77A6E">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3300</w:t>
            </w:r>
          </w:p>
        </w:tc>
        <w:tc>
          <w:tcPr>
            <w:tcW w:w="2184" w:type="pct"/>
            <w:shd w:val="clear" w:color="auto" w:fill="auto"/>
            <w:vAlign w:val="center"/>
          </w:tcPr>
          <w:p w14:paraId="3CAF7D28">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《地表水环境质量标准》（GB3838-2002）中Ⅳ类标准</w:t>
            </w:r>
          </w:p>
        </w:tc>
      </w:tr>
    </w:tbl>
    <w:p w14:paraId="0C11CF0E">
      <w:pPr>
        <w:keepNext w:val="0"/>
        <w:keepLines w:val="0"/>
        <w:pageBreakBefore w:val="0"/>
        <w:widowControl/>
        <w:kinsoku/>
        <w:wordWrap w:val="0"/>
        <w:overflowPunct/>
        <w:topLinePunct/>
        <w:autoSpaceDE/>
        <w:autoSpaceDN/>
        <w:bidi w:val="0"/>
        <w:adjustRightInd w:val="0"/>
        <w:snapToGrid w:val="0"/>
        <w:spacing w:before="2" w:line="240" w:lineRule="auto"/>
        <w:ind w:right="68"/>
        <w:jc w:val="center"/>
        <w:textAlignment w:val="baseline"/>
        <w:rPr>
          <w:rFonts w:hint="default" w:ascii="Times New Roman" w:hAnsi="Times New Roman" w:eastAsia="宋体" w:cs="Times New Roman"/>
          <w:color w:val="FF0000"/>
          <w:spacing w:val="-3"/>
          <w:sz w:val="24"/>
          <w:szCs w:val="24"/>
          <w:highlight w:val="none"/>
        </w:rPr>
      </w:pPr>
      <w:r>
        <w:rPr>
          <w:rFonts w:hint="default" w:ascii="Times New Roman" w:hAnsi="Times New Roman" w:eastAsia="宋体" w:cs="Times New Roman"/>
          <w:b/>
          <w:bCs/>
          <w:color w:val="FF0000"/>
          <w:spacing w:val="-1"/>
          <w:sz w:val="24"/>
          <w:szCs w:val="24"/>
          <w:highlight w:val="none"/>
        </w:rPr>
        <w:t>表2</w:t>
      </w:r>
      <w:r>
        <w:rPr>
          <w:rFonts w:hint="default" w:ascii="Times New Roman" w:hAnsi="Times New Roman" w:eastAsia="宋体" w:cs="Times New Roman"/>
          <w:b/>
          <w:bCs/>
          <w:color w:val="FF0000"/>
          <w:spacing w:val="-1"/>
          <w:sz w:val="24"/>
          <w:szCs w:val="24"/>
          <w:highlight w:val="none"/>
          <w:lang w:val="en-US" w:eastAsia="zh-CN"/>
        </w:rPr>
        <w:t>.</w:t>
      </w:r>
      <w:r>
        <w:rPr>
          <w:rFonts w:hint="default" w:ascii="Times New Roman" w:hAnsi="Times New Roman" w:eastAsia="宋体" w:cs="Times New Roman"/>
          <w:b/>
          <w:bCs/>
          <w:color w:val="FF0000"/>
          <w:spacing w:val="-1"/>
          <w:sz w:val="24"/>
          <w:szCs w:val="24"/>
          <w:highlight w:val="none"/>
        </w:rPr>
        <w:t>7</w:t>
      </w:r>
      <w:r>
        <w:rPr>
          <w:rFonts w:hint="default" w:ascii="Times New Roman" w:hAnsi="Times New Roman" w:eastAsia="宋体" w:cs="Times New Roman"/>
          <w:b/>
          <w:bCs/>
          <w:color w:val="FF0000"/>
          <w:spacing w:val="-1"/>
          <w:sz w:val="24"/>
          <w:szCs w:val="24"/>
          <w:highlight w:val="none"/>
          <w:lang w:eastAsia="zh-CN"/>
        </w:rPr>
        <w:t>-</w:t>
      </w:r>
      <w:r>
        <w:rPr>
          <w:rFonts w:hint="default" w:ascii="Times New Roman" w:hAnsi="Times New Roman" w:eastAsia="宋体" w:cs="Times New Roman"/>
          <w:b/>
          <w:bCs/>
          <w:color w:val="FF0000"/>
          <w:spacing w:val="-1"/>
          <w:sz w:val="24"/>
          <w:szCs w:val="24"/>
          <w:highlight w:val="none"/>
          <w:lang w:val="en-US" w:eastAsia="zh-CN"/>
        </w:rPr>
        <w:t>3</w:t>
      </w:r>
      <w:r>
        <w:rPr>
          <w:rFonts w:hint="default" w:ascii="Times New Roman" w:hAnsi="Times New Roman" w:eastAsia="宋体" w:cs="Times New Roman"/>
          <w:b/>
          <w:bCs/>
          <w:color w:val="FF0000"/>
          <w:spacing w:val="-1"/>
          <w:sz w:val="24"/>
          <w:szCs w:val="24"/>
          <w:highlight w:val="none"/>
        </w:rPr>
        <w:t>地</w:t>
      </w:r>
      <w:r>
        <w:rPr>
          <w:rFonts w:hint="default" w:ascii="Times New Roman" w:hAnsi="Times New Roman" w:eastAsia="宋体" w:cs="Times New Roman"/>
          <w:b/>
          <w:bCs/>
          <w:color w:val="FF0000"/>
          <w:spacing w:val="-1"/>
          <w:sz w:val="24"/>
          <w:szCs w:val="24"/>
          <w:highlight w:val="none"/>
          <w:lang w:val="en-US" w:eastAsia="zh-CN"/>
        </w:rPr>
        <w:t>下</w:t>
      </w:r>
      <w:r>
        <w:rPr>
          <w:rFonts w:hint="default" w:ascii="Times New Roman" w:hAnsi="Times New Roman" w:eastAsia="宋体" w:cs="Times New Roman"/>
          <w:b/>
          <w:bCs/>
          <w:color w:val="FF0000"/>
          <w:spacing w:val="-1"/>
          <w:sz w:val="24"/>
          <w:szCs w:val="24"/>
          <w:highlight w:val="none"/>
        </w:rPr>
        <w:t>水环境保护目标一览表</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539"/>
        <w:gridCol w:w="1813"/>
        <w:gridCol w:w="1827"/>
        <w:gridCol w:w="2348"/>
      </w:tblGrid>
      <w:tr w14:paraId="181843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488" w:type="pct"/>
            <w:vAlign w:val="center"/>
          </w:tcPr>
          <w:p w14:paraId="1149E0F2">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rPr>
              <w:t>保护对象</w:t>
            </w:r>
          </w:p>
        </w:tc>
        <w:tc>
          <w:tcPr>
            <w:tcW w:w="1063" w:type="pct"/>
            <w:vAlign w:val="center"/>
          </w:tcPr>
          <w:p w14:paraId="10F256D2">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相对厂址方位</w:t>
            </w:r>
          </w:p>
        </w:tc>
        <w:tc>
          <w:tcPr>
            <w:tcW w:w="1071" w:type="pct"/>
            <w:vAlign w:val="center"/>
          </w:tcPr>
          <w:p w14:paraId="6923D0AD">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相对厂界</w:t>
            </w:r>
            <w:r>
              <w:rPr>
                <w:rFonts w:hint="default" w:ascii="Times New Roman" w:hAnsi="Times New Roman" w:eastAsia="宋体" w:cs="Times New Roman"/>
                <w:snapToGrid w:val="0"/>
                <w:color w:val="FF0000"/>
                <w:sz w:val="21"/>
                <w:szCs w:val="21"/>
                <w:highlight w:val="none"/>
              </w:rPr>
              <w:t>距离</w:t>
            </w:r>
            <w:r>
              <w:rPr>
                <w:rFonts w:hint="default" w:ascii="Times New Roman" w:hAnsi="Times New Roman" w:eastAsia="宋体" w:cs="Times New Roman"/>
                <w:snapToGrid w:val="0"/>
                <w:color w:val="FF0000"/>
                <w:sz w:val="21"/>
                <w:szCs w:val="21"/>
                <w:highlight w:val="none"/>
                <w:lang w:eastAsia="zh-CN"/>
              </w:rPr>
              <w:t>/</w:t>
            </w:r>
            <w:r>
              <w:rPr>
                <w:rFonts w:hint="default" w:ascii="Times New Roman" w:hAnsi="Times New Roman" w:eastAsia="宋体" w:cs="Times New Roman"/>
                <w:snapToGrid w:val="0"/>
                <w:color w:val="FF0000"/>
                <w:sz w:val="21"/>
                <w:szCs w:val="21"/>
                <w:highlight w:val="none"/>
              </w:rPr>
              <w:t>m</w:t>
            </w:r>
          </w:p>
        </w:tc>
        <w:tc>
          <w:tcPr>
            <w:tcW w:w="1376" w:type="pct"/>
            <w:shd w:val="clear" w:color="auto" w:fill="auto"/>
            <w:vAlign w:val="center"/>
          </w:tcPr>
          <w:p w14:paraId="08599FBF">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环境质量标准</w:t>
            </w:r>
          </w:p>
        </w:tc>
      </w:tr>
      <w:tr w14:paraId="13CDCC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1488" w:type="pct"/>
            <w:vAlign w:val="center"/>
          </w:tcPr>
          <w:p w14:paraId="12B6318B">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场区自打饮水水井、项目区域内地下水潜水含水层</w:t>
            </w:r>
          </w:p>
        </w:tc>
        <w:tc>
          <w:tcPr>
            <w:tcW w:w="1063" w:type="pct"/>
            <w:vAlign w:val="center"/>
          </w:tcPr>
          <w:p w14:paraId="611712D9">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val="en-US" w:eastAsia="zh-CN"/>
              </w:rPr>
              <w:t>/</w:t>
            </w:r>
          </w:p>
        </w:tc>
        <w:tc>
          <w:tcPr>
            <w:tcW w:w="1071" w:type="pct"/>
            <w:vAlign w:val="center"/>
          </w:tcPr>
          <w:p w14:paraId="43D30CEF">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w:t>
            </w:r>
          </w:p>
        </w:tc>
        <w:tc>
          <w:tcPr>
            <w:tcW w:w="1376" w:type="pct"/>
            <w:vMerge w:val="restart"/>
            <w:shd w:val="clear" w:color="auto" w:fill="auto"/>
            <w:vAlign w:val="center"/>
          </w:tcPr>
          <w:p w14:paraId="70CA0685">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《地</w:t>
            </w:r>
            <w:r>
              <w:rPr>
                <w:rFonts w:hint="default" w:ascii="Times New Roman" w:hAnsi="Times New Roman" w:eastAsia="宋体" w:cs="Times New Roman"/>
                <w:snapToGrid w:val="0"/>
                <w:color w:val="FF0000"/>
                <w:sz w:val="21"/>
                <w:szCs w:val="21"/>
                <w:highlight w:val="none"/>
                <w:lang w:val="en-US" w:eastAsia="zh-CN"/>
              </w:rPr>
              <w:t>下</w:t>
            </w:r>
            <w:r>
              <w:rPr>
                <w:rFonts w:hint="default" w:ascii="Times New Roman" w:hAnsi="Times New Roman" w:eastAsia="宋体" w:cs="Times New Roman"/>
                <w:snapToGrid w:val="0"/>
                <w:color w:val="FF0000"/>
                <w:sz w:val="21"/>
                <w:szCs w:val="21"/>
                <w:highlight w:val="none"/>
              </w:rPr>
              <w:t>水环境质量标准》（GB</w:t>
            </w:r>
            <w:r>
              <w:rPr>
                <w:rFonts w:hint="default" w:ascii="Times New Roman" w:hAnsi="Times New Roman" w:eastAsia="宋体" w:cs="Times New Roman"/>
                <w:snapToGrid w:val="0"/>
                <w:color w:val="FF0000"/>
                <w:sz w:val="21"/>
                <w:szCs w:val="21"/>
                <w:highlight w:val="none"/>
                <w:lang w:val="en-US" w:eastAsia="zh-CN"/>
              </w:rPr>
              <w:t>/T14848-2017</w:t>
            </w:r>
            <w:r>
              <w:rPr>
                <w:rFonts w:hint="default" w:ascii="Times New Roman" w:hAnsi="Times New Roman" w:eastAsia="宋体" w:cs="Times New Roman"/>
                <w:snapToGrid w:val="0"/>
                <w:color w:val="FF0000"/>
                <w:sz w:val="21"/>
                <w:szCs w:val="21"/>
                <w:highlight w:val="none"/>
              </w:rPr>
              <w:t>）中Ⅲ类标准</w:t>
            </w:r>
          </w:p>
        </w:tc>
      </w:tr>
      <w:tr w14:paraId="09FD19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88" w:type="pct"/>
            <w:vAlign w:val="center"/>
          </w:tcPr>
          <w:p w14:paraId="3861F32E">
            <w:pPr>
              <w:pStyle w:val="38"/>
              <w:rPr>
                <w:rFonts w:hint="default" w:ascii="Times New Roman" w:hAnsi="Times New Roman" w:eastAsia="宋体" w:cs="Times New Roman"/>
                <w:color w:val="FF0000"/>
                <w:spacing w:val="-4"/>
                <w:sz w:val="21"/>
                <w:szCs w:val="21"/>
                <w:highlight w:val="none"/>
                <w:lang w:val="en-US" w:eastAsia="zh-CN"/>
              </w:rPr>
            </w:pPr>
            <w:r>
              <w:rPr>
                <w:rFonts w:hint="default" w:ascii="Times New Roman" w:hAnsi="Times New Roman" w:eastAsia="宋体" w:cs="Times New Roman"/>
                <w:color w:val="FF0000"/>
                <w:spacing w:val="-4"/>
                <w:sz w:val="21"/>
                <w:szCs w:val="21"/>
                <w:highlight w:val="none"/>
                <w:lang w:val="en-US" w:eastAsia="zh-CN"/>
              </w:rPr>
              <w:t>康佳屯分散式供水水井</w:t>
            </w:r>
          </w:p>
        </w:tc>
        <w:tc>
          <w:tcPr>
            <w:tcW w:w="1063" w:type="pct"/>
            <w:vAlign w:val="center"/>
          </w:tcPr>
          <w:p w14:paraId="64658FD1">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N</w:t>
            </w:r>
          </w:p>
        </w:tc>
        <w:tc>
          <w:tcPr>
            <w:tcW w:w="1071" w:type="pct"/>
            <w:vAlign w:val="center"/>
          </w:tcPr>
          <w:p w14:paraId="33509E60">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720</w:t>
            </w:r>
          </w:p>
        </w:tc>
        <w:tc>
          <w:tcPr>
            <w:tcW w:w="1376" w:type="pct"/>
            <w:vMerge w:val="continue"/>
            <w:shd w:val="clear" w:color="auto" w:fill="auto"/>
            <w:vAlign w:val="center"/>
          </w:tcPr>
          <w:p w14:paraId="655B9B0A">
            <w:pPr>
              <w:pStyle w:val="38"/>
              <w:rPr>
                <w:rFonts w:hint="default" w:ascii="Times New Roman" w:hAnsi="Times New Roman" w:eastAsia="宋体" w:cs="Times New Roman"/>
                <w:snapToGrid w:val="0"/>
                <w:color w:val="FF0000"/>
                <w:sz w:val="21"/>
                <w:szCs w:val="21"/>
                <w:highlight w:val="none"/>
              </w:rPr>
            </w:pPr>
          </w:p>
        </w:tc>
      </w:tr>
    </w:tbl>
    <w:p w14:paraId="66B54C5B">
      <w:pPr>
        <w:keepNext w:val="0"/>
        <w:keepLines w:val="0"/>
        <w:pageBreakBefore w:val="0"/>
        <w:kinsoku/>
        <w:wordWrap w:val="0"/>
        <w:overflowPunct/>
        <w:topLinePunct/>
        <w:autoSpaceDE/>
        <w:autoSpaceDN/>
        <w:bidi w:val="0"/>
        <w:adjustRightInd w:val="0"/>
        <w:snapToGrid w:val="0"/>
        <w:spacing w:before="2" w:line="359" w:lineRule="auto"/>
        <w:ind w:left="37" w:right="68" w:firstLine="481"/>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本项目地下水评价范围内无集中式饮用水源地及《建设</w:t>
      </w:r>
      <w:r>
        <w:rPr>
          <w:rFonts w:hint="default" w:ascii="Times New Roman" w:hAnsi="Times New Roman" w:eastAsia="宋体" w:cs="Times New Roman"/>
          <w:color w:val="auto"/>
          <w:spacing w:val="-4"/>
          <w:sz w:val="24"/>
          <w:szCs w:val="24"/>
          <w:highlight w:val="none"/>
        </w:rPr>
        <w:t>项目环境影响评价分类管</w:t>
      </w:r>
      <w:r>
        <w:rPr>
          <w:rFonts w:hint="default" w:ascii="Times New Roman" w:hAnsi="Times New Roman" w:eastAsia="宋体" w:cs="Times New Roman"/>
          <w:color w:val="auto"/>
          <w:spacing w:val="-3"/>
          <w:sz w:val="24"/>
          <w:szCs w:val="24"/>
          <w:highlight w:val="none"/>
        </w:rPr>
        <w:t>理名录》中所界定的涉及地下水的环境敏感区。</w:t>
      </w:r>
    </w:p>
    <w:p w14:paraId="117AD884">
      <w:pPr>
        <w:keepNext w:val="0"/>
        <w:keepLines w:val="0"/>
        <w:pageBreakBefore w:val="0"/>
        <w:kinsoku/>
        <w:wordWrap w:val="0"/>
        <w:overflowPunct/>
        <w:topLinePunct/>
        <w:autoSpaceDE/>
        <w:autoSpaceDN/>
        <w:bidi w:val="0"/>
        <w:adjustRightInd w:val="0"/>
        <w:snapToGrid w:val="0"/>
        <w:spacing w:line="234" w:lineRule="auto"/>
        <w:ind w:left="524"/>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3</w:t>
      </w:r>
      <w:r>
        <w:rPr>
          <w:rFonts w:hint="default" w:ascii="Times New Roman" w:hAnsi="Times New Roman" w:eastAsia="宋体" w:cs="Times New Roman"/>
          <w:color w:val="auto"/>
          <w:spacing w:val="-3"/>
          <w:sz w:val="24"/>
          <w:szCs w:val="24"/>
          <w:highlight w:val="none"/>
        </w:rPr>
        <w:t>）声环境保护目标</w:t>
      </w:r>
    </w:p>
    <w:p w14:paraId="5197C17F">
      <w:pPr>
        <w:keepNext w:val="0"/>
        <w:keepLines w:val="0"/>
        <w:pageBreakBefore w:val="0"/>
        <w:kinsoku/>
        <w:wordWrap w:val="0"/>
        <w:overflowPunct/>
        <w:topLinePunct/>
        <w:autoSpaceDE/>
        <w:autoSpaceDN/>
        <w:bidi w:val="0"/>
        <w:adjustRightInd w:val="0"/>
        <w:snapToGrid w:val="0"/>
        <w:spacing w:before="164" w:line="349" w:lineRule="auto"/>
        <w:ind w:left="38" w:right="67" w:firstLine="483"/>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本项目评价范围内无声环境保护目标。</w:t>
      </w:r>
    </w:p>
    <w:p w14:paraId="2899A75B">
      <w:pPr>
        <w:keepNext w:val="0"/>
        <w:keepLines w:val="0"/>
        <w:pageBreakBefore w:val="0"/>
        <w:kinsoku/>
        <w:wordWrap w:val="0"/>
        <w:overflowPunct/>
        <w:topLinePunct/>
        <w:autoSpaceDE/>
        <w:autoSpaceDN/>
        <w:bidi w:val="0"/>
        <w:adjustRightInd w:val="0"/>
        <w:snapToGrid w:val="0"/>
        <w:spacing w:before="26" w:line="234" w:lineRule="auto"/>
        <w:ind w:left="524"/>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4</w:t>
      </w:r>
      <w:r>
        <w:rPr>
          <w:rFonts w:hint="default" w:ascii="Times New Roman" w:hAnsi="Times New Roman" w:eastAsia="宋体" w:cs="Times New Roman"/>
          <w:color w:val="auto"/>
          <w:spacing w:val="-3"/>
          <w:sz w:val="24"/>
          <w:szCs w:val="24"/>
          <w:highlight w:val="none"/>
        </w:rPr>
        <w:t>）土壤环境保护目标</w:t>
      </w:r>
    </w:p>
    <w:p w14:paraId="277A4D59">
      <w:pPr>
        <w:keepNext w:val="0"/>
        <w:keepLines w:val="0"/>
        <w:pageBreakBefore w:val="0"/>
        <w:kinsoku/>
        <w:wordWrap w:val="0"/>
        <w:overflowPunct/>
        <w:topLinePunct/>
        <w:autoSpaceDE/>
        <w:autoSpaceDN/>
        <w:bidi w:val="0"/>
        <w:adjustRightInd w:val="0"/>
        <w:snapToGrid w:val="0"/>
        <w:spacing w:before="161" w:line="233" w:lineRule="auto"/>
        <w:ind w:left="519"/>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本项目土壤环境保护目标见表</w:t>
      </w:r>
      <w:r>
        <w:rPr>
          <w:rFonts w:hint="default" w:ascii="Times New Roman" w:hAnsi="Times New Roman" w:eastAsia="Times New Roman" w:cs="Times New Roman"/>
          <w:color w:val="auto"/>
          <w:spacing w:val="-1"/>
          <w:sz w:val="24"/>
          <w:szCs w:val="24"/>
          <w:highlight w:val="none"/>
        </w:rPr>
        <w:t>2.7-</w:t>
      </w:r>
      <w:r>
        <w:rPr>
          <w:rFonts w:hint="default" w:ascii="Times New Roman" w:hAnsi="Times New Roman" w:eastAsia="宋体" w:cs="Times New Roman"/>
          <w:color w:val="auto"/>
          <w:spacing w:val="-1"/>
          <w:sz w:val="24"/>
          <w:szCs w:val="24"/>
          <w:highlight w:val="none"/>
          <w:lang w:val="en-US" w:eastAsia="zh-CN"/>
        </w:rPr>
        <w:t>4</w:t>
      </w:r>
      <w:r>
        <w:rPr>
          <w:rFonts w:hint="default" w:ascii="Times New Roman" w:hAnsi="Times New Roman" w:eastAsia="宋体" w:cs="Times New Roman"/>
          <w:color w:val="auto"/>
          <w:spacing w:val="-1"/>
          <w:sz w:val="24"/>
          <w:szCs w:val="24"/>
          <w:highlight w:val="none"/>
        </w:rPr>
        <w:t>。</w:t>
      </w:r>
    </w:p>
    <w:p w14:paraId="0869DA38">
      <w:pPr>
        <w:keepNext w:val="0"/>
        <w:keepLines w:val="0"/>
        <w:pageBreakBefore w:val="0"/>
        <w:widowControl/>
        <w:kinsoku/>
        <w:wordWrap w:val="0"/>
        <w:overflowPunct/>
        <w:topLinePunct/>
        <w:autoSpaceDE/>
        <w:autoSpaceDN/>
        <w:bidi w:val="0"/>
        <w:adjustRightInd w:val="0"/>
        <w:snapToGrid w:val="0"/>
        <w:spacing w:before="100" w:line="233" w:lineRule="auto"/>
        <w:ind w:left="2081"/>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2.7-</w:t>
      </w:r>
      <w:r>
        <w:rPr>
          <w:rFonts w:hint="default"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宋体" w:cs="Times New Roman"/>
          <w:b/>
          <w:bCs/>
          <w:color w:val="auto"/>
          <w:spacing w:val="-1"/>
          <w:sz w:val="24"/>
          <w:szCs w:val="24"/>
          <w:highlight w:val="none"/>
        </w:rPr>
        <w:t>本项目土壤环境保护目标情况统计表</w:t>
      </w:r>
    </w:p>
    <w:tbl>
      <w:tblPr>
        <w:tblStyle w:val="34"/>
        <w:tblW w:w="881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4"/>
        <w:gridCol w:w="605"/>
        <w:gridCol w:w="1631"/>
        <w:gridCol w:w="906"/>
        <w:gridCol w:w="3183"/>
        <w:gridCol w:w="891"/>
        <w:gridCol w:w="989"/>
      </w:tblGrid>
      <w:tr w14:paraId="37CE79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14" w:type="dxa"/>
            <w:tcBorders>
              <w:top w:val="single" w:color="000000" w:sz="10" w:space="0"/>
              <w:left w:val="nil"/>
            </w:tcBorders>
            <w:vAlign w:val="center"/>
          </w:tcPr>
          <w:p w14:paraId="3E8FBE59">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环境要素</w:t>
            </w:r>
          </w:p>
        </w:tc>
        <w:tc>
          <w:tcPr>
            <w:tcW w:w="605" w:type="dxa"/>
            <w:tcBorders>
              <w:top w:val="single" w:color="000000" w:sz="10" w:space="0"/>
            </w:tcBorders>
            <w:vAlign w:val="center"/>
          </w:tcPr>
          <w:p w14:paraId="5E7A2532">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序号</w:t>
            </w:r>
          </w:p>
        </w:tc>
        <w:tc>
          <w:tcPr>
            <w:tcW w:w="1631" w:type="dxa"/>
            <w:tcBorders>
              <w:top w:val="single" w:color="000000" w:sz="10" w:space="0"/>
            </w:tcBorders>
            <w:vAlign w:val="center"/>
          </w:tcPr>
          <w:p w14:paraId="6C51EBC1">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保护对象</w:t>
            </w:r>
          </w:p>
        </w:tc>
        <w:tc>
          <w:tcPr>
            <w:tcW w:w="906" w:type="dxa"/>
            <w:tcBorders>
              <w:top w:val="single" w:color="000000" w:sz="10" w:space="0"/>
            </w:tcBorders>
            <w:vAlign w:val="center"/>
          </w:tcPr>
          <w:p w14:paraId="2F1C0369">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保护</w:t>
            </w:r>
            <w:r>
              <w:rPr>
                <w:rFonts w:hint="default" w:ascii="Times New Roman" w:hAnsi="Times New Roman" w:cs="Times New Roman"/>
                <w:color w:val="auto"/>
                <w:spacing w:val="-8"/>
                <w:highlight w:val="none"/>
              </w:rPr>
              <w:t>内容</w:t>
            </w:r>
          </w:p>
        </w:tc>
        <w:tc>
          <w:tcPr>
            <w:tcW w:w="3183" w:type="dxa"/>
            <w:tcBorders>
              <w:top w:val="single" w:color="000000" w:sz="10" w:space="0"/>
            </w:tcBorders>
            <w:vAlign w:val="center"/>
          </w:tcPr>
          <w:p w14:paraId="76E2BB4E">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环境功能区</w:t>
            </w:r>
          </w:p>
        </w:tc>
        <w:tc>
          <w:tcPr>
            <w:tcW w:w="891" w:type="dxa"/>
            <w:tcBorders>
              <w:top w:val="single" w:color="000000" w:sz="10" w:space="0"/>
            </w:tcBorders>
            <w:vAlign w:val="center"/>
          </w:tcPr>
          <w:p w14:paraId="2193FBBD">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相对厂址方位</w:t>
            </w:r>
          </w:p>
        </w:tc>
        <w:tc>
          <w:tcPr>
            <w:tcW w:w="989" w:type="dxa"/>
            <w:tcBorders>
              <w:top w:val="single" w:color="000000" w:sz="10" w:space="0"/>
              <w:right w:val="nil"/>
            </w:tcBorders>
            <w:vAlign w:val="center"/>
          </w:tcPr>
          <w:p w14:paraId="24F8F03B">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相对厂界距离</w:t>
            </w:r>
            <w:r>
              <w:rPr>
                <w:rFonts w:hint="default" w:ascii="Times New Roman" w:hAnsi="Times New Roman" w:eastAsia="Times New Roman" w:cs="Times New Roman"/>
                <w:color w:val="auto"/>
                <w:spacing w:val="-2"/>
                <w:highlight w:val="none"/>
              </w:rPr>
              <w:t>/m</w:t>
            </w:r>
          </w:p>
        </w:tc>
      </w:tr>
      <w:tr w14:paraId="1832E5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14" w:type="dxa"/>
            <w:vMerge w:val="restart"/>
            <w:tcBorders>
              <w:left w:val="nil"/>
            </w:tcBorders>
            <w:vAlign w:val="center"/>
          </w:tcPr>
          <w:p w14:paraId="6A55DA59">
            <w:pPr>
              <w:keepNext w:val="0"/>
              <w:keepLines w:val="0"/>
              <w:pageBreakBefore w:val="0"/>
              <w:widowControl/>
              <w:kinsoku/>
              <w:wordWrap w:val="0"/>
              <w:overflowPunct/>
              <w:topLinePunct/>
              <w:autoSpaceDE/>
              <w:autoSpaceDN/>
              <w:bidi w:val="0"/>
              <w:adjustRightInd w:val="0"/>
              <w:snapToGrid w:val="0"/>
              <w:spacing w:line="240" w:lineRule="auto"/>
              <w:jc w:val="left"/>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土壤环境</w:t>
            </w:r>
          </w:p>
        </w:tc>
        <w:tc>
          <w:tcPr>
            <w:tcW w:w="605" w:type="dxa"/>
            <w:tcBorders>
              <w:bottom w:val="single" w:color="auto" w:sz="4" w:space="0"/>
            </w:tcBorders>
            <w:vAlign w:val="center"/>
          </w:tcPr>
          <w:p w14:paraId="11F7BB0F">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p>
        </w:tc>
        <w:tc>
          <w:tcPr>
            <w:tcW w:w="1631" w:type="dxa"/>
            <w:vMerge w:val="restart"/>
            <w:tcBorders>
              <w:top w:val="single" w:color="auto" w:sz="4" w:space="0"/>
            </w:tcBorders>
            <w:vAlign w:val="center"/>
          </w:tcPr>
          <w:p w14:paraId="68518C91">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本项目场址占地范围内及占地范围外0.05km范围内</w:t>
            </w:r>
            <w:r>
              <w:rPr>
                <w:rFonts w:hint="default" w:ascii="Times New Roman" w:hAnsi="Times New Roman" w:cs="Times New Roman"/>
                <w:color w:val="auto"/>
                <w:highlight w:val="none"/>
                <w:lang w:eastAsia="zh-CN"/>
              </w:rPr>
              <w:t>耕地</w:t>
            </w:r>
          </w:p>
        </w:tc>
        <w:tc>
          <w:tcPr>
            <w:tcW w:w="906" w:type="dxa"/>
            <w:vMerge w:val="restart"/>
            <w:vAlign w:val="center"/>
          </w:tcPr>
          <w:p w14:paraId="44AD99E5">
            <w:pPr>
              <w:keepNext w:val="0"/>
              <w:keepLines w:val="0"/>
              <w:pageBreakBefore w:val="0"/>
              <w:widowControl/>
              <w:kinsoku/>
              <w:wordWrap w:val="0"/>
              <w:overflowPunct/>
              <w:topLinePunct/>
              <w:autoSpaceDE/>
              <w:autoSpaceDN/>
              <w:bidi w:val="0"/>
              <w:adjustRightInd w:val="0"/>
              <w:snapToGrid w:val="0"/>
              <w:spacing w:line="240" w:lineRule="auto"/>
              <w:jc w:val="left"/>
              <w:textAlignment w:val="baseline"/>
              <w:rPr>
                <w:rFonts w:hint="default" w:ascii="Times New Roman" w:hAnsi="Times New Roman" w:cs="Times New Roman"/>
                <w:color w:val="auto"/>
                <w:sz w:val="21"/>
                <w:highlight w:val="none"/>
              </w:rPr>
            </w:pPr>
            <w:r>
              <w:rPr>
                <w:rFonts w:hint="default" w:ascii="Times New Roman" w:hAnsi="Times New Roman" w:eastAsia="宋体" w:cs="Times New Roman"/>
                <w:color w:val="auto"/>
                <w:sz w:val="21"/>
                <w:highlight w:val="none"/>
                <w:lang w:val="en-US" w:eastAsia="zh-CN"/>
              </w:rPr>
              <w:t>土壤环境</w:t>
            </w:r>
          </w:p>
        </w:tc>
        <w:tc>
          <w:tcPr>
            <w:tcW w:w="3183" w:type="dxa"/>
            <w:vMerge w:val="restart"/>
            <w:vAlign w:val="center"/>
          </w:tcPr>
          <w:p w14:paraId="6EAEDE92">
            <w:pPr>
              <w:pStyle w:val="35"/>
              <w:keepNext w:val="0"/>
              <w:keepLines w:val="0"/>
              <w:pageBreakBefore w:val="0"/>
              <w:widowControl/>
              <w:kinsoku/>
              <w:wordWrap w:val="0"/>
              <w:overflowPunct/>
              <w:topLinePunct/>
              <w:autoSpaceDE/>
              <w:autoSpaceDN/>
              <w:bidi w:val="0"/>
              <w:adjustRightInd w:val="0"/>
              <w:snapToGrid w:val="0"/>
              <w:spacing w:line="240" w:lineRule="auto"/>
              <w:ind w:right="99"/>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《土壤环境质量农用地土壤污染风险管控标准（试行）》（</w:t>
            </w:r>
            <w:r>
              <w:rPr>
                <w:rFonts w:hint="default" w:ascii="Times New Roman" w:hAnsi="Times New Roman" w:eastAsia="Times New Roman" w:cs="Times New Roman"/>
                <w:color w:val="auto"/>
                <w:spacing w:val="-1"/>
                <w:highlight w:val="none"/>
              </w:rPr>
              <w:t>GB15618-2018</w:t>
            </w:r>
            <w:r>
              <w:rPr>
                <w:rFonts w:hint="default" w:ascii="Times New Roman" w:hAnsi="Times New Roman" w:cs="Times New Roman"/>
                <w:color w:val="auto"/>
                <w:spacing w:val="-1"/>
                <w:highlight w:val="none"/>
              </w:rPr>
              <w:t>）风险筛选值</w:t>
            </w:r>
          </w:p>
        </w:tc>
        <w:tc>
          <w:tcPr>
            <w:tcW w:w="891" w:type="dxa"/>
            <w:vAlign w:val="center"/>
          </w:tcPr>
          <w:p w14:paraId="2D8E1576">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S</w:t>
            </w:r>
          </w:p>
        </w:tc>
        <w:tc>
          <w:tcPr>
            <w:tcW w:w="989" w:type="dxa"/>
            <w:tcBorders>
              <w:right w:val="nil"/>
            </w:tcBorders>
            <w:vAlign w:val="center"/>
          </w:tcPr>
          <w:p w14:paraId="6C9E2E89">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紧邻</w:t>
            </w:r>
          </w:p>
        </w:tc>
      </w:tr>
      <w:tr w14:paraId="5FFDFE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14" w:type="dxa"/>
            <w:vMerge w:val="continue"/>
            <w:tcBorders>
              <w:left w:val="nil"/>
            </w:tcBorders>
            <w:vAlign w:val="center"/>
          </w:tcPr>
          <w:p w14:paraId="383A90A1">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605" w:type="dxa"/>
            <w:tcBorders>
              <w:top w:val="single" w:color="auto" w:sz="4" w:space="0"/>
              <w:bottom w:val="single" w:color="auto" w:sz="4" w:space="0"/>
            </w:tcBorders>
            <w:vAlign w:val="center"/>
          </w:tcPr>
          <w:p w14:paraId="11F04090">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2</w:t>
            </w:r>
          </w:p>
        </w:tc>
        <w:tc>
          <w:tcPr>
            <w:tcW w:w="1631" w:type="dxa"/>
            <w:vMerge w:val="continue"/>
            <w:vAlign w:val="center"/>
          </w:tcPr>
          <w:p w14:paraId="565CA775">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906" w:type="dxa"/>
            <w:vMerge w:val="continue"/>
            <w:vAlign w:val="center"/>
          </w:tcPr>
          <w:p w14:paraId="63E56052">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3183" w:type="dxa"/>
            <w:vMerge w:val="continue"/>
            <w:vAlign w:val="center"/>
          </w:tcPr>
          <w:p w14:paraId="2B3F5D87">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891" w:type="dxa"/>
            <w:vAlign w:val="center"/>
          </w:tcPr>
          <w:p w14:paraId="5194DF0F">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E</w:t>
            </w:r>
          </w:p>
        </w:tc>
        <w:tc>
          <w:tcPr>
            <w:tcW w:w="989" w:type="dxa"/>
            <w:tcBorders>
              <w:right w:val="nil"/>
            </w:tcBorders>
            <w:vAlign w:val="center"/>
          </w:tcPr>
          <w:p w14:paraId="1FF7BC98">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紧邻</w:t>
            </w:r>
          </w:p>
        </w:tc>
      </w:tr>
      <w:tr w14:paraId="66A66E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14" w:type="dxa"/>
            <w:vMerge w:val="continue"/>
            <w:tcBorders>
              <w:left w:val="nil"/>
            </w:tcBorders>
            <w:vAlign w:val="center"/>
          </w:tcPr>
          <w:p w14:paraId="7E1ECAB3">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605" w:type="dxa"/>
            <w:tcBorders>
              <w:top w:val="single" w:color="auto" w:sz="4" w:space="0"/>
              <w:bottom w:val="single" w:color="auto" w:sz="4" w:space="0"/>
            </w:tcBorders>
            <w:vAlign w:val="center"/>
          </w:tcPr>
          <w:p w14:paraId="78759946">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3</w:t>
            </w:r>
          </w:p>
        </w:tc>
        <w:tc>
          <w:tcPr>
            <w:tcW w:w="1631" w:type="dxa"/>
            <w:vMerge w:val="continue"/>
            <w:vAlign w:val="center"/>
          </w:tcPr>
          <w:p w14:paraId="49B6E1D6">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906" w:type="dxa"/>
            <w:vMerge w:val="continue"/>
            <w:vAlign w:val="center"/>
          </w:tcPr>
          <w:p w14:paraId="775F0977">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3183" w:type="dxa"/>
            <w:vMerge w:val="continue"/>
            <w:vAlign w:val="center"/>
          </w:tcPr>
          <w:p w14:paraId="73E1229C">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891" w:type="dxa"/>
            <w:vAlign w:val="center"/>
          </w:tcPr>
          <w:p w14:paraId="0AA2DE50">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N</w:t>
            </w:r>
          </w:p>
        </w:tc>
        <w:tc>
          <w:tcPr>
            <w:tcW w:w="989" w:type="dxa"/>
            <w:tcBorders>
              <w:right w:val="nil"/>
            </w:tcBorders>
            <w:vAlign w:val="center"/>
          </w:tcPr>
          <w:p w14:paraId="55FAA2FB">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spacing w:val="-3"/>
                <w:highlight w:val="none"/>
              </w:rPr>
            </w:pPr>
            <w:r>
              <w:rPr>
                <w:rFonts w:hint="default" w:ascii="Times New Roman" w:hAnsi="Times New Roman" w:cs="Times New Roman"/>
                <w:color w:val="auto"/>
                <w:spacing w:val="-3"/>
                <w:highlight w:val="none"/>
              </w:rPr>
              <w:t>紧邻</w:t>
            </w:r>
          </w:p>
        </w:tc>
      </w:tr>
      <w:tr w14:paraId="122E6E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14" w:type="dxa"/>
            <w:vMerge w:val="continue"/>
            <w:tcBorders>
              <w:left w:val="nil"/>
              <w:bottom w:val="single" w:color="000000" w:sz="10" w:space="0"/>
            </w:tcBorders>
            <w:vAlign w:val="center"/>
          </w:tcPr>
          <w:p w14:paraId="0C8CCA0D">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605" w:type="dxa"/>
            <w:tcBorders>
              <w:top w:val="single" w:color="auto" w:sz="4" w:space="0"/>
              <w:bottom w:val="single" w:color="000000" w:sz="10" w:space="0"/>
            </w:tcBorders>
            <w:vAlign w:val="center"/>
          </w:tcPr>
          <w:p w14:paraId="1F8FDBB2">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4</w:t>
            </w:r>
          </w:p>
        </w:tc>
        <w:tc>
          <w:tcPr>
            <w:tcW w:w="1631" w:type="dxa"/>
            <w:vMerge w:val="continue"/>
            <w:tcBorders>
              <w:bottom w:val="single" w:color="000000" w:sz="10" w:space="0"/>
            </w:tcBorders>
            <w:vAlign w:val="center"/>
          </w:tcPr>
          <w:p w14:paraId="37BEFE6D">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906" w:type="dxa"/>
            <w:vMerge w:val="continue"/>
            <w:tcBorders>
              <w:bottom w:val="single" w:color="000000" w:sz="10" w:space="0"/>
            </w:tcBorders>
            <w:vAlign w:val="center"/>
          </w:tcPr>
          <w:p w14:paraId="7DF69491">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3183" w:type="dxa"/>
            <w:vMerge w:val="continue"/>
            <w:tcBorders>
              <w:bottom w:val="single" w:color="000000" w:sz="10" w:space="0"/>
            </w:tcBorders>
            <w:vAlign w:val="center"/>
          </w:tcPr>
          <w:p w14:paraId="61C7AD36">
            <w:pPr>
              <w:keepNext w:val="0"/>
              <w:keepLines w:val="0"/>
              <w:pageBreakBefore w:val="0"/>
              <w:widowControl/>
              <w:kinsoku/>
              <w:wordWrap w:val="0"/>
              <w:overflowPunct/>
              <w:topLinePunct/>
              <w:autoSpaceDE/>
              <w:autoSpaceDN/>
              <w:bidi w:val="0"/>
              <w:adjustRightInd w:val="0"/>
              <w:snapToGrid w:val="0"/>
              <w:spacing w:line="240" w:lineRule="auto"/>
              <w:ind w:firstLine="420" w:firstLineChars="200"/>
              <w:jc w:val="center"/>
              <w:textAlignment w:val="baseline"/>
              <w:rPr>
                <w:rFonts w:hint="default" w:ascii="Times New Roman" w:hAnsi="Times New Roman" w:cs="Times New Roman"/>
                <w:color w:val="auto"/>
                <w:sz w:val="21"/>
                <w:highlight w:val="none"/>
              </w:rPr>
            </w:pPr>
          </w:p>
        </w:tc>
        <w:tc>
          <w:tcPr>
            <w:tcW w:w="891" w:type="dxa"/>
            <w:tcBorders>
              <w:bottom w:val="single" w:color="000000" w:sz="10" w:space="0"/>
            </w:tcBorders>
            <w:vAlign w:val="center"/>
          </w:tcPr>
          <w:p w14:paraId="36AF98F3">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w:t>
            </w:r>
          </w:p>
        </w:tc>
        <w:tc>
          <w:tcPr>
            <w:tcW w:w="989" w:type="dxa"/>
            <w:tcBorders>
              <w:bottom w:val="single" w:color="000000" w:sz="10" w:space="0"/>
              <w:right w:val="nil"/>
            </w:tcBorders>
            <w:vAlign w:val="center"/>
          </w:tcPr>
          <w:p w14:paraId="5A15B0D2">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spacing w:val="-3"/>
                <w:highlight w:val="none"/>
              </w:rPr>
            </w:pPr>
            <w:r>
              <w:rPr>
                <w:rFonts w:hint="default" w:ascii="Times New Roman" w:hAnsi="Times New Roman" w:cs="Times New Roman"/>
                <w:color w:val="auto"/>
                <w:spacing w:val="-3"/>
                <w:highlight w:val="none"/>
              </w:rPr>
              <w:t>紧邻</w:t>
            </w:r>
          </w:p>
        </w:tc>
      </w:tr>
    </w:tbl>
    <w:p w14:paraId="5AAD1BBB">
      <w:pPr>
        <w:keepNext w:val="0"/>
        <w:keepLines w:val="0"/>
        <w:pageBreakBefore w:val="0"/>
        <w:numPr>
          <w:ilvl w:val="0"/>
          <w:numId w:val="0"/>
        </w:numPr>
        <w:kinsoku/>
        <w:wordWrap w:val="0"/>
        <w:overflowPunct/>
        <w:topLinePunct/>
        <w:autoSpaceDE/>
        <w:autoSpaceDN/>
        <w:bidi w:val="0"/>
        <w:adjustRightInd w:val="0"/>
        <w:snapToGrid w:val="0"/>
        <w:spacing w:before="46" w:line="361" w:lineRule="auto"/>
        <w:ind w:firstLine="479" w:firstLineChars="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snapToGrid w:val="0"/>
          <w:color w:val="auto"/>
          <w:spacing w:val="-3"/>
          <w:kern w:val="0"/>
          <w:sz w:val="24"/>
          <w:szCs w:val="24"/>
          <w:highlight w:val="none"/>
          <w:lang w:val="en-US" w:eastAsia="en-US" w:bidi="ar-SA"/>
        </w:rPr>
        <w:t>（5）</w:t>
      </w:r>
      <w:r>
        <w:rPr>
          <w:rFonts w:hint="default" w:ascii="Times New Roman" w:hAnsi="Times New Roman" w:eastAsia="宋体" w:cs="Times New Roman"/>
          <w:color w:val="auto"/>
          <w:spacing w:val="-3"/>
          <w:sz w:val="24"/>
          <w:szCs w:val="24"/>
          <w:highlight w:val="none"/>
        </w:rPr>
        <w:t>生态环境保护目标</w:t>
      </w:r>
    </w:p>
    <w:p w14:paraId="2FC89A85">
      <w:pPr>
        <w:keepNext w:val="0"/>
        <w:keepLines w:val="0"/>
        <w:pageBreakBefore w:val="0"/>
        <w:numPr>
          <w:ilvl w:val="0"/>
          <w:numId w:val="0"/>
        </w:numPr>
        <w:kinsoku/>
        <w:wordWrap w:val="0"/>
        <w:overflowPunct/>
        <w:topLinePunct/>
        <w:autoSpaceDE/>
        <w:autoSpaceDN/>
        <w:bidi w:val="0"/>
        <w:adjustRightInd w:val="0"/>
        <w:snapToGrid w:val="0"/>
        <w:spacing w:before="46" w:line="361" w:lineRule="auto"/>
        <w:ind w:firstLine="476"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1"/>
          <w:sz w:val="24"/>
          <w:szCs w:val="24"/>
          <w:highlight w:val="none"/>
        </w:rPr>
        <w:t>根据调查，本项目周边不涉及重要物种、生态敏感区以及其他需要保护的物种、</w:t>
      </w:r>
      <w:r>
        <w:rPr>
          <w:rFonts w:hint="default" w:ascii="Times New Roman" w:hAnsi="Times New Roman" w:eastAsia="宋体" w:cs="Times New Roman"/>
          <w:color w:val="auto"/>
          <w:spacing w:val="-3"/>
          <w:sz w:val="24"/>
          <w:szCs w:val="24"/>
          <w:highlight w:val="none"/>
        </w:rPr>
        <w:t>种群、生物群落及生态空间等。</w:t>
      </w:r>
      <w:bookmarkStart w:id="93" w:name="_Toc1807"/>
      <w:bookmarkStart w:id="94" w:name="_Toc31745"/>
    </w:p>
    <w:p w14:paraId="6624B25A">
      <w:pPr>
        <w:keepNext w:val="0"/>
        <w:keepLines w:val="0"/>
        <w:pageBreakBefore w:val="0"/>
        <w:widowControl/>
        <w:kinsoku/>
        <w:wordWrap w:val="0"/>
        <w:overflowPunct/>
        <w:topLinePunct/>
        <w:autoSpaceDE/>
        <w:autoSpaceDN/>
        <w:bidi w:val="0"/>
        <w:adjustRightInd w:val="0"/>
        <w:snapToGrid w:val="0"/>
        <w:spacing w:line="360" w:lineRule="auto"/>
        <w:ind w:left="11"/>
        <w:textAlignment w:val="baseline"/>
        <w:outlineLvl w:val="1"/>
        <w:rPr>
          <w:rFonts w:hint="default" w:ascii="Times New Roman" w:hAnsi="Times New Roman" w:eastAsia="Times New Roman" w:cs="Times New Roman"/>
          <w:b/>
          <w:bCs/>
          <w:color w:val="auto"/>
          <w:spacing w:val="-5"/>
          <w:sz w:val="28"/>
          <w:szCs w:val="28"/>
          <w:highlight w:val="none"/>
        </w:rPr>
      </w:pPr>
      <w:bookmarkStart w:id="95" w:name="_Toc12372"/>
      <w:bookmarkStart w:id="96" w:name="_Toc169251757"/>
      <w:r>
        <w:rPr>
          <w:rFonts w:hint="default" w:ascii="Times New Roman" w:hAnsi="Times New Roman" w:eastAsia="Times New Roman" w:cs="Times New Roman"/>
          <w:b/>
          <w:bCs/>
          <w:color w:val="auto"/>
          <w:spacing w:val="-5"/>
          <w:sz w:val="28"/>
          <w:szCs w:val="28"/>
          <w:highlight w:val="none"/>
          <w:lang w:val="en-US" w:eastAsia="zh-CN"/>
        </w:rPr>
        <w:t>2.8污染物排放标准</w:t>
      </w:r>
      <w:bookmarkEnd w:id="95"/>
      <w:bookmarkEnd w:id="96"/>
    </w:p>
    <w:p w14:paraId="5B15B4D3">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9"/>
        <w:rPr>
          <w:rFonts w:hint="default" w:ascii="Times New Roman" w:hAnsi="Times New Roman" w:eastAsia="宋体" w:cs="Times New Roman"/>
          <w:b w:val="0"/>
          <w:bCs w:val="0"/>
          <w:color w:val="auto"/>
          <w:spacing w:val="-2"/>
          <w:sz w:val="24"/>
          <w:szCs w:val="24"/>
          <w:highlight w:val="none"/>
          <w:lang w:val="en-US" w:eastAsia="zh-CN"/>
        </w:rPr>
      </w:pPr>
      <w:r>
        <w:rPr>
          <w:rFonts w:hint="default" w:ascii="Times New Roman" w:hAnsi="Times New Roman" w:eastAsia="宋体" w:cs="Times New Roman"/>
          <w:b w:val="0"/>
          <w:bCs w:val="0"/>
          <w:color w:val="auto"/>
          <w:spacing w:val="-2"/>
          <w:sz w:val="24"/>
          <w:szCs w:val="24"/>
          <w:highlight w:val="none"/>
          <w:lang w:val="en-US" w:eastAsia="zh-CN"/>
        </w:rPr>
        <w:t>（1）大气污染物</w:t>
      </w:r>
    </w:p>
    <w:p w14:paraId="3544BF3D">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0"/>
          <w:sz w:val="24"/>
          <w:szCs w:val="24"/>
          <w:highlight w:val="none"/>
        </w:rPr>
        <w:fldChar w:fldCharType="begin"/>
      </w:r>
      <w:r>
        <w:rPr>
          <w:rFonts w:hint="default" w:ascii="Times New Roman" w:hAnsi="Times New Roman" w:eastAsia="宋体" w:cs="Times New Roman"/>
          <w:color w:val="auto"/>
          <w:kern w:val="0"/>
          <w:sz w:val="24"/>
          <w:szCs w:val="24"/>
          <w:highlight w:val="none"/>
        </w:rPr>
        <w:instrText xml:space="preserve"> = 1 \* GB3 </w:instrText>
      </w:r>
      <w:r>
        <w:rPr>
          <w:rFonts w:hint="default" w:ascii="Times New Roman" w:hAnsi="Times New Roman" w:eastAsia="宋体" w:cs="Times New Roman"/>
          <w:color w:val="auto"/>
          <w:kern w:val="0"/>
          <w:sz w:val="24"/>
          <w:szCs w:val="24"/>
          <w:highlight w:val="none"/>
        </w:rPr>
        <w:fldChar w:fldCharType="separate"/>
      </w:r>
      <w:r>
        <w:rPr>
          <w:rFonts w:hint="default" w:ascii="Times New Roman" w:hAnsi="Times New Roman" w:eastAsia="宋体" w:cs="Times New Roman"/>
          <w:color w:val="auto"/>
          <w:kern w:val="0"/>
          <w:sz w:val="24"/>
          <w:szCs w:val="24"/>
          <w:highlight w:val="none"/>
        </w:rPr>
        <w:t>①</w:t>
      </w:r>
      <w:r>
        <w:rPr>
          <w:rFonts w:hint="default" w:ascii="Times New Roman" w:hAnsi="Times New Roman" w:eastAsia="宋体" w:cs="Times New Roman"/>
          <w:color w:val="auto"/>
          <w:kern w:val="0"/>
          <w:sz w:val="24"/>
          <w:szCs w:val="24"/>
          <w:highlight w:val="none"/>
        </w:rPr>
        <w:fldChar w:fldCharType="end"/>
      </w:r>
      <w:r>
        <w:rPr>
          <w:rFonts w:hint="default" w:ascii="Times New Roman" w:hAnsi="Times New Roman" w:eastAsia="宋体" w:cs="Times New Roman"/>
          <w:color w:val="auto"/>
          <w:sz w:val="24"/>
          <w:szCs w:val="24"/>
          <w:highlight w:val="none"/>
        </w:rPr>
        <w:t>施工期</w:t>
      </w:r>
    </w:p>
    <w:p w14:paraId="2B953A08">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项目施工期施工场地扬尘排放执行《大气污染物综合排放标准》（GB16297-1996）表2中无组织排放监控浓度限值（周界外浓度最高点≤1.0mg/m</w:t>
      </w:r>
      <w:r>
        <w:rPr>
          <w:rFonts w:hint="default" w:ascii="Times New Roman" w:hAnsi="Times New Roman" w:eastAsia="宋体" w:cs="Times New Roman"/>
          <w:color w:val="auto"/>
          <w:kern w:val="0"/>
          <w:sz w:val="24"/>
          <w:szCs w:val="24"/>
          <w:highlight w:val="none"/>
          <w:vertAlign w:val="superscript"/>
        </w:rPr>
        <w:t>3</w:t>
      </w:r>
      <w:r>
        <w:rPr>
          <w:rFonts w:hint="default" w:ascii="Times New Roman" w:hAnsi="Times New Roman" w:eastAsia="宋体" w:cs="Times New Roman"/>
          <w:color w:val="auto"/>
          <w:kern w:val="0"/>
          <w:sz w:val="24"/>
          <w:szCs w:val="24"/>
          <w:highlight w:val="none"/>
        </w:rPr>
        <w:t>）。</w:t>
      </w:r>
    </w:p>
    <w:p w14:paraId="07251C18">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2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②</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运营期</w:t>
      </w:r>
    </w:p>
    <w:p w14:paraId="35CA9EBC">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项目运营期养殖场恶臭污染物中</w:t>
      </w:r>
      <w:r>
        <w:rPr>
          <w:rFonts w:hint="default" w:ascii="Times New Roman" w:hAnsi="Times New Roman" w:eastAsia="宋体" w:cs="Times New Roman"/>
          <w:color w:val="auto"/>
          <w:kern w:val="0"/>
          <w:sz w:val="24"/>
          <w:szCs w:val="24"/>
          <w:highlight w:val="green"/>
          <w:lang w:val="zh-CN" w:eastAsia="en-US"/>
        </w:rPr>
        <w:t>臭气浓度</w:t>
      </w:r>
      <w:r>
        <w:rPr>
          <w:rFonts w:hint="eastAsia" w:ascii="Times New Roman" w:hAnsi="Times New Roman" w:eastAsia="宋体" w:cs="Times New Roman"/>
          <w:color w:val="auto"/>
          <w:kern w:val="0"/>
          <w:sz w:val="24"/>
          <w:szCs w:val="24"/>
          <w:highlight w:val="green"/>
          <w:lang w:val="zh-CN" w:eastAsia="en-US"/>
        </w:rPr>
        <w:t>、</w:t>
      </w:r>
      <w:r>
        <w:rPr>
          <w:rFonts w:hint="default" w:ascii="Times New Roman" w:hAnsi="Times New Roman" w:eastAsia="宋体" w:cs="Times New Roman"/>
          <w:color w:val="auto"/>
          <w:kern w:val="0"/>
          <w:sz w:val="24"/>
          <w:szCs w:val="24"/>
          <w:highlight w:val="none"/>
          <w:lang w:val="zh-CN"/>
        </w:rPr>
        <w:t>H</w:t>
      </w:r>
      <w:r>
        <w:rPr>
          <w:rFonts w:hint="default" w:ascii="Times New Roman" w:hAnsi="Times New Roman" w:eastAsia="宋体" w:cs="Times New Roman"/>
          <w:color w:val="auto"/>
          <w:kern w:val="0"/>
          <w:sz w:val="24"/>
          <w:szCs w:val="24"/>
          <w:highlight w:val="none"/>
          <w:vertAlign w:val="subscript"/>
          <w:lang w:val="zh-CN"/>
        </w:rPr>
        <w:t>2</w:t>
      </w:r>
      <w:r>
        <w:rPr>
          <w:rFonts w:hint="default" w:ascii="Times New Roman" w:hAnsi="Times New Roman" w:eastAsia="宋体" w:cs="Times New Roman"/>
          <w:color w:val="auto"/>
          <w:kern w:val="0"/>
          <w:sz w:val="24"/>
          <w:szCs w:val="24"/>
          <w:highlight w:val="none"/>
          <w:lang w:val="zh-CN"/>
        </w:rPr>
        <w:t>S、NH</w:t>
      </w:r>
      <w:r>
        <w:rPr>
          <w:rFonts w:hint="default" w:ascii="Times New Roman" w:hAnsi="Times New Roman" w:eastAsia="宋体" w:cs="Times New Roman"/>
          <w:color w:val="auto"/>
          <w:kern w:val="0"/>
          <w:sz w:val="24"/>
          <w:szCs w:val="24"/>
          <w:highlight w:val="none"/>
          <w:vertAlign w:val="subscript"/>
          <w:lang w:val="zh-CN"/>
        </w:rPr>
        <w:t>3</w:t>
      </w:r>
      <w:r>
        <w:rPr>
          <w:rFonts w:hint="default" w:ascii="Times New Roman" w:hAnsi="Times New Roman" w:eastAsia="宋体" w:cs="Times New Roman"/>
          <w:color w:val="auto"/>
          <w:kern w:val="0"/>
          <w:sz w:val="24"/>
          <w:szCs w:val="24"/>
          <w:highlight w:val="none"/>
          <w:lang w:val="zh-CN"/>
        </w:rPr>
        <w:t>在厂界浓度执行《恶臭污染物排放标准》（GB14554-93）表1中二级新改扩建标准</w:t>
      </w:r>
      <w:r>
        <w:rPr>
          <w:rFonts w:hint="default" w:ascii="Times New Roman" w:hAnsi="Times New Roman" w:eastAsia="宋体" w:cs="Times New Roman"/>
          <w:color w:val="auto"/>
          <w:kern w:val="0"/>
          <w:sz w:val="24"/>
          <w:szCs w:val="24"/>
          <w:highlight w:val="none"/>
        </w:rPr>
        <w:t>。</w:t>
      </w:r>
    </w:p>
    <w:p w14:paraId="473A4E77">
      <w:pPr>
        <w:pStyle w:val="40"/>
        <w:keepNext w:val="0"/>
        <w:keepLines w:val="0"/>
        <w:pageBreakBefore w:val="0"/>
        <w:widowControl/>
        <w:kinsoku/>
        <w:wordWrap w:val="0"/>
        <w:overflowPunct/>
        <w:topLinePunct/>
        <w:autoSpaceDE/>
        <w:autoSpaceDN/>
        <w:bidi w:val="0"/>
        <w:adjustRightInd/>
        <w:snapToGrid/>
        <w:spacing w:line="360" w:lineRule="auto"/>
        <w:ind w:firstLine="464" w:firstLineChars="200"/>
        <w:textAlignment w:val="baseline"/>
        <w:rPr>
          <w:rFonts w:hint="default" w:ascii="Times New Roman" w:hAnsi="Times New Roman" w:eastAsia="宋体" w:cs="Times New Roman"/>
          <w:color w:val="auto"/>
          <w:kern w:val="0"/>
          <w:sz w:val="24"/>
          <w:szCs w:val="24"/>
          <w:highlight w:val="none"/>
        </w:rPr>
      </w:pPr>
      <w:r>
        <w:rPr>
          <w:rFonts w:hint="eastAsia" w:ascii="Times New Roman" w:hAnsi="Times New Roman" w:eastAsia="宋体" w:cs="Times New Roman"/>
          <w:snapToGrid w:val="0"/>
          <w:color w:val="0000FF"/>
          <w:spacing w:val="-4"/>
          <w:kern w:val="0"/>
          <w:sz w:val="24"/>
          <w:szCs w:val="24"/>
          <w:highlight w:val="none"/>
          <w:lang w:val="en-US" w:eastAsia="zh-CN" w:bidi="ar-SA"/>
        </w:rPr>
        <w:t>粪污储存间</w:t>
      </w:r>
      <w:r>
        <w:rPr>
          <w:rFonts w:hint="eastAsia" w:ascii="Times New Roman" w:hAnsi="Times New Roman" w:eastAsia="宋体" w:cs="Times New Roman"/>
          <w:snapToGrid w:val="0"/>
          <w:color w:val="0000FF"/>
          <w:spacing w:val="-4"/>
          <w:kern w:val="0"/>
          <w:sz w:val="24"/>
          <w:szCs w:val="24"/>
          <w:highlight w:val="none"/>
          <w:lang w:val="en-US" w:eastAsia="en-US" w:bidi="ar-SA"/>
        </w:rPr>
        <w:t>硫化氢、氨排放速率执行《恶臭污染物排放标准》（GB14554-93）表2中15m高排气筒标准要求、臭气浓度执行《恶臭污染物排放标准》（GB14554-93）表2中15m高排气筒标准要求。</w:t>
      </w:r>
    </w:p>
    <w:p w14:paraId="7851DD63">
      <w:pPr>
        <w:pStyle w:val="44"/>
        <w:rPr>
          <w:rFonts w:hint="default" w:ascii="Times New Roman" w:hAnsi="Times New Roman" w:eastAsia="宋体" w:cs="Times New Roman"/>
          <w:b/>
          <w:bCs/>
          <w:snapToGrid w:val="0"/>
          <w:color w:val="auto"/>
          <w:kern w:val="0"/>
          <w:sz w:val="24"/>
          <w:szCs w:val="24"/>
          <w:highlight w:val="none"/>
        </w:rPr>
      </w:pPr>
      <w:r>
        <w:rPr>
          <w:rFonts w:hint="default" w:ascii="Times New Roman" w:hAnsi="Times New Roman" w:eastAsia="宋体" w:cs="Times New Roman"/>
          <w:b/>
          <w:bCs/>
          <w:snapToGrid w:val="0"/>
          <w:color w:val="auto"/>
          <w:kern w:val="0"/>
          <w:sz w:val="24"/>
          <w:szCs w:val="24"/>
          <w:highlight w:val="none"/>
        </w:rPr>
        <w:t>表2</w:t>
      </w:r>
      <w:r>
        <w:rPr>
          <w:rFonts w:hint="default" w:ascii="Times New Roman" w:hAnsi="Times New Roman" w:eastAsia="宋体" w:cs="Times New Roman"/>
          <w:b/>
          <w:bCs/>
          <w:snapToGrid w:val="0"/>
          <w:color w:val="auto"/>
          <w:kern w:val="0"/>
          <w:sz w:val="24"/>
          <w:szCs w:val="24"/>
          <w:highlight w:val="none"/>
          <w:lang w:val="en-US" w:eastAsia="zh-CN"/>
        </w:rPr>
        <w:t>.</w:t>
      </w:r>
      <w:r>
        <w:rPr>
          <w:rFonts w:hint="default" w:ascii="Times New Roman" w:hAnsi="Times New Roman" w:eastAsia="宋体" w:cs="Times New Roman"/>
          <w:b/>
          <w:bCs/>
          <w:snapToGrid w:val="0"/>
          <w:color w:val="auto"/>
          <w:kern w:val="0"/>
          <w:sz w:val="24"/>
          <w:szCs w:val="24"/>
          <w:highlight w:val="none"/>
        </w:rPr>
        <w:t>8-</w:t>
      </w:r>
      <w:r>
        <w:rPr>
          <w:rFonts w:hint="default" w:ascii="Times New Roman" w:hAnsi="Times New Roman" w:eastAsia="宋体" w:cs="Times New Roman"/>
          <w:b/>
          <w:bCs/>
          <w:snapToGrid w:val="0"/>
          <w:color w:val="auto"/>
          <w:kern w:val="0"/>
          <w:sz w:val="24"/>
          <w:szCs w:val="24"/>
          <w:highlight w:val="none"/>
          <w:lang w:val="en-US" w:eastAsia="zh-CN"/>
        </w:rPr>
        <w:t>1</w:t>
      </w:r>
      <w:r>
        <w:rPr>
          <w:rFonts w:hint="default" w:ascii="Times New Roman" w:hAnsi="Times New Roman" w:eastAsia="宋体" w:cs="Times New Roman"/>
          <w:b/>
          <w:bCs/>
          <w:snapToGrid w:val="0"/>
          <w:color w:val="auto"/>
          <w:kern w:val="0"/>
          <w:sz w:val="24"/>
          <w:szCs w:val="24"/>
          <w:highlight w:val="none"/>
        </w:rPr>
        <w:t>废气污染物排放标准一览表</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15"/>
        <w:gridCol w:w="1187"/>
        <w:gridCol w:w="2226"/>
        <w:gridCol w:w="4599"/>
      </w:tblGrid>
      <w:tr w14:paraId="269D61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998" w:type="pct"/>
            <w:gridSpan w:val="2"/>
            <w:shd w:val="clear" w:color="auto" w:fill="auto"/>
            <w:vAlign w:val="center"/>
          </w:tcPr>
          <w:p w14:paraId="243CD370">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污染因子</w:t>
            </w:r>
          </w:p>
        </w:tc>
        <w:tc>
          <w:tcPr>
            <w:tcW w:w="1305" w:type="pct"/>
            <w:shd w:val="clear" w:color="auto" w:fill="auto"/>
            <w:vAlign w:val="center"/>
          </w:tcPr>
          <w:p w14:paraId="2C7294D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标准值</w:t>
            </w:r>
          </w:p>
        </w:tc>
        <w:tc>
          <w:tcPr>
            <w:tcW w:w="2696" w:type="pct"/>
            <w:shd w:val="clear" w:color="auto" w:fill="auto"/>
            <w:vAlign w:val="center"/>
          </w:tcPr>
          <w:p w14:paraId="2920E77B">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标准来源</w:t>
            </w:r>
          </w:p>
        </w:tc>
      </w:tr>
      <w:tr w14:paraId="161716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302" w:type="pct"/>
            <w:vMerge w:val="restart"/>
            <w:shd w:val="clear" w:color="auto" w:fill="auto"/>
            <w:vAlign w:val="center"/>
          </w:tcPr>
          <w:p w14:paraId="7D0C5CC7">
            <w:pPr>
              <w:pStyle w:val="38"/>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无组织</w:t>
            </w:r>
          </w:p>
        </w:tc>
        <w:tc>
          <w:tcPr>
            <w:tcW w:w="695" w:type="pct"/>
            <w:shd w:val="clear" w:color="auto" w:fill="auto"/>
            <w:vAlign w:val="center"/>
          </w:tcPr>
          <w:p w14:paraId="1819DF82">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臭气浓度</w:t>
            </w:r>
          </w:p>
        </w:tc>
        <w:tc>
          <w:tcPr>
            <w:tcW w:w="1305" w:type="pct"/>
            <w:shd w:val="clear" w:color="auto" w:fill="auto"/>
            <w:vAlign w:val="center"/>
          </w:tcPr>
          <w:p w14:paraId="6431E408">
            <w:pPr>
              <w:pStyle w:val="38"/>
              <w:rPr>
                <w:rFonts w:hint="default" w:ascii="Times New Roman" w:hAnsi="Times New Roman" w:eastAsia="宋体" w:cs="Times New Roman"/>
                <w:snapToGrid w:val="0"/>
                <w:color w:val="auto"/>
                <w:sz w:val="21"/>
                <w:szCs w:val="21"/>
                <w:highlight w:val="none"/>
              </w:rPr>
            </w:pPr>
            <w:r>
              <w:rPr>
                <w:rFonts w:hint="eastAsia" w:ascii="Times New Roman" w:hAnsi="Times New Roman" w:eastAsia="宋体" w:cs="Times New Roman"/>
                <w:snapToGrid w:val="0"/>
                <w:color w:val="auto"/>
                <w:sz w:val="21"/>
                <w:szCs w:val="21"/>
                <w:highlight w:val="none"/>
                <w:lang w:val="en-US" w:eastAsia="zh-CN"/>
              </w:rPr>
              <w:t>2</w:t>
            </w:r>
            <w:r>
              <w:rPr>
                <w:rFonts w:hint="default" w:ascii="Times New Roman" w:hAnsi="Times New Roman" w:eastAsia="宋体" w:cs="Times New Roman"/>
                <w:snapToGrid w:val="0"/>
                <w:color w:val="auto"/>
                <w:sz w:val="21"/>
                <w:szCs w:val="21"/>
                <w:highlight w:val="none"/>
              </w:rPr>
              <w:t>0（无量纲）</w:t>
            </w:r>
          </w:p>
        </w:tc>
        <w:tc>
          <w:tcPr>
            <w:tcW w:w="2696" w:type="pct"/>
            <w:shd w:val="clear" w:color="auto" w:fill="auto"/>
            <w:vAlign w:val="center"/>
          </w:tcPr>
          <w:p w14:paraId="52125F11">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FF0000"/>
                <w:sz w:val="21"/>
                <w:szCs w:val="21"/>
                <w:highlight w:val="green"/>
                <w:lang w:val="zh-CN" w:eastAsia="en-US"/>
              </w:rPr>
              <w:t>臭气浓度参照执行《恶臭污染物排放标准》(GB14554-93）表 1 中二级新改扩建标准</w:t>
            </w:r>
          </w:p>
        </w:tc>
      </w:tr>
      <w:tr w14:paraId="43C71C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302" w:type="pct"/>
            <w:vMerge w:val="continue"/>
            <w:shd w:val="clear" w:color="auto" w:fill="auto"/>
            <w:vAlign w:val="center"/>
          </w:tcPr>
          <w:p w14:paraId="453200C4">
            <w:pPr>
              <w:pStyle w:val="38"/>
              <w:rPr>
                <w:rFonts w:hint="default" w:ascii="Times New Roman" w:hAnsi="Times New Roman" w:eastAsia="宋体" w:cs="Times New Roman"/>
                <w:snapToGrid w:val="0"/>
                <w:color w:val="auto"/>
                <w:sz w:val="21"/>
                <w:szCs w:val="21"/>
                <w:highlight w:val="none"/>
              </w:rPr>
            </w:pPr>
          </w:p>
        </w:tc>
        <w:tc>
          <w:tcPr>
            <w:tcW w:w="695" w:type="pct"/>
            <w:shd w:val="clear" w:color="auto" w:fill="auto"/>
            <w:vAlign w:val="center"/>
          </w:tcPr>
          <w:p w14:paraId="66F7AB9F">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硫化氢</w:t>
            </w:r>
          </w:p>
        </w:tc>
        <w:tc>
          <w:tcPr>
            <w:tcW w:w="1305" w:type="pct"/>
            <w:shd w:val="clear" w:color="auto" w:fill="auto"/>
            <w:vAlign w:val="center"/>
          </w:tcPr>
          <w:p w14:paraId="0A3DDFCB">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0.06mg/m</w:t>
            </w:r>
            <w:r>
              <w:rPr>
                <w:rFonts w:hint="default" w:ascii="Times New Roman" w:hAnsi="Times New Roman" w:eastAsia="宋体" w:cs="Times New Roman"/>
                <w:snapToGrid w:val="0"/>
                <w:color w:val="auto"/>
                <w:sz w:val="21"/>
                <w:szCs w:val="21"/>
                <w:highlight w:val="none"/>
                <w:vertAlign w:val="superscript"/>
              </w:rPr>
              <w:t>3</w:t>
            </w:r>
          </w:p>
        </w:tc>
        <w:tc>
          <w:tcPr>
            <w:tcW w:w="2696" w:type="pct"/>
            <w:vMerge w:val="restart"/>
            <w:shd w:val="clear" w:color="auto" w:fill="auto"/>
            <w:vAlign w:val="center"/>
          </w:tcPr>
          <w:p w14:paraId="0F243A5B">
            <w:pPr>
              <w:pStyle w:val="38"/>
              <w:jc w:val="both"/>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lang w:eastAsia="zh-CN"/>
              </w:rPr>
              <w:t>厂界</w:t>
            </w:r>
            <w:r>
              <w:rPr>
                <w:rFonts w:hint="default" w:ascii="Times New Roman" w:hAnsi="Times New Roman" w:eastAsia="宋体" w:cs="Times New Roman"/>
                <w:snapToGrid w:val="0"/>
                <w:color w:val="auto"/>
                <w:sz w:val="21"/>
                <w:szCs w:val="21"/>
                <w:highlight w:val="none"/>
              </w:rPr>
              <w:t>浓度执行《恶臭污染物排放标准》（GB14554-93）表1中二级新</w:t>
            </w:r>
            <w:r>
              <w:rPr>
                <w:rFonts w:hint="default" w:ascii="Times New Roman" w:hAnsi="Times New Roman" w:eastAsia="宋体" w:cs="Times New Roman"/>
                <w:snapToGrid w:val="0"/>
                <w:color w:val="auto"/>
                <w:sz w:val="21"/>
                <w:szCs w:val="21"/>
                <w:highlight w:val="none"/>
                <w:lang w:eastAsia="zh-CN"/>
              </w:rPr>
              <w:t>改扩</w:t>
            </w:r>
            <w:r>
              <w:rPr>
                <w:rFonts w:hint="default" w:ascii="Times New Roman" w:hAnsi="Times New Roman" w:eastAsia="宋体" w:cs="Times New Roman"/>
                <w:snapToGrid w:val="0"/>
                <w:color w:val="auto"/>
                <w:sz w:val="21"/>
                <w:szCs w:val="21"/>
                <w:highlight w:val="none"/>
              </w:rPr>
              <w:t>建标准</w:t>
            </w:r>
          </w:p>
        </w:tc>
      </w:tr>
      <w:tr w14:paraId="1F2844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302" w:type="pct"/>
            <w:vMerge w:val="continue"/>
            <w:shd w:val="clear" w:color="auto" w:fill="auto"/>
            <w:vAlign w:val="center"/>
          </w:tcPr>
          <w:p w14:paraId="067A7C98">
            <w:pPr>
              <w:pStyle w:val="38"/>
              <w:rPr>
                <w:rFonts w:hint="default" w:ascii="Times New Roman" w:hAnsi="Times New Roman" w:eastAsia="宋体" w:cs="Times New Roman"/>
                <w:snapToGrid w:val="0"/>
                <w:color w:val="auto"/>
                <w:sz w:val="21"/>
                <w:szCs w:val="21"/>
                <w:highlight w:val="none"/>
              </w:rPr>
            </w:pPr>
          </w:p>
        </w:tc>
        <w:tc>
          <w:tcPr>
            <w:tcW w:w="695" w:type="pct"/>
            <w:shd w:val="clear" w:color="auto" w:fill="auto"/>
            <w:vAlign w:val="center"/>
          </w:tcPr>
          <w:p w14:paraId="6D5D9A7D">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氨</w:t>
            </w:r>
          </w:p>
        </w:tc>
        <w:tc>
          <w:tcPr>
            <w:tcW w:w="1305" w:type="pct"/>
            <w:shd w:val="clear" w:color="auto" w:fill="auto"/>
            <w:vAlign w:val="center"/>
          </w:tcPr>
          <w:p w14:paraId="498DF0B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1.5mg/m</w:t>
            </w:r>
            <w:r>
              <w:rPr>
                <w:rFonts w:hint="default" w:ascii="Times New Roman" w:hAnsi="Times New Roman" w:eastAsia="宋体" w:cs="Times New Roman"/>
                <w:snapToGrid w:val="0"/>
                <w:color w:val="auto"/>
                <w:sz w:val="21"/>
                <w:szCs w:val="21"/>
                <w:highlight w:val="none"/>
                <w:vertAlign w:val="superscript"/>
              </w:rPr>
              <w:t>3</w:t>
            </w:r>
          </w:p>
        </w:tc>
        <w:tc>
          <w:tcPr>
            <w:tcW w:w="2696" w:type="pct"/>
            <w:vMerge w:val="continue"/>
            <w:shd w:val="clear" w:color="auto" w:fill="auto"/>
            <w:vAlign w:val="center"/>
          </w:tcPr>
          <w:p w14:paraId="29FFB988">
            <w:pPr>
              <w:pStyle w:val="38"/>
              <w:rPr>
                <w:rFonts w:hint="default" w:ascii="Times New Roman" w:hAnsi="Times New Roman" w:eastAsia="宋体" w:cs="Times New Roman"/>
                <w:snapToGrid w:val="0"/>
                <w:color w:val="auto"/>
                <w:sz w:val="21"/>
                <w:szCs w:val="21"/>
                <w:highlight w:val="none"/>
              </w:rPr>
            </w:pPr>
          </w:p>
        </w:tc>
      </w:tr>
      <w:tr w14:paraId="66CB51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302" w:type="pct"/>
            <w:vMerge w:val="restart"/>
            <w:shd w:val="clear" w:color="auto" w:fill="auto"/>
            <w:vAlign w:val="center"/>
          </w:tcPr>
          <w:p w14:paraId="779B825F">
            <w:pPr>
              <w:pStyle w:val="38"/>
              <w:ind w:left="0" w:leftChars="0" w:firstLine="0" w:firstLineChars="0"/>
              <w:rPr>
                <w:rFonts w:hint="default" w:ascii="Arial" w:hAnsi="Arial" w:eastAsia="Arial" w:cs="Times New Roman"/>
                <w:snapToGrid w:val="0"/>
                <w:color w:val="0000FF"/>
                <w:kern w:val="0"/>
                <w:sz w:val="21"/>
                <w:szCs w:val="21"/>
                <w:lang w:val="en-US" w:eastAsia="zh-CN" w:bidi="ar-SA"/>
              </w:rPr>
            </w:pPr>
            <w:r>
              <w:rPr>
                <w:rFonts w:hint="eastAsia" w:cs="Times New Roman"/>
                <w:snapToGrid w:val="0"/>
                <w:color w:val="0000FF"/>
                <w:kern w:val="0"/>
                <w:sz w:val="21"/>
                <w:szCs w:val="21"/>
                <w:lang w:val="en-US" w:eastAsia="zh-CN" w:bidi="ar-SA"/>
              </w:rPr>
              <w:t>有组织</w:t>
            </w:r>
          </w:p>
        </w:tc>
        <w:tc>
          <w:tcPr>
            <w:tcW w:w="695" w:type="pct"/>
            <w:shd w:val="clear" w:color="auto" w:fill="auto"/>
            <w:vAlign w:val="center"/>
          </w:tcPr>
          <w:p w14:paraId="59760DF5">
            <w:pPr>
              <w:pStyle w:val="38"/>
              <w:ind w:left="0" w:leftChars="0" w:firstLine="0" w:firstLineChars="0"/>
              <w:rPr>
                <w:rFonts w:hint="eastAsia" w:cs="Times New Roman"/>
                <w:snapToGrid w:val="0"/>
                <w:color w:val="0000FF"/>
                <w:lang w:eastAsia="zh-CN"/>
              </w:rPr>
            </w:pPr>
            <w:r>
              <w:rPr>
                <w:rFonts w:hint="eastAsia" w:cs="Times New Roman"/>
                <w:snapToGrid w:val="0"/>
                <w:color w:val="0000FF"/>
                <w:lang w:eastAsia="zh-CN"/>
              </w:rPr>
              <w:t>臭气浓度</w:t>
            </w:r>
          </w:p>
        </w:tc>
        <w:tc>
          <w:tcPr>
            <w:tcW w:w="1305" w:type="pct"/>
            <w:shd w:val="clear" w:color="auto" w:fill="auto"/>
            <w:vAlign w:val="center"/>
          </w:tcPr>
          <w:p w14:paraId="66A341C8">
            <w:pPr>
              <w:pStyle w:val="38"/>
              <w:ind w:left="0" w:leftChars="0" w:firstLine="0" w:firstLineChars="0"/>
              <w:rPr>
                <w:rFonts w:hint="default" w:ascii="Times New Roman" w:hAnsi="Times New Roman" w:eastAsia="Arial" w:cs="Times New Roman"/>
                <w:snapToGrid w:val="0"/>
                <w:color w:val="0000FF"/>
                <w:kern w:val="0"/>
                <w:sz w:val="21"/>
                <w:szCs w:val="21"/>
                <w:highlight w:val="none"/>
                <w:lang w:val="zh-CN" w:eastAsia="zh-CN" w:bidi="ar-SA"/>
              </w:rPr>
            </w:pPr>
            <w:r>
              <w:rPr>
                <w:rFonts w:hint="eastAsia" w:ascii="Times New Roman" w:hAnsi="Times New Roman" w:cs="Times New Roman"/>
                <w:snapToGrid w:val="0"/>
                <w:color w:val="0000FF"/>
                <w:highlight w:val="none"/>
                <w:lang w:eastAsia="zh-CN"/>
              </w:rPr>
              <w:t>2</w:t>
            </w:r>
            <w:r>
              <w:rPr>
                <w:rFonts w:hint="default" w:ascii="Times New Roman" w:hAnsi="Times New Roman" w:cs="Times New Roman"/>
                <w:snapToGrid w:val="0"/>
                <w:color w:val="0000FF"/>
                <w:highlight w:val="none"/>
                <w:lang w:eastAsia="zh-CN"/>
              </w:rPr>
              <w:t>000</w:t>
            </w:r>
            <w:r>
              <w:rPr>
                <w:rFonts w:hint="default" w:ascii="Times New Roman" w:hAnsi="Times New Roman" w:cs="Times New Roman"/>
                <w:snapToGrid w:val="0"/>
                <w:color w:val="0000FF"/>
                <w:highlight w:val="none"/>
              </w:rPr>
              <w:t>（无量纲）</w:t>
            </w:r>
          </w:p>
        </w:tc>
        <w:tc>
          <w:tcPr>
            <w:tcW w:w="2696" w:type="pct"/>
            <w:vMerge w:val="restart"/>
            <w:shd w:val="clear" w:color="auto" w:fill="auto"/>
            <w:vAlign w:val="center"/>
          </w:tcPr>
          <w:p w14:paraId="123E2810">
            <w:pPr>
              <w:pStyle w:val="38"/>
              <w:ind w:left="0" w:leftChars="0" w:firstLine="0" w:firstLineChars="0"/>
              <w:rPr>
                <w:rFonts w:hint="default" w:ascii="Times New Roman" w:hAnsi="Times New Roman" w:eastAsia="Arial" w:cs="Times New Roman"/>
                <w:snapToGrid w:val="0"/>
                <w:color w:val="0000FF"/>
                <w:kern w:val="0"/>
                <w:sz w:val="21"/>
                <w:szCs w:val="21"/>
                <w:highlight w:val="none"/>
                <w:lang w:val="zh-CN" w:eastAsia="zh-CN" w:bidi="ar-SA"/>
              </w:rPr>
            </w:pPr>
            <w:r>
              <w:rPr>
                <w:rFonts w:hint="eastAsia" w:ascii="Times New Roman" w:hAnsi="Times New Roman" w:cs="Times New Roman"/>
                <w:snapToGrid w:val="0"/>
                <w:color w:val="0000FF"/>
                <w:highlight w:val="none"/>
              </w:rPr>
              <w:t>《恶臭污染物排放标准》（GB14554-93）表2中15m高排气筒标准要求</w:t>
            </w:r>
          </w:p>
        </w:tc>
      </w:tr>
      <w:tr w14:paraId="0DFEF5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302" w:type="pct"/>
            <w:vMerge w:val="continue"/>
            <w:shd w:val="clear" w:color="auto" w:fill="auto"/>
            <w:vAlign w:val="center"/>
          </w:tcPr>
          <w:p w14:paraId="3CD22C46">
            <w:pPr>
              <w:pStyle w:val="38"/>
              <w:ind w:left="0" w:leftChars="0" w:firstLine="0" w:firstLineChars="0"/>
              <w:rPr>
                <w:rFonts w:hint="default" w:ascii="Arial" w:hAnsi="Arial" w:eastAsia="Arial" w:cs="Times New Roman"/>
                <w:snapToGrid w:val="0"/>
                <w:color w:val="0000FF"/>
                <w:kern w:val="0"/>
                <w:sz w:val="21"/>
                <w:szCs w:val="21"/>
                <w:lang w:val="zh-CN" w:eastAsia="zh-CN" w:bidi="ar-SA"/>
              </w:rPr>
            </w:pPr>
          </w:p>
        </w:tc>
        <w:tc>
          <w:tcPr>
            <w:tcW w:w="695" w:type="pct"/>
            <w:shd w:val="clear" w:color="auto" w:fill="auto"/>
            <w:vAlign w:val="center"/>
          </w:tcPr>
          <w:p w14:paraId="7F2944E0">
            <w:pPr>
              <w:pStyle w:val="38"/>
              <w:ind w:left="0" w:leftChars="0" w:firstLine="0" w:firstLineChars="0"/>
              <w:rPr>
                <w:rFonts w:cs="Times New Roman"/>
                <w:snapToGrid w:val="0"/>
                <w:color w:val="0000FF"/>
              </w:rPr>
            </w:pPr>
            <w:r>
              <w:rPr>
                <w:rFonts w:cs="Times New Roman"/>
                <w:snapToGrid w:val="0"/>
                <w:color w:val="0000FF"/>
              </w:rPr>
              <w:t>硫化氢</w:t>
            </w:r>
          </w:p>
        </w:tc>
        <w:tc>
          <w:tcPr>
            <w:tcW w:w="0" w:type="auto"/>
            <w:shd w:val="clear" w:color="auto" w:fill="auto"/>
            <w:vAlign w:val="center"/>
          </w:tcPr>
          <w:p w14:paraId="5D9C4EE1">
            <w:pPr>
              <w:pStyle w:val="38"/>
              <w:ind w:left="0" w:leftChars="0" w:firstLine="0" w:firstLineChars="0"/>
              <w:rPr>
                <w:rFonts w:hint="default" w:ascii="Times New Roman" w:hAnsi="Times New Roman" w:eastAsia="Arial" w:cs="Times New Roman"/>
                <w:snapToGrid w:val="0"/>
                <w:color w:val="0000FF"/>
                <w:kern w:val="0"/>
                <w:sz w:val="21"/>
                <w:szCs w:val="21"/>
                <w:highlight w:val="none"/>
                <w:lang w:val="zh-CN" w:eastAsia="zh-CN" w:bidi="ar-SA"/>
              </w:rPr>
            </w:pPr>
            <w:r>
              <w:rPr>
                <w:rFonts w:hint="eastAsia" w:ascii="Times New Roman" w:hAnsi="Times New Roman" w:cs="Times New Roman"/>
                <w:snapToGrid w:val="0"/>
                <w:color w:val="0000FF"/>
                <w:highlight w:val="none"/>
                <w:lang w:eastAsia="zh-CN"/>
              </w:rPr>
              <w:t>0</w:t>
            </w:r>
            <w:r>
              <w:rPr>
                <w:rFonts w:hint="default" w:ascii="Times New Roman" w:hAnsi="Times New Roman" w:cs="Times New Roman"/>
                <w:snapToGrid w:val="0"/>
                <w:color w:val="0000FF"/>
                <w:highlight w:val="none"/>
                <w:lang w:eastAsia="zh-CN"/>
              </w:rPr>
              <w:t>.33</w:t>
            </w:r>
            <w:r>
              <w:rPr>
                <w:rFonts w:hint="eastAsia" w:ascii="Times New Roman" w:hAnsi="Times New Roman" w:cs="Times New Roman"/>
                <w:snapToGrid w:val="0"/>
                <w:color w:val="0000FF"/>
                <w:highlight w:val="none"/>
                <w:lang w:eastAsia="zh-CN"/>
              </w:rPr>
              <w:t>kg/h</w:t>
            </w:r>
          </w:p>
        </w:tc>
        <w:tc>
          <w:tcPr>
            <w:tcW w:w="2696" w:type="pct"/>
            <w:vMerge w:val="continue"/>
          </w:tcPr>
          <w:p w14:paraId="20AE138D">
            <w:pPr>
              <w:pStyle w:val="38"/>
              <w:rPr>
                <w:rFonts w:hint="default" w:ascii="Times New Roman" w:hAnsi="Times New Roman" w:eastAsia="宋体" w:cs="Times New Roman"/>
                <w:snapToGrid w:val="0"/>
                <w:color w:val="auto"/>
                <w:sz w:val="21"/>
                <w:szCs w:val="21"/>
                <w:highlight w:val="none"/>
              </w:rPr>
            </w:pPr>
          </w:p>
        </w:tc>
      </w:tr>
      <w:tr w14:paraId="502113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302" w:type="pct"/>
            <w:vMerge w:val="continue"/>
            <w:shd w:val="clear" w:color="auto" w:fill="auto"/>
            <w:vAlign w:val="center"/>
          </w:tcPr>
          <w:p w14:paraId="49562AA0">
            <w:pPr>
              <w:pStyle w:val="38"/>
              <w:ind w:left="0" w:leftChars="0" w:firstLine="0" w:firstLineChars="0"/>
              <w:rPr>
                <w:rFonts w:hint="default" w:ascii="Arial" w:hAnsi="Arial" w:eastAsia="Arial" w:cs="Times New Roman"/>
                <w:snapToGrid w:val="0"/>
                <w:color w:val="0000FF"/>
                <w:kern w:val="0"/>
                <w:sz w:val="21"/>
                <w:szCs w:val="21"/>
                <w:lang w:val="zh-CN" w:eastAsia="zh-CN" w:bidi="ar-SA"/>
              </w:rPr>
            </w:pPr>
          </w:p>
        </w:tc>
        <w:tc>
          <w:tcPr>
            <w:tcW w:w="695" w:type="pct"/>
            <w:shd w:val="clear" w:color="auto" w:fill="auto"/>
            <w:vAlign w:val="center"/>
          </w:tcPr>
          <w:p w14:paraId="1CB576C3">
            <w:pPr>
              <w:pStyle w:val="38"/>
              <w:ind w:left="0" w:leftChars="0" w:firstLine="0" w:firstLineChars="0"/>
              <w:rPr>
                <w:rFonts w:cs="Times New Roman"/>
                <w:snapToGrid w:val="0"/>
                <w:color w:val="0000FF"/>
              </w:rPr>
            </w:pPr>
            <w:r>
              <w:rPr>
                <w:rFonts w:cs="Times New Roman"/>
                <w:snapToGrid w:val="0"/>
                <w:color w:val="0000FF"/>
              </w:rPr>
              <w:t>氨</w:t>
            </w:r>
          </w:p>
        </w:tc>
        <w:tc>
          <w:tcPr>
            <w:tcW w:w="0" w:type="auto"/>
            <w:shd w:val="clear" w:color="auto" w:fill="auto"/>
            <w:vAlign w:val="center"/>
          </w:tcPr>
          <w:p w14:paraId="6A4A9D63">
            <w:pPr>
              <w:pStyle w:val="38"/>
              <w:ind w:left="0" w:leftChars="0" w:firstLine="0" w:firstLineChars="0"/>
              <w:rPr>
                <w:rFonts w:hint="default" w:ascii="Times New Roman" w:hAnsi="Times New Roman" w:eastAsia="Arial" w:cs="Times New Roman"/>
                <w:snapToGrid w:val="0"/>
                <w:color w:val="0000FF"/>
                <w:kern w:val="0"/>
                <w:sz w:val="21"/>
                <w:szCs w:val="21"/>
                <w:highlight w:val="none"/>
                <w:lang w:val="zh-CN" w:eastAsia="zh-CN" w:bidi="ar-SA"/>
              </w:rPr>
            </w:pPr>
            <w:r>
              <w:rPr>
                <w:rFonts w:hint="default" w:ascii="Times New Roman" w:hAnsi="Times New Roman" w:cs="Times New Roman"/>
                <w:snapToGrid w:val="0"/>
                <w:color w:val="0000FF"/>
                <w:highlight w:val="none"/>
                <w:lang w:eastAsia="zh-CN"/>
              </w:rPr>
              <w:t>4.9</w:t>
            </w:r>
            <w:r>
              <w:rPr>
                <w:rFonts w:hint="eastAsia" w:ascii="Times New Roman" w:hAnsi="Times New Roman" w:cs="Times New Roman"/>
                <w:snapToGrid w:val="0"/>
                <w:color w:val="0000FF"/>
                <w:highlight w:val="none"/>
                <w:lang w:eastAsia="zh-CN"/>
              </w:rPr>
              <w:t>kg/h</w:t>
            </w:r>
          </w:p>
        </w:tc>
        <w:tc>
          <w:tcPr>
            <w:tcW w:w="2696" w:type="pct"/>
            <w:vMerge w:val="continue"/>
          </w:tcPr>
          <w:p w14:paraId="204EC83C">
            <w:pPr>
              <w:pStyle w:val="38"/>
              <w:rPr>
                <w:rFonts w:hint="default" w:ascii="Times New Roman" w:hAnsi="Times New Roman" w:eastAsia="宋体" w:cs="Times New Roman"/>
                <w:snapToGrid w:val="0"/>
                <w:color w:val="auto"/>
                <w:sz w:val="21"/>
                <w:szCs w:val="21"/>
                <w:highlight w:val="none"/>
              </w:rPr>
            </w:pPr>
          </w:p>
        </w:tc>
      </w:tr>
    </w:tbl>
    <w:p w14:paraId="7959616A">
      <w:pPr>
        <w:keepNext w:val="0"/>
        <w:keepLines w:val="0"/>
        <w:pageBreakBefore w:val="0"/>
        <w:widowControl/>
        <w:kinsoku/>
        <w:wordWrap w:val="0"/>
        <w:overflowPunct/>
        <w:topLinePunct/>
        <w:autoSpaceDE/>
        <w:autoSpaceDN/>
        <w:bidi w:val="0"/>
        <w:adjustRightInd w:val="0"/>
        <w:snapToGrid w:val="0"/>
        <w:spacing w:line="360" w:lineRule="auto"/>
        <w:ind w:left="0" w:firstLine="476" w:firstLineChars="200"/>
        <w:textAlignment w:val="baseline"/>
        <w:outlineLvl w:val="9"/>
        <w:rPr>
          <w:rFonts w:hint="default" w:ascii="Times New Roman" w:hAnsi="Times New Roman" w:eastAsia="宋体" w:cs="Times New Roman"/>
          <w:b w:val="0"/>
          <w:bCs w:val="0"/>
          <w:color w:val="auto"/>
          <w:spacing w:val="-1"/>
          <w:sz w:val="24"/>
          <w:szCs w:val="24"/>
          <w:highlight w:val="none"/>
        </w:rPr>
      </w:pPr>
      <w:r>
        <w:rPr>
          <w:rFonts w:hint="default" w:ascii="Times New Roman" w:hAnsi="Times New Roman" w:eastAsia="宋体" w:cs="Times New Roman"/>
          <w:b w:val="0"/>
          <w:bCs w:val="0"/>
          <w:color w:val="auto"/>
          <w:spacing w:val="-1"/>
          <w:sz w:val="24"/>
          <w:szCs w:val="24"/>
          <w:highlight w:val="none"/>
          <w:lang w:eastAsia="zh-CN"/>
        </w:rPr>
        <w:t>（</w:t>
      </w:r>
      <w:r>
        <w:rPr>
          <w:rFonts w:hint="default" w:ascii="Times New Roman" w:hAnsi="Times New Roman" w:eastAsia="宋体" w:cs="Times New Roman"/>
          <w:b w:val="0"/>
          <w:bCs w:val="0"/>
          <w:color w:val="auto"/>
          <w:spacing w:val="-1"/>
          <w:sz w:val="24"/>
          <w:szCs w:val="24"/>
          <w:highlight w:val="none"/>
          <w:lang w:val="en-US" w:eastAsia="zh-CN"/>
        </w:rPr>
        <w:t>2</w:t>
      </w:r>
      <w:r>
        <w:rPr>
          <w:rFonts w:hint="default" w:ascii="Times New Roman" w:hAnsi="Times New Roman" w:eastAsia="宋体" w:cs="Times New Roman"/>
          <w:b w:val="0"/>
          <w:bCs w:val="0"/>
          <w:color w:val="auto"/>
          <w:spacing w:val="-1"/>
          <w:sz w:val="24"/>
          <w:szCs w:val="24"/>
          <w:highlight w:val="none"/>
          <w:lang w:eastAsia="zh-CN"/>
        </w:rPr>
        <w:t>）</w:t>
      </w:r>
      <w:r>
        <w:rPr>
          <w:rFonts w:hint="default" w:ascii="Times New Roman" w:hAnsi="Times New Roman" w:eastAsia="宋体" w:cs="Times New Roman"/>
          <w:b w:val="0"/>
          <w:bCs w:val="0"/>
          <w:color w:val="auto"/>
          <w:spacing w:val="-1"/>
          <w:sz w:val="24"/>
          <w:szCs w:val="24"/>
          <w:highlight w:val="none"/>
        </w:rPr>
        <w:t>水污染物</w:t>
      </w:r>
    </w:p>
    <w:p w14:paraId="74FB0E66">
      <w:pPr>
        <w:pStyle w:val="40"/>
        <w:keepNext w:val="0"/>
        <w:keepLines w:val="0"/>
        <w:pageBreakBefore w:val="0"/>
        <w:widowControl/>
        <w:overflowPunct/>
        <w:bidi w:val="0"/>
        <w:spacing w:line="360" w:lineRule="auto"/>
        <w:ind w:lef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1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①</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施工期</w:t>
      </w:r>
    </w:p>
    <w:p w14:paraId="5E6458A9">
      <w:pPr>
        <w:pStyle w:val="40"/>
        <w:keepNext w:val="0"/>
        <w:keepLines w:val="0"/>
        <w:pageBreakBefore w:val="0"/>
        <w:widowControl/>
        <w:overflowPunct/>
        <w:bidi w:val="0"/>
        <w:spacing w:line="360" w:lineRule="auto"/>
        <w:ind w:left="0" w:firstLine="480" w:firstLineChars="200"/>
        <w:textAlignment w:val="baseline"/>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项目施工期生活污水排入防渗旱厕，定期清掏，外运堆肥，不外排。施工废水经沉淀池沉淀后用于场地洒水抑尘，不外排。</w:t>
      </w:r>
    </w:p>
    <w:p w14:paraId="4AAA441B">
      <w:pPr>
        <w:pStyle w:val="40"/>
        <w:keepNext w:val="0"/>
        <w:keepLines w:val="0"/>
        <w:pageBreakBefore w:val="0"/>
        <w:widowControl/>
        <w:overflowPunct/>
        <w:bidi w:val="0"/>
        <w:spacing w:line="360" w:lineRule="auto"/>
        <w:ind w:lef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2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②</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运营期</w:t>
      </w:r>
    </w:p>
    <w:p w14:paraId="01038B31">
      <w:pPr>
        <w:pStyle w:val="40"/>
        <w:keepNext w:val="0"/>
        <w:keepLines w:val="0"/>
        <w:pageBreakBefore w:val="0"/>
        <w:widowControl/>
        <w:overflowPunct/>
        <w:bidi w:val="0"/>
        <w:spacing w:line="360" w:lineRule="auto"/>
        <w:ind w:left="0" w:firstLine="480" w:firstLineChars="200"/>
        <w:textAlignment w:val="baseline"/>
        <w:rPr>
          <w:rFonts w:hint="default" w:ascii="Times New Roman" w:hAnsi="Times New Roman" w:eastAsia="宋体" w:cs="Times New Roman"/>
          <w:color w:val="auto"/>
          <w:kern w:val="0"/>
          <w:sz w:val="24"/>
          <w:szCs w:val="24"/>
          <w:highlight w:val="none"/>
        </w:rPr>
      </w:pPr>
      <w:bookmarkStart w:id="97" w:name="_Hlk28278749"/>
      <w:r>
        <w:rPr>
          <w:rFonts w:hint="default" w:ascii="Times New Roman" w:hAnsi="Times New Roman" w:eastAsia="宋体" w:cs="Times New Roman"/>
          <w:color w:val="auto"/>
          <w:kern w:val="0"/>
          <w:sz w:val="24"/>
          <w:szCs w:val="24"/>
          <w:highlight w:val="none"/>
        </w:rPr>
        <w:t>运营期污水处理执行《畜禽养殖业污染治理工程技术规范》（HJ497-2009）要求，</w:t>
      </w:r>
      <w:r>
        <w:rPr>
          <w:rFonts w:hint="default" w:ascii="Times New Roman" w:hAnsi="Times New Roman" w:eastAsia="宋体" w:cs="Times New Roman"/>
          <w:color w:val="auto"/>
          <w:sz w:val="24"/>
          <w:szCs w:val="24"/>
          <w:highlight w:val="none"/>
          <w:lang w:val="en-US" w:eastAsia="zh-CN"/>
        </w:rPr>
        <w:t>牛舍区拟采用干撒式发酵床工艺，其采用的干撒式发酵床发酵菌剂可将牛尿、牛粪一部分降解为水蒸气和二氧化碳，另一部分转化为粗蛋白、菌体蛋白和维生素等营养物质。从源头上消除了粪尿对生态环境的污染，实现粪污零排放，保护生态环境</w:t>
      </w:r>
      <w:r>
        <w:rPr>
          <w:rFonts w:hint="default" w:ascii="Times New Roman" w:hAnsi="Times New Roman" w:eastAsia="宋体" w:cs="Times New Roman"/>
          <w:color w:val="auto"/>
          <w:spacing w:val="-6"/>
          <w:sz w:val="24"/>
          <w:szCs w:val="24"/>
          <w:highlight w:val="none"/>
        </w:rPr>
        <w:t>。生活</w:t>
      </w:r>
      <w:r>
        <w:rPr>
          <w:rFonts w:hint="default" w:ascii="Times New Roman" w:hAnsi="Times New Roman" w:eastAsia="宋体" w:cs="Times New Roman"/>
          <w:color w:val="auto"/>
          <w:spacing w:val="-1"/>
          <w:sz w:val="24"/>
          <w:szCs w:val="24"/>
          <w:highlight w:val="none"/>
        </w:rPr>
        <w:t>污水排入化粪池，定期清掏，</w:t>
      </w:r>
      <w:r>
        <w:rPr>
          <w:rFonts w:hint="default" w:ascii="Times New Roman" w:hAnsi="Times New Roman" w:eastAsia="宋体" w:cs="Times New Roman"/>
          <w:color w:val="auto"/>
          <w:spacing w:val="-1"/>
          <w:sz w:val="24"/>
          <w:szCs w:val="24"/>
          <w:highlight w:val="none"/>
          <w:lang w:val="en-US" w:eastAsia="zh-CN"/>
        </w:rPr>
        <w:t>吸粪车清运，</w:t>
      </w:r>
      <w:r>
        <w:rPr>
          <w:rFonts w:hint="default" w:ascii="Times New Roman" w:hAnsi="Times New Roman" w:eastAsia="宋体" w:cs="Times New Roman"/>
          <w:color w:val="auto"/>
          <w:spacing w:val="-1"/>
          <w:sz w:val="24"/>
          <w:szCs w:val="24"/>
          <w:highlight w:val="none"/>
        </w:rPr>
        <w:t>不排</w:t>
      </w:r>
      <w:r>
        <w:rPr>
          <w:rFonts w:hint="default" w:ascii="Times New Roman" w:hAnsi="Times New Roman" w:eastAsia="宋体" w:cs="Times New Roman"/>
          <w:color w:val="auto"/>
          <w:spacing w:val="-2"/>
          <w:sz w:val="24"/>
          <w:szCs w:val="24"/>
          <w:highlight w:val="none"/>
        </w:rPr>
        <w:t>入地表水体</w:t>
      </w:r>
      <w:r>
        <w:rPr>
          <w:rFonts w:hint="default" w:ascii="Times New Roman" w:hAnsi="Times New Roman" w:eastAsia="宋体" w:cs="Times New Roman"/>
          <w:color w:val="auto"/>
          <w:spacing w:val="-2"/>
          <w:sz w:val="24"/>
          <w:szCs w:val="24"/>
          <w:highlight w:val="none"/>
          <w:lang w:eastAsia="zh-CN"/>
        </w:rPr>
        <w:t>，</w:t>
      </w:r>
      <w:r>
        <w:rPr>
          <w:rFonts w:hint="default" w:ascii="Times New Roman" w:hAnsi="Times New Roman" w:eastAsia="宋体" w:cs="Times New Roman"/>
          <w:color w:val="auto"/>
          <w:kern w:val="0"/>
          <w:sz w:val="24"/>
          <w:szCs w:val="24"/>
          <w:highlight w:val="none"/>
        </w:rPr>
        <w:t>满足《畜禽养殖业污染物排放标准》（GB18596-2001）的集约化畜禽养殖业干清粪工艺最高允许排水量，</w:t>
      </w:r>
      <w:r>
        <w:rPr>
          <w:rFonts w:hint="default" w:ascii="Times New Roman" w:hAnsi="Times New Roman" w:eastAsia="宋体" w:cs="Times New Roman"/>
          <w:color w:val="auto"/>
          <w:sz w:val="24"/>
          <w:szCs w:val="24"/>
          <w:highlight w:val="none"/>
          <w:lang w:val="en-US" w:eastAsia="zh-CN"/>
        </w:rPr>
        <w:t>粪污</w:t>
      </w:r>
      <w:r>
        <w:rPr>
          <w:rFonts w:hint="default" w:ascii="Times New Roman" w:hAnsi="Times New Roman" w:eastAsia="宋体" w:cs="Times New Roman"/>
          <w:color w:val="auto"/>
          <w:sz w:val="24"/>
          <w:szCs w:val="24"/>
          <w:highlight w:val="none"/>
        </w:rPr>
        <w:t>作为肥料，在施用前，应满足《肥料中有毒有害物质的限量要求》（GB 38400-2019）表1肥料中有毒有害物质的限量要求（基本项目）中其他肥料标准限值，</w:t>
      </w:r>
      <w:r>
        <w:rPr>
          <w:rFonts w:hint="default" w:ascii="Times New Roman" w:hAnsi="Times New Roman" w:eastAsia="宋体" w:cs="Times New Roman"/>
          <w:color w:val="auto"/>
          <w:kern w:val="0"/>
          <w:sz w:val="24"/>
          <w:szCs w:val="24"/>
          <w:highlight w:val="none"/>
        </w:rPr>
        <w:t>相关标准详见下表。</w:t>
      </w:r>
    </w:p>
    <w:p w14:paraId="7FFF7FEF">
      <w:pPr>
        <w:pStyle w:val="44"/>
        <w:rPr>
          <w:rFonts w:hint="default" w:ascii="Times New Roman" w:hAnsi="Times New Roman" w:eastAsia="宋体" w:cs="Times New Roman"/>
          <w:b/>
          <w:bCs/>
          <w:snapToGrid w:val="0"/>
          <w:color w:val="auto"/>
          <w:kern w:val="0"/>
          <w:sz w:val="24"/>
          <w:szCs w:val="24"/>
          <w:highlight w:val="none"/>
        </w:rPr>
      </w:pPr>
      <w:r>
        <w:rPr>
          <w:rFonts w:hint="default" w:ascii="Times New Roman" w:hAnsi="Times New Roman" w:eastAsia="宋体" w:cs="Times New Roman"/>
          <w:b/>
          <w:bCs/>
          <w:snapToGrid w:val="0"/>
          <w:color w:val="auto"/>
          <w:kern w:val="0"/>
          <w:sz w:val="24"/>
          <w:szCs w:val="24"/>
          <w:highlight w:val="none"/>
        </w:rPr>
        <w:t>表2</w:t>
      </w:r>
      <w:r>
        <w:rPr>
          <w:rFonts w:hint="default" w:ascii="Times New Roman" w:hAnsi="Times New Roman" w:eastAsia="宋体" w:cs="Times New Roman"/>
          <w:b/>
          <w:bCs/>
          <w:snapToGrid w:val="0"/>
          <w:color w:val="auto"/>
          <w:kern w:val="0"/>
          <w:sz w:val="24"/>
          <w:szCs w:val="24"/>
          <w:highlight w:val="none"/>
          <w:lang w:val="en-US" w:eastAsia="zh-CN"/>
        </w:rPr>
        <w:t>.</w:t>
      </w:r>
      <w:r>
        <w:rPr>
          <w:rFonts w:hint="default" w:ascii="Times New Roman" w:hAnsi="Times New Roman" w:eastAsia="宋体" w:cs="Times New Roman"/>
          <w:b/>
          <w:bCs/>
          <w:snapToGrid w:val="0"/>
          <w:color w:val="auto"/>
          <w:kern w:val="0"/>
          <w:sz w:val="24"/>
          <w:szCs w:val="24"/>
          <w:highlight w:val="none"/>
        </w:rPr>
        <w:t>8-</w:t>
      </w:r>
      <w:r>
        <w:rPr>
          <w:rFonts w:hint="default" w:ascii="Times New Roman" w:hAnsi="Times New Roman" w:eastAsia="宋体" w:cs="Times New Roman"/>
          <w:b/>
          <w:bCs/>
          <w:snapToGrid w:val="0"/>
          <w:color w:val="auto"/>
          <w:kern w:val="0"/>
          <w:sz w:val="24"/>
          <w:szCs w:val="24"/>
          <w:highlight w:val="none"/>
          <w:lang w:val="en-US" w:eastAsia="zh-CN"/>
        </w:rPr>
        <w:t>2</w:t>
      </w:r>
      <w:r>
        <w:rPr>
          <w:rFonts w:hint="default" w:ascii="Times New Roman" w:hAnsi="Times New Roman" w:eastAsia="宋体" w:cs="Times New Roman"/>
          <w:b/>
          <w:bCs/>
          <w:snapToGrid w:val="0"/>
          <w:color w:val="auto"/>
          <w:kern w:val="0"/>
          <w:sz w:val="24"/>
          <w:szCs w:val="24"/>
          <w:highlight w:val="none"/>
        </w:rPr>
        <w:t>集约化畜禽养殖业干清粪工艺最高允许排水量</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60"/>
        <w:gridCol w:w="2145"/>
        <w:gridCol w:w="2147"/>
        <w:gridCol w:w="3375"/>
      </w:tblGrid>
      <w:tr w14:paraId="7E854A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04" w:type="pct"/>
            <w:shd w:val="clear" w:color="auto" w:fill="auto"/>
            <w:vAlign w:val="center"/>
          </w:tcPr>
          <w:p w14:paraId="07DBE951">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季节</w:t>
            </w:r>
          </w:p>
        </w:tc>
        <w:tc>
          <w:tcPr>
            <w:tcW w:w="1258" w:type="pct"/>
            <w:shd w:val="clear" w:color="auto" w:fill="auto"/>
            <w:vAlign w:val="center"/>
          </w:tcPr>
          <w:p w14:paraId="1A928040">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冬季（m</w:t>
            </w:r>
            <w:r>
              <w:rPr>
                <w:rFonts w:hint="default" w:ascii="Times New Roman" w:hAnsi="Times New Roman" w:cs="Times New Roman"/>
                <w:snapToGrid w:val="0"/>
                <w:color w:val="auto"/>
                <w:highlight w:val="none"/>
                <w:vertAlign w:val="superscript"/>
              </w:rPr>
              <w:t>3</w:t>
            </w:r>
            <w:r>
              <w:rPr>
                <w:rFonts w:hint="default" w:ascii="Times New Roman" w:hAnsi="Times New Roman" w:cs="Times New Roman"/>
                <w:snapToGrid w:val="0"/>
                <w:color w:val="auto"/>
                <w:highlight w:val="none"/>
              </w:rPr>
              <w:t>/百头·d）</w:t>
            </w:r>
          </w:p>
        </w:tc>
        <w:tc>
          <w:tcPr>
            <w:tcW w:w="1259" w:type="pct"/>
            <w:shd w:val="clear" w:color="auto" w:fill="auto"/>
            <w:vAlign w:val="center"/>
          </w:tcPr>
          <w:p w14:paraId="014ED718">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夏季（m</w:t>
            </w:r>
            <w:r>
              <w:rPr>
                <w:rFonts w:hint="default" w:ascii="Times New Roman" w:hAnsi="Times New Roman" w:cs="Times New Roman"/>
                <w:snapToGrid w:val="0"/>
                <w:color w:val="auto"/>
                <w:highlight w:val="none"/>
                <w:vertAlign w:val="superscript"/>
              </w:rPr>
              <w:t>3</w:t>
            </w:r>
            <w:r>
              <w:rPr>
                <w:rFonts w:hint="default" w:ascii="Times New Roman" w:hAnsi="Times New Roman" w:cs="Times New Roman"/>
                <w:snapToGrid w:val="0"/>
                <w:color w:val="auto"/>
                <w:highlight w:val="none"/>
              </w:rPr>
              <w:t>/百头·d）</w:t>
            </w:r>
          </w:p>
        </w:tc>
        <w:tc>
          <w:tcPr>
            <w:tcW w:w="1979" w:type="pct"/>
            <w:shd w:val="clear" w:color="auto" w:fill="auto"/>
            <w:vAlign w:val="center"/>
          </w:tcPr>
          <w:p w14:paraId="489E5DE7">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标准来源</w:t>
            </w:r>
          </w:p>
        </w:tc>
      </w:tr>
      <w:tr w14:paraId="4ACA00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04" w:type="pct"/>
            <w:shd w:val="clear" w:color="auto" w:fill="auto"/>
            <w:vAlign w:val="center"/>
          </w:tcPr>
          <w:p w14:paraId="5A963E27">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标准值</w:t>
            </w:r>
          </w:p>
        </w:tc>
        <w:tc>
          <w:tcPr>
            <w:tcW w:w="1258" w:type="pct"/>
            <w:shd w:val="clear" w:color="auto" w:fill="auto"/>
            <w:vAlign w:val="center"/>
          </w:tcPr>
          <w:p w14:paraId="50DB42CC">
            <w:pPr>
              <w:pStyle w:val="38"/>
              <w:rPr>
                <w:rFonts w:hint="default" w:ascii="Times New Roman" w:hAnsi="Times New Roman" w:eastAsia="宋体" w:cs="Times New Roman"/>
                <w:snapToGrid w:val="0"/>
                <w:color w:val="auto"/>
                <w:highlight w:val="none"/>
                <w:lang w:val="en-US" w:eastAsia="zh-CN"/>
              </w:rPr>
            </w:pPr>
            <w:r>
              <w:rPr>
                <w:rFonts w:hint="default" w:ascii="Times New Roman" w:hAnsi="Times New Roman" w:cs="Times New Roman"/>
                <w:snapToGrid w:val="0"/>
                <w:color w:val="auto"/>
                <w:highlight w:val="none"/>
              </w:rPr>
              <w:t>1</w:t>
            </w:r>
            <w:r>
              <w:rPr>
                <w:rFonts w:hint="default" w:ascii="Times New Roman" w:hAnsi="Times New Roman" w:eastAsia="宋体" w:cs="Times New Roman"/>
                <w:snapToGrid w:val="0"/>
                <w:color w:val="auto"/>
                <w:highlight w:val="none"/>
                <w:lang w:val="en-US" w:eastAsia="zh-CN"/>
              </w:rPr>
              <w:t>7</w:t>
            </w:r>
          </w:p>
        </w:tc>
        <w:tc>
          <w:tcPr>
            <w:tcW w:w="1259" w:type="pct"/>
            <w:shd w:val="clear" w:color="auto" w:fill="auto"/>
            <w:vAlign w:val="center"/>
          </w:tcPr>
          <w:p w14:paraId="069E63C8">
            <w:pPr>
              <w:pStyle w:val="38"/>
              <w:rPr>
                <w:rFonts w:hint="default" w:ascii="Times New Roman" w:hAnsi="Times New Roman" w:eastAsia="宋体" w:cs="Times New Roman"/>
                <w:snapToGrid w:val="0"/>
                <w:color w:val="auto"/>
                <w:highlight w:val="none"/>
                <w:lang w:val="en-US" w:eastAsia="zh-CN"/>
              </w:rPr>
            </w:pPr>
            <w:r>
              <w:rPr>
                <w:rFonts w:hint="default" w:ascii="Times New Roman" w:hAnsi="Times New Roman" w:eastAsia="宋体" w:cs="Times New Roman"/>
                <w:snapToGrid w:val="0"/>
                <w:color w:val="auto"/>
                <w:highlight w:val="none"/>
                <w:lang w:val="en-US" w:eastAsia="zh-CN"/>
              </w:rPr>
              <w:t>20</w:t>
            </w:r>
          </w:p>
        </w:tc>
        <w:tc>
          <w:tcPr>
            <w:tcW w:w="1979" w:type="pct"/>
            <w:shd w:val="clear" w:color="auto" w:fill="auto"/>
            <w:vAlign w:val="center"/>
          </w:tcPr>
          <w:p w14:paraId="056690B4">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《畜禽养殖业污染物排放标准》（GB18596-2001）</w:t>
            </w:r>
          </w:p>
        </w:tc>
      </w:tr>
      <w:bookmarkEnd w:id="97"/>
    </w:tbl>
    <w:p w14:paraId="44A5C382">
      <w:pPr>
        <w:pStyle w:val="44"/>
        <w:rPr>
          <w:rFonts w:hint="default" w:ascii="Times New Roman" w:hAnsi="Times New Roman" w:eastAsia="宋体" w:cs="Times New Roman"/>
          <w:b/>
          <w:bCs/>
          <w:snapToGrid w:val="0"/>
          <w:color w:val="auto"/>
          <w:kern w:val="0"/>
          <w:sz w:val="24"/>
          <w:szCs w:val="24"/>
          <w:highlight w:val="none"/>
        </w:rPr>
      </w:pPr>
      <w:r>
        <w:rPr>
          <w:rFonts w:hint="default" w:ascii="Times New Roman" w:hAnsi="Times New Roman" w:eastAsia="宋体" w:cs="Times New Roman"/>
          <w:b/>
          <w:bCs/>
          <w:snapToGrid w:val="0"/>
          <w:color w:val="auto"/>
          <w:kern w:val="0"/>
          <w:sz w:val="24"/>
          <w:szCs w:val="24"/>
          <w:highlight w:val="none"/>
        </w:rPr>
        <w:t>表2</w:t>
      </w:r>
      <w:r>
        <w:rPr>
          <w:rFonts w:hint="default" w:ascii="Times New Roman" w:hAnsi="Times New Roman" w:eastAsia="宋体" w:cs="Times New Roman"/>
          <w:b/>
          <w:bCs/>
          <w:snapToGrid w:val="0"/>
          <w:color w:val="auto"/>
          <w:kern w:val="0"/>
          <w:sz w:val="24"/>
          <w:szCs w:val="24"/>
          <w:highlight w:val="none"/>
          <w:lang w:val="en-US" w:eastAsia="zh-CN"/>
        </w:rPr>
        <w:t>.</w:t>
      </w:r>
      <w:r>
        <w:rPr>
          <w:rFonts w:hint="default" w:ascii="Times New Roman" w:hAnsi="Times New Roman" w:eastAsia="宋体" w:cs="Times New Roman"/>
          <w:b/>
          <w:bCs/>
          <w:snapToGrid w:val="0"/>
          <w:color w:val="auto"/>
          <w:kern w:val="0"/>
          <w:sz w:val="24"/>
          <w:szCs w:val="24"/>
          <w:highlight w:val="none"/>
        </w:rPr>
        <w:t>8-</w:t>
      </w:r>
      <w:r>
        <w:rPr>
          <w:rFonts w:hint="default" w:ascii="Times New Roman" w:hAnsi="Times New Roman" w:eastAsia="宋体" w:cs="Times New Roman"/>
          <w:b/>
          <w:bCs/>
          <w:snapToGrid w:val="0"/>
          <w:color w:val="auto"/>
          <w:kern w:val="0"/>
          <w:sz w:val="24"/>
          <w:szCs w:val="24"/>
          <w:highlight w:val="none"/>
          <w:lang w:val="en-US" w:eastAsia="zh-CN"/>
        </w:rPr>
        <w:t>3</w:t>
      </w:r>
      <w:r>
        <w:rPr>
          <w:rFonts w:hint="default" w:ascii="Times New Roman" w:hAnsi="Times New Roman" w:eastAsia="宋体" w:cs="Times New Roman"/>
          <w:b/>
          <w:bCs/>
          <w:snapToGrid w:val="0"/>
          <w:color w:val="auto"/>
          <w:kern w:val="0"/>
          <w:sz w:val="24"/>
          <w:szCs w:val="24"/>
          <w:highlight w:val="none"/>
        </w:rPr>
        <w:t>肥料中有毒有害物质的限量要求</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20"/>
        <w:gridCol w:w="2837"/>
        <w:gridCol w:w="2492"/>
        <w:gridCol w:w="2278"/>
      </w:tblGrid>
      <w:tr w14:paraId="53CEA2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264A3BE1">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序号</w:t>
            </w:r>
          </w:p>
        </w:tc>
        <w:tc>
          <w:tcPr>
            <w:tcW w:w="1663" w:type="pct"/>
            <w:shd w:val="clear" w:color="auto" w:fill="auto"/>
            <w:vAlign w:val="center"/>
          </w:tcPr>
          <w:p w14:paraId="08E7DE90">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项目</w:t>
            </w:r>
          </w:p>
        </w:tc>
        <w:tc>
          <w:tcPr>
            <w:tcW w:w="1461" w:type="pct"/>
            <w:shd w:val="clear" w:color="auto" w:fill="auto"/>
            <w:vAlign w:val="center"/>
          </w:tcPr>
          <w:p w14:paraId="4251FA27">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含量限值</w:t>
            </w:r>
          </w:p>
        </w:tc>
        <w:tc>
          <w:tcPr>
            <w:tcW w:w="1335" w:type="pct"/>
            <w:shd w:val="clear" w:color="auto" w:fill="auto"/>
            <w:vAlign w:val="center"/>
          </w:tcPr>
          <w:p w14:paraId="5DF67AB7">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单位</w:t>
            </w:r>
          </w:p>
        </w:tc>
      </w:tr>
      <w:tr w14:paraId="332479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393A6201">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1</w:t>
            </w:r>
          </w:p>
        </w:tc>
        <w:tc>
          <w:tcPr>
            <w:tcW w:w="1663" w:type="pct"/>
            <w:shd w:val="clear" w:color="auto" w:fill="auto"/>
            <w:vAlign w:val="center"/>
          </w:tcPr>
          <w:p w14:paraId="0FCE8680">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总镉</w:t>
            </w:r>
          </w:p>
        </w:tc>
        <w:tc>
          <w:tcPr>
            <w:tcW w:w="1461" w:type="pct"/>
            <w:shd w:val="clear" w:color="auto" w:fill="auto"/>
            <w:vAlign w:val="center"/>
          </w:tcPr>
          <w:p w14:paraId="010A9094">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≤3</w:t>
            </w:r>
          </w:p>
        </w:tc>
        <w:tc>
          <w:tcPr>
            <w:tcW w:w="1335" w:type="pct"/>
            <w:shd w:val="clear" w:color="auto" w:fill="auto"/>
            <w:vAlign w:val="center"/>
          </w:tcPr>
          <w:p w14:paraId="0D593A76">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mg/kg</w:t>
            </w:r>
          </w:p>
        </w:tc>
      </w:tr>
      <w:tr w14:paraId="0B293D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194DE89C">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2</w:t>
            </w:r>
          </w:p>
        </w:tc>
        <w:tc>
          <w:tcPr>
            <w:tcW w:w="1663" w:type="pct"/>
            <w:shd w:val="clear" w:color="auto" w:fill="auto"/>
            <w:vAlign w:val="center"/>
          </w:tcPr>
          <w:p w14:paraId="5CE166E6">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总汞</w:t>
            </w:r>
          </w:p>
        </w:tc>
        <w:tc>
          <w:tcPr>
            <w:tcW w:w="1461" w:type="pct"/>
            <w:shd w:val="clear" w:color="auto" w:fill="auto"/>
            <w:vAlign w:val="center"/>
          </w:tcPr>
          <w:p w14:paraId="4E356CEB">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≤2</w:t>
            </w:r>
          </w:p>
        </w:tc>
        <w:tc>
          <w:tcPr>
            <w:tcW w:w="1335" w:type="pct"/>
            <w:shd w:val="clear" w:color="auto" w:fill="auto"/>
            <w:vAlign w:val="center"/>
          </w:tcPr>
          <w:p w14:paraId="72A04FFB">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mg/kg</w:t>
            </w:r>
          </w:p>
        </w:tc>
      </w:tr>
      <w:tr w14:paraId="11E7EF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4829584D">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3</w:t>
            </w:r>
          </w:p>
        </w:tc>
        <w:tc>
          <w:tcPr>
            <w:tcW w:w="1663" w:type="pct"/>
            <w:shd w:val="clear" w:color="auto" w:fill="auto"/>
            <w:vAlign w:val="center"/>
          </w:tcPr>
          <w:p w14:paraId="752D6506">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总砷</w:t>
            </w:r>
          </w:p>
        </w:tc>
        <w:tc>
          <w:tcPr>
            <w:tcW w:w="1461" w:type="pct"/>
            <w:shd w:val="clear" w:color="auto" w:fill="auto"/>
            <w:vAlign w:val="center"/>
          </w:tcPr>
          <w:p w14:paraId="69899C53">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≤15</w:t>
            </w:r>
          </w:p>
        </w:tc>
        <w:tc>
          <w:tcPr>
            <w:tcW w:w="1335" w:type="pct"/>
            <w:shd w:val="clear" w:color="auto" w:fill="auto"/>
            <w:vAlign w:val="center"/>
          </w:tcPr>
          <w:p w14:paraId="5F3F13D0">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mg/kg</w:t>
            </w:r>
          </w:p>
        </w:tc>
      </w:tr>
      <w:tr w14:paraId="30102B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09DAD7CB">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4</w:t>
            </w:r>
          </w:p>
        </w:tc>
        <w:tc>
          <w:tcPr>
            <w:tcW w:w="1663" w:type="pct"/>
            <w:shd w:val="clear" w:color="auto" w:fill="auto"/>
            <w:vAlign w:val="center"/>
          </w:tcPr>
          <w:p w14:paraId="2B952A44">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总铅</w:t>
            </w:r>
          </w:p>
        </w:tc>
        <w:tc>
          <w:tcPr>
            <w:tcW w:w="1461" w:type="pct"/>
            <w:shd w:val="clear" w:color="auto" w:fill="auto"/>
            <w:vAlign w:val="center"/>
          </w:tcPr>
          <w:p w14:paraId="148329EE">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≤50</w:t>
            </w:r>
          </w:p>
        </w:tc>
        <w:tc>
          <w:tcPr>
            <w:tcW w:w="1335" w:type="pct"/>
            <w:shd w:val="clear" w:color="auto" w:fill="auto"/>
            <w:vAlign w:val="center"/>
          </w:tcPr>
          <w:p w14:paraId="06EC3DEC">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mg/kg</w:t>
            </w:r>
          </w:p>
        </w:tc>
      </w:tr>
      <w:tr w14:paraId="0DD0B1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776294A2">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5</w:t>
            </w:r>
          </w:p>
        </w:tc>
        <w:tc>
          <w:tcPr>
            <w:tcW w:w="1663" w:type="pct"/>
            <w:shd w:val="clear" w:color="auto" w:fill="auto"/>
            <w:vAlign w:val="center"/>
          </w:tcPr>
          <w:p w14:paraId="1BED0CB4">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总铬</w:t>
            </w:r>
          </w:p>
        </w:tc>
        <w:tc>
          <w:tcPr>
            <w:tcW w:w="1461" w:type="pct"/>
            <w:shd w:val="clear" w:color="auto" w:fill="auto"/>
            <w:vAlign w:val="center"/>
          </w:tcPr>
          <w:p w14:paraId="700D26FC">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≤150</w:t>
            </w:r>
          </w:p>
        </w:tc>
        <w:tc>
          <w:tcPr>
            <w:tcW w:w="1335" w:type="pct"/>
            <w:shd w:val="clear" w:color="auto" w:fill="auto"/>
            <w:vAlign w:val="center"/>
          </w:tcPr>
          <w:p w14:paraId="439D8A55">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mg/kg</w:t>
            </w:r>
          </w:p>
        </w:tc>
      </w:tr>
      <w:tr w14:paraId="6C5BF4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1A2BC973">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6</w:t>
            </w:r>
          </w:p>
        </w:tc>
        <w:tc>
          <w:tcPr>
            <w:tcW w:w="1663" w:type="pct"/>
            <w:shd w:val="clear" w:color="auto" w:fill="auto"/>
            <w:vAlign w:val="center"/>
          </w:tcPr>
          <w:p w14:paraId="1CDC1047">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总铊</w:t>
            </w:r>
          </w:p>
        </w:tc>
        <w:tc>
          <w:tcPr>
            <w:tcW w:w="1461" w:type="pct"/>
            <w:shd w:val="clear" w:color="auto" w:fill="auto"/>
            <w:vAlign w:val="center"/>
          </w:tcPr>
          <w:p w14:paraId="416942EB">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≤2.5</w:t>
            </w:r>
          </w:p>
        </w:tc>
        <w:tc>
          <w:tcPr>
            <w:tcW w:w="1335" w:type="pct"/>
            <w:shd w:val="clear" w:color="auto" w:fill="auto"/>
            <w:vAlign w:val="center"/>
          </w:tcPr>
          <w:p w14:paraId="7E390403">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mg/kg</w:t>
            </w:r>
          </w:p>
        </w:tc>
      </w:tr>
      <w:tr w14:paraId="1C54F0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1EC782EC">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7</w:t>
            </w:r>
          </w:p>
        </w:tc>
        <w:tc>
          <w:tcPr>
            <w:tcW w:w="1663" w:type="pct"/>
            <w:shd w:val="clear" w:color="auto" w:fill="auto"/>
            <w:vAlign w:val="center"/>
          </w:tcPr>
          <w:p w14:paraId="66F65001">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缩二脲</w:t>
            </w:r>
          </w:p>
        </w:tc>
        <w:tc>
          <w:tcPr>
            <w:tcW w:w="1461" w:type="pct"/>
            <w:shd w:val="clear" w:color="auto" w:fill="auto"/>
            <w:vAlign w:val="center"/>
          </w:tcPr>
          <w:p w14:paraId="12682004">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≤1.5</w:t>
            </w:r>
          </w:p>
        </w:tc>
        <w:tc>
          <w:tcPr>
            <w:tcW w:w="1335" w:type="pct"/>
            <w:shd w:val="clear" w:color="auto" w:fill="auto"/>
            <w:vAlign w:val="center"/>
          </w:tcPr>
          <w:p w14:paraId="3FA0F146">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w:t>
            </w:r>
          </w:p>
        </w:tc>
      </w:tr>
      <w:tr w14:paraId="4722A0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01A04767">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8</w:t>
            </w:r>
          </w:p>
        </w:tc>
        <w:tc>
          <w:tcPr>
            <w:tcW w:w="1663" w:type="pct"/>
            <w:shd w:val="clear" w:color="auto" w:fill="auto"/>
            <w:vAlign w:val="center"/>
          </w:tcPr>
          <w:p w14:paraId="7CDFF801">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蛔虫卵死亡率</w:t>
            </w:r>
          </w:p>
        </w:tc>
        <w:tc>
          <w:tcPr>
            <w:tcW w:w="1461" w:type="pct"/>
            <w:shd w:val="clear" w:color="auto" w:fill="auto"/>
            <w:vAlign w:val="center"/>
          </w:tcPr>
          <w:p w14:paraId="373A4A68">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95</w:t>
            </w:r>
          </w:p>
        </w:tc>
        <w:tc>
          <w:tcPr>
            <w:tcW w:w="1335" w:type="pct"/>
            <w:shd w:val="clear" w:color="auto" w:fill="auto"/>
            <w:vAlign w:val="center"/>
          </w:tcPr>
          <w:p w14:paraId="52454987">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w:t>
            </w:r>
          </w:p>
        </w:tc>
      </w:tr>
      <w:tr w14:paraId="35C5FF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 w:hRule="atLeast"/>
          <w:jc w:val="center"/>
        </w:trPr>
        <w:tc>
          <w:tcPr>
            <w:tcW w:w="539" w:type="pct"/>
            <w:shd w:val="clear" w:color="auto" w:fill="auto"/>
            <w:vAlign w:val="center"/>
          </w:tcPr>
          <w:p w14:paraId="16705986">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9</w:t>
            </w:r>
          </w:p>
        </w:tc>
        <w:tc>
          <w:tcPr>
            <w:tcW w:w="1663" w:type="pct"/>
            <w:shd w:val="clear" w:color="auto" w:fill="auto"/>
            <w:vAlign w:val="center"/>
          </w:tcPr>
          <w:p w14:paraId="6F2735CE">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粪大肠菌群数</w:t>
            </w:r>
          </w:p>
        </w:tc>
        <w:tc>
          <w:tcPr>
            <w:tcW w:w="1461" w:type="pct"/>
            <w:shd w:val="clear" w:color="auto" w:fill="auto"/>
            <w:vAlign w:val="center"/>
          </w:tcPr>
          <w:p w14:paraId="4E480EA8">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≤100</w:t>
            </w:r>
          </w:p>
        </w:tc>
        <w:tc>
          <w:tcPr>
            <w:tcW w:w="1335" w:type="pct"/>
            <w:shd w:val="clear" w:color="auto" w:fill="auto"/>
            <w:vAlign w:val="center"/>
          </w:tcPr>
          <w:p w14:paraId="3D670F62">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个/g或个/mL</w:t>
            </w:r>
          </w:p>
        </w:tc>
      </w:tr>
    </w:tbl>
    <w:p w14:paraId="428EFB77">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9"/>
        <w:rPr>
          <w:rFonts w:hint="default" w:ascii="Times New Roman" w:hAnsi="Times New Roman" w:eastAsia="宋体" w:cs="Times New Roman"/>
          <w:b w:val="0"/>
          <w:bCs w:val="0"/>
          <w:color w:val="auto"/>
          <w:spacing w:val="-1"/>
          <w:sz w:val="24"/>
          <w:szCs w:val="24"/>
          <w:highlight w:val="none"/>
        </w:rPr>
      </w:pPr>
      <w:r>
        <w:rPr>
          <w:rFonts w:hint="default" w:ascii="Times New Roman" w:hAnsi="Times New Roman" w:eastAsia="宋体" w:cs="Times New Roman"/>
          <w:b w:val="0"/>
          <w:bCs w:val="0"/>
          <w:color w:val="auto"/>
          <w:spacing w:val="-1"/>
          <w:sz w:val="24"/>
          <w:szCs w:val="24"/>
          <w:highlight w:val="none"/>
          <w:lang w:eastAsia="zh-CN"/>
        </w:rPr>
        <w:t>（</w:t>
      </w:r>
      <w:r>
        <w:rPr>
          <w:rFonts w:hint="default" w:ascii="Times New Roman" w:hAnsi="Times New Roman" w:eastAsia="宋体" w:cs="Times New Roman"/>
          <w:b w:val="0"/>
          <w:bCs w:val="0"/>
          <w:color w:val="auto"/>
          <w:spacing w:val="-1"/>
          <w:sz w:val="24"/>
          <w:szCs w:val="24"/>
          <w:highlight w:val="none"/>
          <w:lang w:val="en-US" w:eastAsia="zh-CN"/>
        </w:rPr>
        <w:t>3</w:t>
      </w:r>
      <w:r>
        <w:rPr>
          <w:rFonts w:hint="default" w:ascii="Times New Roman" w:hAnsi="Times New Roman" w:eastAsia="宋体" w:cs="Times New Roman"/>
          <w:b w:val="0"/>
          <w:bCs w:val="0"/>
          <w:color w:val="auto"/>
          <w:spacing w:val="-1"/>
          <w:sz w:val="24"/>
          <w:szCs w:val="24"/>
          <w:highlight w:val="none"/>
          <w:lang w:eastAsia="zh-CN"/>
        </w:rPr>
        <w:t>）</w:t>
      </w:r>
      <w:r>
        <w:rPr>
          <w:rFonts w:hint="default" w:ascii="Times New Roman" w:hAnsi="Times New Roman" w:eastAsia="宋体" w:cs="Times New Roman"/>
          <w:b w:val="0"/>
          <w:bCs w:val="0"/>
          <w:color w:val="auto"/>
          <w:spacing w:val="-1"/>
          <w:sz w:val="24"/>
          <w:szCs w:val="24"/>
          <w:highlight w:val="none"/>
        </w:rPr>
        <w:t>噪声</w:t>
      </w:r>
    </w:p>
    <w:p w14:paraId="0251E963">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①施工期</w:t>
      </w:r>
    </w:p>
    <w:p w14:paraId="1B7336AF">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项目施工期噪声排放执行《建筑施工</w:t>
      </w:r>
      <w:r>
        <w:rPr>
          <w:rFonts w:hint="default" w:ascii="Times New Roman" w:hAnsi="Times New Roman" w:eastAsia="宋体" w:cs="Times New Roman"/>
          <w:color w:val="auto"/>
          <w:kern w:val="0"/>
          <w:sz w:val="24"/>
          <w:szCs w:val="24"/>
          <w:highlight w:val="none"/>
          <w:lang w:eastAsia="zh-CN"/>
        </w:rPr>
        <w:t>厂界</w:t>
      </w:r>
      <w:r>
        <w:rPr>
          <w:rFonts w:hint="default" w:ascii="Times New Roman" w:hAnsi="Times New Roman" w:eastAsia="宋体" w:cs="Times New Roman"/>
          <w:color w:val="auto"/>
          <w:kern w:val="0"/>
          <w:sz w:val="24"/>
          <w:szCs w:val="24"/>
          <w:highlight w:val="none"/>
        </w:rPr>
        <w:t>环境噪声排放标准》（GB12523-2011），见表2</w:t>
      </w:r>
      <w:r>
        <w:rPr>
          <w:rFonts w:hint="default" w:ascii="Times New Roman" w:hAnsi="Times New Roman" w:eastAsia="宋体" w:cs="Times New Roman"/>
          <w:color w:val="auto"/>
          <w:kern w:val="0"/>
          <w:sz w:val="24"/>
          <w:szCs w:val="24"/>
          <w:highlight w:val="none"/>
          <w:lang w:val="en-US" w:eastAsia="zh-CN"/>
        </w:rPr>
        <w:t>.</w:t>
      </w:r>
      <w:r>
        <w:rPr>
          <w:rFonts w:hint="default" w:ascii="Times New Roman" w:hAnsi="Times New Roman" w:eastAsia="宋体" w:cs="Times New Roman"/>
          <w:color w:val="auto"/>
          <w:kern w:val="0"/>
          <w:sz w:val="24"/>
          <w:szCs w:val="24"/>
          <w:highlight w:val="none"/>
        </w:rPr>
        <w:t>8-</w:t>
      </w:r>
      <w:r>
        <w:rPr>
          <w:rFonts w:hint="default" w:ascii="Times New Roman" w:hAnsi="Times New Roman" w:eastAsia="宋体" w:cs="Times New Roman"/>
          <w:color w:val="auto"/>
          <w:kern w:val="0"/>
          <w:sz w:val="24"/>
          <w:szCs w:val="24"/>
          <w:highlight w:val="none"/>
          <w:lang w:val="en-US" w:eastAsia="zh-CN"/>
        </w:rPr>
        <w:t>4</w:t>
      </w:r>
      <w:r>
        <w:rPr>
          <w:rFonts w:hint="default" w:ascii="Times New Roman" w:hAnsi="Times New Roman" w:eastAsia="宋体" w:cs="Times New Roman"/>
          <w:color w:val="auto"/>
          <w:kern w:val="0"/>
          <w:sz w:val="24"/>
          <w:szCs w:val="24"/>
          <w:highlight w:val="none"/>
        </w:rPr>
        <w:t>。</w:t>
      </w:r>
    </w:p>
    <w:p w14:paraId="2E05A880">
      <w:pPr>
        <w:pStyle w:val="44"/>
        <w:rPr>
          <w:rFonts w:hint="eastAsia" w:ascii="Times New Roman" w:hAnsi="Times New Roman" w:eastAsia="宋体" w:cs="Times New Roman"/>
          <w:b/>
          <w:bCs/>
          <w:snapToGrid w:val="0"/>
          <w:color w:val="auto"/>
          <w:kern w:val="0"/>
          <w:sz w:val="24"/>
          <w:szCs w:val="24"/>
          <w:highlight w:val="none"/>
          <w:lang w:eastAsia="zh-CN"/>
        </w:rPr>
      </w:pPr>
      <w:r>
        <w:rPr>
          <w:rFonts w:hint="default" w:ascii="Times New Roman" w:hAnsi="Times New Roman" w:eastAsia="宋体" w:cs="Times New Roman"/>
          <w:b/>
          <w:bCs/>
          <w:snapToGrid w:val="0"/>
          <w:color w:val="auto"/>
          <w:kern w:val="0"/>
          <w:sz w:val="24"/>
          <w:szCs w:val="24"/>
          <w:highlight w:val="none"/>
        </w:rPr>
        <w:t>表2</w:t>
      </w:r>
      <w:r>
        <w:rPr>
          <w:rFonts w:hint="default" w:ascii="Times New Roman" w:hAnsi="Times New Roman" w:eastAsia="宋体" w:cs="Times New Roman"/>
          <w:b/>
          <w:bCs/>
          <w:snapToGrid w:val="0"/>
          <w:color w:val="auto"/>
          <w:kern w:val="0"/>
          <w:sz w:val="24"/>
          <w:szCs w:val="24"/>
          <w:highlight w:val="none"/>
          <w:lang w:val="en-US" w:eastAsia="zh-CN"/>
        </w:rPr>
        <w:t>.</w:t>
      </w:r>
      <w:r>
        <w:rPr>
          <w:rFonts w:hint="default" w:ascii="Times New Roman" w:hAnsi="Times New Roman" w:eastAsia="宋体" w:cs="Times New Roman"/>
          <w:b/>
          <w:bCs/>
          <w:snapToGrid w:val="0"/>
          <w:color w:val="auto"/>
          <w:kern w:val="0"/>
          <w:sz w:val="24"/>
          <w:szCs w:val="24"/>
          <w:highlight w:val="none"/>
        </w:rPr>
        <w:t>8-</w:t>
      </w:r>
      <w:r>
        <w:rPr>
          <w:rFonts w:hint="default" w:ascii="Times New Roman" w:hAnsi="Times New Roman" w:eastAsia="宋体" w:cs="Times New Roman"/>
          <w:b/>
          <w:bCs/>
          <w:snapToGrid w:val="0"/>
          <w:color w:val="auto"/>
          <w:kern w:val="0"/>
          <w:sz w:val="24"/>
          <w:szCs w:val="24"/>
          <w:highlight w:val="none"/>
          <w:lang w:val="en-US" w:eastAsia="zh-CN"/>
        </w:rPr>
        <w:t>4</w:t>
      </w:r>
      <w:r>
        <w:rPr>
          <w:rFonts w:hint="default" w:ascii="Times New Roman" w:hAnsi="Times New Roman" w:eastAsia="宋体" w:cs="Times New Roman"/>
          <w:b/>
          <w:bCs/>
          <w:snapToGrid w:val="0"/>
          <w:color w:val="auto"/>
          <w:kern w:val="0"/>
          <w:sz w:val="24"/>
          <w:szCs w:val="24"/>
          <w:highlight w:val="none"/>
        </w:rPr>
        <w:t>建筑施工</w:t>
      </w:r>
      <w:r>
        <w:rPr>
          <w:rFonts w:hint="default" w:ascii="Times New Roman" w:hAnsi="Times New Roman" w:eastAsia="宋体" w:cs="Times New Roman"/>
          <w:b/>
          <w:bCs/>
          <w:snapToGrid w:val="0"/>
          <w:color w:val="auto"/>
          <w:kern w:val="0"/>
          <w:sz w:val="24"/>
          <w:szCs w:val="24"/>
          <w:highlight w:val="none"/>
          <w:lang w:eastAsia="zh-CN"/>
        </w:rPr>
        <w:t>厂界</w:t>
      </w:r>
      <w:r>
        <w:rPr>
          <w:rFonts w:hint="default" w:ascii="Times New Roman" w:hAnsi="Times New Roman" w:eastAsia="宋体" w:cs="Times New Roman"/>
          <w:b/>
          <w:bCs/>
          <w:snapToGrid w:val="0"/>
          <w:color w:val="auto"/>
          <w:kern w:val="0"/>
          <w:sz w:val="24"/>
          <w:szCs w:val="24"/>
          <w:highlight w:val="none"/>
        </w:rPr>
        <w:t>环境噪声排放标准</w:t>
      </w:r>
      <w:r>
        <w:rPr>
          <w:rFonts w:hint="eastAsia" w:ascii="Times New Roman" w:hAnsi="Times New Roman" w:eastAsia="宋体" w:cs="Times New Roman"/>
          <w:b/>
          <w:bCs/>
          <w:snapToGrid w:val="0"/>
          <w:color w:val="auto"/>
          <w:kern w:val="0"/>
          <w:sz w:val="24"/>
          <w:szCs w:val="24"/>
          <w:highlight w:val="none"/>
          <w:lang w:eastAsia="zh-CN"/>
        </w:rPr>
        <w:t>（</w:t>
      </w:r>
      <w:r>
        <w:rPr>
          <w:rFonts w:hint="default" w:ascii="Times New Roman" w:hAnsi="Times New Roman" w:eastAsia="宋体" w:cs="Times New Roman"/>
          <w:b/>
          <w:bCs/>
          <w:snapToGrid w:val="0"/>
          <w:color w:val="auto"/>
          <w:kern w:val="0"/>
          <w:sz w:val="24"/>
          <w:szCs w:val="24"/>
          <w:highlight w:val="none"/>
        </w:rPr>
        <w:t>dB（A）</w:t>
      </w:r>
      <w:r>
        <w:rPr>
          <w:rFonts w:hint="eastAsia" w:ascii="Times New Roman" w:hAnsi="Times New Roman" w:eastAsia="宋体" w:cs="Times New Roman"/>
          <w:b/>
          <w:bCs/>
          <w:snapToGrid w:val="0"/>
          <w:color w:val="auto"/>
          <w:kern w:val="0"/>
          <w:sz w:val="24"/>
          <w:szCs w:val="24"/>
          <w:highlight w:val="none"/>
          <w:lang w:eastAsia="zh-CN"/>
        </w:rPr>
        <w:t>）</w:t>
      </w:r>
    </w:p>
    <w:tbl>
      <w:tblPr>
        <w:tblStyle w:val="26"/>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67"/>
        <w:gridCol w:w="2829"/>
        <w:gridCol w:w="2830"/>
      </w:tblGrid>
      <w:tr w14:paraId="173A36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93" w:type="dxa"/>
            <w:vMerge w:val="restart"/>
            <w:shd w:val="clear" w:color="auto" w:fill="auto"/>
            <w:vAlign w:val="center"/>
          </w:tcPr>
          <w:p w14:paraId="2A1E0793">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主要噪声源</w:t>
            </w:r>
          </w:p>
        </w:tc>
        <w:tc>
          <w:tcPr>
            <w:tcW w:w="5513" w:type="dxa"/>
            <w:gridSpan w:val="2"/>
            <w:shd w:val="clear" w:color="auto" w:fill="auto"/>
            <w:vAlign w:val="center"/>
          </w:tcPr>
          <w:p w14:paraId="5D155A6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噪声限值</w:t>
            </w:r>
          </w:p>
        </w:tc>
      </w:tr>
      <w:tr w14:paraId="46C07E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93" w:type="dxa"/>
            <w:vMerge w:val="continue"/>
            <w:shd w:val="clear" w:color="auto" w:fill="auto"/>
            <w:vAlign w:val="center"/>
          </w:tcPr>
          <w:p w14:paraId="2F5BDD94">
            <w:pPr>
              <w:pStyle w:val="38"/>
              <w:rPr>
                <w:rFonts w:hint="default" w:ascii="Times New Roman" w:hAnsi="Times New Roman" w:eastAsia="宋体" w:cs="Times New Roman"/>
                <w:snapToGrid w:val="0"/>
                <w:color w:val="auto"/>
                <w:sz w:val="21"/>
                <w:szCs w:val="21"/>
                <w:highlight w:val="none"/>
              </w:rPr>
            </w:pPr>
          </w:p>
        </w:tc>
        <w:tc>
          <w:tcPr>
            <w:tcW w:w="2756" w:type="dxa"/>
            <w:shd w:val="clear" w:color="auto" w:fill="auto"/>
            <w:vAlign w:val="center"/>
          </w:tcPr>
          <w:p w14:paraId="7250388D">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昼间</w:t>
            </w:r>
          </w:p>
        </w:tc>
        <w:tc>
          <w:tcPr>
            <w:tcW w:w="2757" w:type="dxa"/>
            <w:shd w:val="clear" w:color="auto" w:fill="auto"/>
            <w:vAlign w:val="center"/>
          </w:tcPr>
          <w:p w14:paraId="0A96657F">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夜间</w:t>
            </w:r>
          </w:p>
        </w:tc>
      </w:tr>
      <w:tr w14:paraId="2D4BBD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93" w:type="dxa"/>
            <w:shd w:val="clear" w:color="auto" w:fill="auto"/>
            <w:vAlign w:val="center"/>
          </w:tcPr>
          <w:p w14:paraId="61CB3569">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建筑施工</w:t>
            </w:r>
          </w:p>
        </w:tc>
        <w:tc>
          <w:tcPr>
            <w:tcW w:w="2756" w:type="dxa"/>
            <w:shd w:val="clear" w:color="auto" w:fill="auto"/>
            <w:vAlign w:val="center"/>
          </w:tcPr>
          <w:p w14:paraId="4BCCD6AF">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70</w:t>
            </w:r>
          </w:p>
        </w:tc>
        <w:tc>
          <w:tcPr>
            <w:tcW w:w="2757" w:type="dxa"/>
            <w:shd w:val="clear" w:color="auto" w:fill="auto"/>
            <w:vAlign w:val="center"/>
          </w:tcPr>
          <w:p w14:paraId="0C54D3BD">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55</w:t>
            </w:r>
          </w:p>
        </w:tc>
      </w:tr>
    </w:tbl>
    <w:p w14:paraId="4DA50DB6">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②运营期</w:t>
      </w:r>
    </w:p>
    <w:p w14:paraId="500BD8F5">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项目运营期噪声排放执行《工业企业厂界环境噪声排放标准》（GB12348-2008）表1中的</w:t>
      </w:r>
      <w:r>
        <w:rPr>
          <w:rFonts w:hint="default"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rPr>
        <w:t>类声环境功能区标准限值，见表2</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8-</w:t>
      </w:r>
      <w:r>
        <w:rPr>
          <w:rFonts w:hint="default"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rPr>
        <w:t>。</w:t>
      </w:r>
    </w:p>
    <w:p w14:paraId="718F00AC">
      <w:pPr>
        <w:pStyle w:val="44"/>
        <w:rPr>
          <w:rFonts w:hint="eastAsia" w:ascii="Times New Roman" w:hAnsi="Times New Roman" w:eastAsia="宋体" w:cs="Times New Roman"/>
          <w:b/>
          <w:bCs/>
          <w:snapToGrid w:val="0"/>
          <w:color w:val="auto"/>
          <w:kern w:val="0"/>
          <w:sz w:val="24"/>
          <w:szCs w:val="24"/>
          <w:highlight w:val="none"/>
          <w:lang w:eastAsia="zh-CN"/>
        </w:rPr>
      </w:pPr>
      <w:r>
        <w:rPr>
          <w:rFonts w:hint="default" w:ascii="Times New Roman" w:hAnsi="Times New Roman" w:eastAsia="宋体" w:cs="Times New Roman"/>
          <w:b/>
          <w:bCs/>
          <w:snapToGrid w:val="0"/>
          <w:color w:val="auto"/>
          <w:kern w:val="0"/>
          <w:sz w:val="24"/>
          <w:szCs w:val="24"/>
          <w:highlight w:val="none"/>
        </w:rPr>
        <w:t>表2</w:t>
      </w:r>
      <w:r>
        <w:rPr>
          <w:rFonts w:hint="default" w:ascii="Times New Roman" w:hAnsi="Times New Roman" w:eastAsia="宋体" w:cs="Times New Roman"/>
          <w:b/>
          <w:bCs/>
          <w:snapToGrid w:val="0"/>
          <w:color w:val="auto"/>
          <w:kern w:val="0"/>
          <w:sz w:val="24"/>
          <w:szCs w:val="24"/>
          <w:highlight w:val="none"/>
          <w:lang w:val="en-US" w:eastAsia="zh-CN"/>
        </w:rPr>
        <w:t>.</w:t>
      </w:r>
      <w:r>
        <w:rPr>
          <w:rFonts w:hint="default" w:ascii="Times New Roman" w:hAnsi="Times New Roman" w:eastAsia="宋体" w:cs="Times New Roman"/>
          <w:b/>
          <w:bCs/>
          <w:snapToGrid w:val="0"/>
          <w:color w:val="auto"/>
          <w:kern w:val="0"/>
          <w:sz w:val="24"/>
          <w:szCs w:val="24"/>
          <w:highlight w:val="none"/>
        </w:rPr>
        <w:t>8-</w:t>
      </w:r>
      <w:r>
        <w:rPr>
          <w:rFonts w:hint="default" w:ascii="Times New Roman" w:hAnsi="Times New Roman" w:eastAsia="宋体" w:cs="Times New Roman"/>
          <w:b/>
          <w:bCs/>
          <w:snapToGrid w:val="0"/>
          <w:color w:val="auto"/>
          <w:kern w:val="0"/>
          <w:sz w:val="24"/>
          <w:szCs w:val="24"/>
          <w:highlight w:val="none"/>
          <w:lang w:val="en-US" w:eastAsia="zh-CN"/>
        </w:rPr>
        <w:t>5</w:t>
      </w:r>
      <w:r>
        <w:rPr>
          <w:rFonts w:hint="default" w:ascii="Times New Roman" w:hAnsi="Times New Roman" w:eastAsia="宋体" w:cs="Times New Roman"/>
          <w:b/>
          <w:bCs/>
          <w:snapToGrid w:val="0"/>
          <w:color w:val="auto"/>
          <w:kern w:val="0"/>
          <w:sz w:val="24"/>
          <w:szCs w:val="24"/>
          <w:highlight w:val="none"/>
        </w:rPr>
        <w:t>工业企业厂界噪声标准</w:t>
      </w:r>
      <w:r>
        <w:rPr>
          <w:rFonts w:hint="eastAsia" w:ascii="Times New Roman" w:hAnsi="Times New Roman" w:eastAsia="宋体" w:cs="Times New Roman"/>
          <w:b/>
          <w:bCs/>
          <w:snapToGrid w:val="0"/>
          <w:color w:val="auto"/>
          <w:kern w:val="0"/>
          <w:sz w:val="24"/>
          <w:szCs w:val="24"/>
          <w:highlight w:val="none"/>
          <w:lang w:eastAsia="zh-CN"/>
        </w:rPr>
        <w:t>（</w:t>
      </w:r>
      <w:r>
        <w:rPr>
          <w:rFonts w:hint="default" w:ascii="Times New Roman" w:hAnsi="Times New Roman" w:eastAsia="宋体" w:cs="Times New Roman"/>
          <w:b/>
          <w:bCs/>
          <w:snapToGrid w:val="0"/>
          <w:color w:val="auto"/>
          <w:kern w:val="0"/>
          <w:sz w:val="24"/>
          <w:szCs w:val="24"/>
          <w:highlight w:val="none"/>
        </w:rPr>
        <w:t>dB（A）</w:t>
      </w:r>
      <w:r>
        <w:rPr>
          <w:rFonts w:hint="eastAsia" w:ascii="Times New Roman" w:hAnsi="Times New Roman" w:eastAsia="宋体" w:cs="Times New Roman"/>
          <w:b/>
          <w:bCs/>
          <w:snapToGrid w:val="0"/>
          <w:color w:val="auto"/>
          <w:kern w:val="0"/>
          <w:sz w:val="24"/>
          <w:szCs w:val="24"/>
          <w:highlight w:val="none"/>
          <w:lang w:eastAsia="zh-CN"/>
        </w:rPr>
        <w:t>）</w:t>
      </w:r>
    </w:p>
    <w:tbl>
      <w:tblPr>
        <w:tblStyle w:val="26"/>
        <w:tblW w:w="500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217"/>
        <w:gridCol w:w="1660"/>
        <w:gridCol w:w="1816"/>
        <w:gridCol w:w="2848"/>
      </w:tblGrid>
      <w:tr w14:paraId="457425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9" w:hRule="atLeast"/>
        </w:trPr>
        <w:tc>
          <w:tcPr>
            <w:tcW w:w="1298" w:type="pct"/>
            <w:vMerge w:val="restart"/>
            <w:shd w:val="clear" w:color="auto" w:fill="auto"/>
            <w:vAlign w:val="center"/>
          </w:tcPr>
          <w:p w14:paraId="1619C63D">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控制项目</w:t>
            </w:r>
          </w:p>
        </w:tc>
        <w:tc>
          <w:tcPr>
            <w:tcW w:w="972" w:type="pct"/>
            <w:vMerge w:val="restart"/>
            <w:shd w:val="clear" w:color="auto" w:fill="auto"/>
            <w:vAlign w:val="center"/>
          </w:tcPr>
          <w:p w14:paraId="75D6E075">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声环境功能区类别</w:t>
            </w:r>
          </w:p>
        </w:tc>
        <w:tc>
          <w:tcPr>
            <w:tcW w:w="2730" w:type="pct"/>
            <w:gridSpan w:val="2"/>
            <w:shd w:val="clear" w:color="auto" w:fill="auto"/>
            <w:vAlign w:val="center"/>
          </w:tcPr>
          <w:p w14:paraId="4F6DE196">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标准值</w:t>
            </w:r>
          </w:p>
        </w:tc>
      </w:tr>
      <w:tr w14:paraId="2FF783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8" w:type="pct"/>
            <w:vMerge w:val="continue"/>
            <w:shd w:val="clear" w:color="auto" w:fill="auto"/>
            <w:vAlign w:val="center"/>
          </w:tcPr>
          <w:p w14:paraId="13D79861">
            <w:pPr>
              <w:pStyle w:val="38"/>
              <w:rPr>
                <w:rFonts w:hint="default" w:ascii="Times New Roman" w:hAnsi="Times New Roman" w:cs="Times New Roman"/>
                <w:snapToGrid w:val="0"/>
                <w:color w:val="auto"/>
                <w:highlight w:val="none"/>
              </w:rPr>
            </w:pPr>
          </w:p>
        </w:tc>
        <w:tc>
          <w:tcPr>
            <w:tcW w:w="972" w:type="pct"/>
            <w:vMerge w:val="continue"/>
            <w:shd w:val="clear" w:color="auto" w:fill="auto"/>
            <w:vAlign w:val="center"/>
          </w:tcPr>
          <w:p w14:paraId="50FD6BDF">
            <w:pPr>
              <w:pStyle w:val="38"/>
              <w:rPr>
                <w:rFonts w:hint="default" w:ascii="Times New Roman" w:hAnsi="Times New Roman" w:cs="Times New Roman"/>
                <w:snapToGrid w:val="0"/>
                <w:color w:val="auto"/>
                <w:highlight w:val="none"/>
              </w:rPr>
            </w:pPr>
          </w:p>
        </w:tc>
        <w:tc>
          <w:tcPr>
            <w:tcW w:w="1063" w:type="pct"/>
            <w:shd w:val="clear" w:color="auto" w:fill="auto"/>
            <w:vAlign w:val="center"/>
          </w:tcPr>
          <w:p w14:paraId="2520316A">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昼间</w:t>
            </w:r>
          </w:p>
        </w:tc>
        <w:tc>
          <w:tcPr>
            <w:tcW w:w="1667" w:type="pct"/>
            <w:shd w:val="clear" w:color="auto" w:fill="auto"/>
            <w:vAlign w:val="center"/>
          </w:tcPr>
          <w:p w14:paraId="5F147C75">
            <w:pPr>
              <w:pStyle w:val="38"/>
              <w:rPr>
                <w:rFonts w:hint="default" w:ascii="Times New Roman" w:hAnsi="Times New Roman" w:cs="Times New Roman"/>
                <w:snapToGrid w:val="0"/>
                <w:color w:val="auto"/>
                <w:highlight w:val="none"/>
              </w:rPr>
            </w:pPr>
            <w:r>
              <w:rPr>
                <w:rFonts w:hint="default" w:ascii="Times New Roman" w:hAnsi="Times New Roman" w:cs="Times New Roman"/>
                <w:snapToGrid w:val="0"/>
                <w:color w:val="auto"/>
                <w:highlight w:val="none"/>
              </w:rPr>
              <w:t>夜间</w:t>
            </w:r>
          </w:p>
        </w:tc>
      </w:tr>
      <w:tr w14:paraId="39B8A7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1298" w:type="pct"/>
            <w:shd w:val="clear" w:color="auto" w:fill="auto"/>
            <w:vAlign w:val="center"/>
          </w:tcPr>
          <w:p w14:paraId="4572F38F">
            <w:pPr>
              <w:pStyle w:val="38"/>
              <w:rPr>
                <w:rFonts w:hint="default" w:ascii="Times New Roman" w:hAnsi="Times New Roman" w:cs="Times New Roman"/>
                <w:snapToGrid w:val="0"/>
                <w:color w:val="FF0000"/>
                <w:highlight w:val="none"/>
              </w:rPr>
            </w:pPr>
            <w:r>
              <w:rPr>
                <w:rFonts w:hint="default" w:ascii="Times New Roman" w:hAnsi="Times New Roman" w:cs="Times New Roman"/>
                <w:snapToGrid w:val="0"/>
                <w:color w:val="FF0000"/>
                <w:highlight w:val="none"/>
              </w:rPr>
              <w:t>噪声</w:t>
            </w:r>
          </w:p>
        </w:tc>
        <w:tc>
          <w:tcPr>
            <w:tcW w:w="972" w:type="pct"/>
            <w:shd w:val="clear" w:color="auto" w:fill="auto"/>
            <w:vAlign w:val="center"/>
          </w:tcPr>
          <w:p w14:paraId="65F68F76">
            <w:pPr>
              <w:pStyle w:val="38"/>
              <w:rPr>
                <w:rFonts w:hint="default" w:ascii="Times New Roman" w:hAnsi="Times New Roman" w:cs="Times New Roman"/>
                <w:snapToGrid w:val="0"/>
                <w:color w:val="FF0000"/>
                <w:highlight w:val="none"/>
              </w:rPr>
            </w:pPr>
            <w:r>
              <w:rPr>
                <w:rFonts w:hint="default" w:ascii="Times New Roman" w:hAnsi="Times New Roman" w:eastAsia="宋体" w:cs="Times New Roman"/>
                <w:snapToGrid w:val="0"/>
                <w:color w:val="FF0000"/>
                <w:highlight w:val="none"/>
                <w:lang w:val="en-US" w:eastAsia="zh-CN"/>
              </w:rPr>
              <w:t>1</w:t>
            </w:r>
            <w:r>
              <w:rPr>
                <w:rFonts w:hint="default" w:ascii="Times New Roman" w:hAnsi="Times New Roman" w:cs="Times New Roman"/>
                <w:snapToGrid w:val="0"/>
                <w:color w:val="FF0000"/>
                <w:highlight w:val="none"/>
              </w:rPr>
              <w:t>类</w:t>
            </w:r>
          </w:p>
        </w:tc>
        <w:tc>
          <w:tcPr>
            <w:tcW w:w="1063" w:type="pct"/>
            <w:shd w:val="clear" w:color="auto" w:fill="auto"/>
            <w:vAlign w:val="center"/>
          </w:tcPr>
          <w:p w14:paraId="3EEA8BE4">
            <w:pPr>
              <w:pStyle w:val="38"/>
              <w:rPr>
                <w:rFonts w:hint="default" w:ascii="Times New Roman" w:hAnsi="Times New Roman" w:eastAsia="宋体" w:cs="Times New Roman"/>
                <w:snapToGrid w:val="0"/>
                <w:color w:val="FF0000"/>
                <w:highlight w:val="none"/>
                <w:lang w:val="en-US" w:eastAsia="zh-CN"/>
              </w:rPr>
            </w:pPr>
            <w:r>
              <w:rPr>
                <w:rFonts w:hint="default" w:ascii="Times New Roman" w:hAnsi="Times New Roman" w:eastAsia="宋体" w:cs="Times New Roman"/>
                <w:snapToGrid w:val="0"/>
                <w:color w:val="FF0000"/>
                <w:highlight w:val="none"/>
                <w:lang w:val="en-US" w:eastAsia="zh-CN"/>
              </w:rPr>
              <w:t>55</w:t>
            </w:r>
          </w:p>
        </w:tc>
        <w:tc>
          <w:tcPr>
            <w:tcW w:w="1667" w:type="pct"/>
            <w:shd w:val="clear" w:color="auto" w:fill="auto"/>
            <w:vAlign w:val="center"/>
          </w:tcPr>
          <w:p w14:paraId="4705847E">
            <w:pPr>
              <w:pStyle w:val="38"/>
              <w:rPr>
                <w:rFonts w:hint="default" w:ascii="Times New Roman" w:hAnsi="Times New Roman" w:eastAsia="宋体" w:cs="Times New Roman"/>
                <w:snapToGrid w:val="0"/>
                <w:color w:val="FF0000"/>
                <w:highlight w:val="none"/>
                <w:lang w:val="en-US" w:eastAsia="zh-CN"/>
              </w:rPr>
            </w:pPr>
            <w:r>
              <w:rPr>
                <w:rFonts w:hint="default" w:ascii="Times New Roman" w:hAnsi="Times New Roman" w:eastAsia="宋体" w:cs="Times New Roman"/>
                <w:snapToGrid w:val="0"/>
                <w:color w:val="FF0000"/>
                <w:highlight w:val="none"/>
                <w:lang w:val="en-US" w:eastAsia="zh-CN"/>
              </w:rPr>
              <w:t>45</w:t>
            </w:r>
          </w:p>
        </w:tc>
      </w:tr>
    </w:tbl>
    <w:p w14:paraId="7BF9B9EE">
      <w:pPr>
        <w:keepNext w:val="0"/>
        <w:keepLines w:val="0"/>
        <w:pageBreakBefore w:val="0"/>
        <w:widowControl/>
        <w:kinsoku/>
        <w:wordWrap w:val="0"/>
        <w:overflowPunct/>
        <w:topLinePunct/>
        <w:autoSpaceDE/>
        <w:autoSpaceDN/>
        <w:bidi w:val="0"/>
        <w:adjustRightInd w:val="0"/>
        <w:snapToGrid w:val="0"/>
        <w:spacing w:line="360" w:lineRule="auto"/>
        <w:ind w:firstLine="476" w:firstLineChars="200"/>
        <w:textAlignment w:val="baseline"/>
        <w:outlineLvl w:val="9"/>
        <w:rPr>
          <w:rFonts w:hint="default" w:ascii="Times New Roman" w:hAnsi="Times New Roman" w:eastAsia="Times New Roman" w:cs="Times New Roman"/>
          <w:b w:val="0"/>
          <w:bCs w:val="0"/>
          <w:color w:val="auto"/>
          <w:spacing w:val="-1"/>
          <w:sz w:val="24"/>
          <w:szCs w:val="24"/>
          <w:highlight w:val="none"/>
        </w:rPr>
      </w:pPr>
      <w:r>
        <w:rPr>
          <w:rFonts w:hint="default" w:ascii="Times New Roman" w:hAnsi="Times New Roman" w:eastAsia="宋体" w:cs="Times New Roman"/>
          <w:b w:val="0"/>
          <w:bCs w:val="0"/>
          <w:color w:val="auto"/>
          <w:spacing w:val="-1"/>
          <w:sz w:val="24"/>
          <w:szCs w:val="24"/>
          <w:highlight w:val="none"/>
          <w:lang w:eastAsia="zh-CN"/>
        </w:rPr>
        <w:t>（</w:t>
      </w:r>
      <w:r>
        <w:rPr>
          <w:rFonts w:hint="default" w:ascii="Times New Roman" w:hAnsi="Times New Roman" w:eastAsia="宋体" w:cs="Times New Roman"/>
          <w:b w:val="0"/>
          <w:bCs w:val="0"/>
          <w:color w:val="auto"/>
          <w:spacing w:val="-1"/>
          <w:sz w:val="24"/>
          <w:szCs w:val="24"/>
          <w:highlight w:val="none"/>
          <w:lang w:val="en-US" w:eastAsia="zh-CN"/>
        </w:rPr>
        <w:t>4</w:t>
      </w:r>
      <w:r>
        <w:rPr>
          <w:rFonts w:hint="default" w:ascii="Times New Roman" w:hAnsi="Times New Roman" w:eastAsia="宋体" w:cs="Times New Roman"/>
          <w:b w:val="0"/>
          <w:bCs w:val="0"/>
          <w:color w:val="auto"/>
          <w:spacing w:val="-1"/>
          <w:sz w:val="24"/>
          <w:szCs w:val="24"/>
          <w:highlight w:val="none"/>
          <w:lang w:eastAsia="zh-CN"/>
        </w:rPr>
        <w:t>）</w:t>
      </w:r>
      <w:r>
        <w:rPr>
          <w:rFonts w:hint="default" w:ascii="Times New Roman" w:hAnsi="Times New Roman" w:eastAsia="Times New Roman" w:cs="Times New Roman"/>
          <w:b w:val="0"/>
          <w:bCs w:val="0"/>
          <w:color w:val="auto"/>
          <w:spacing w:val="-1"/>
          <w:sz w:val="24"/>
          <w:szCs w:val="24"/>
          <w:highlight w:val="none"/>
        </w:rPr>
        <w:t>固体废物</w:t>
      </w:r>
    </w:p>
    <w:p w14:paraId="217FAD7B">
      <w:pPr>
        <w:pStyle w:val="40"/>
        <w:keepNext w:val="0"/>
        <w:keepLines w:val="0"/>
        <w:pageBreakBefore w:val="0"/>
        <w:widowControl/>
        <w:overflowPunct/>
        <w:bidi w:val="0"/>
        <w:spacing w:line="360" w:lineRule="auto"/>
        <w:ind w:left="0"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医疗废物的暂存按照《医疗废物处理处置污染控制标准》（GB 39707-2020）对医疗废物有关贮存要求执行，处置方式按《危险废物贮存污染控制标准》</w:t>
      </w:r>
      <w:r>
        <w:rPr>
          <w:rFonts w:hint="default" w:ascii="Times New Roman" w:hAnsi="Times New Roman" w:eastAsia="宋体" w:cs="Times New Roman"/>
          <w:color w:val="auto"/>
          <w:spacing w:val="-2"/>
          <w:sz w:val="24"/>
          <w:szCs w:val="24"/>
          <w:highlight w:val="none"/>
          <w:lang w:val="en-US" w:eastAsia="zh-CN"/>
        </w:rPr>
        <w:t>（GB18597-2023）</w:t>
      </w:r>
      <w:r>
        <w:rPr>
          <w:rFonts w:hint="default" w:ascii="Times New Roman" w:hAnsi="Times New Roman" w:cs="Times New Roman"/>
          <w:color w:val="auto"/>
          <w:sz w:val="24"/>
          <w:szCs w:val="24"/>
          <w:highlight w:val="none"/>
        </w:rPr>
        <w:t>的规定执行。</w:t>
      </w:r>
    </w:p>
    <w:p w14:paraId="21EF77BE">
      <w:pPr>
        <w:pStyle w:val="40"/>
        <w:keepNext w:val="0"/>
        <w:keepLines w:val="0"/>
        <w:pageBreakBefore w:val="0"/>
        <w:widowControl/>
        <w:overflowPunct/>
        <w:bidi w:val="0"/>
        <w:spacing w:line="360" w:lineRule="auto"/>
        <w:ind w:left="0"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其它一般固体废物贮存、处置按照《一般工业固体废物贮存和填埋污染控制标准》(GB18599-2020)中规定执行。</w:t>
      </w:r>
    </w:p>
    <w:p w14:paraId="745EF79D">
      <w:pPr>
        <w:keepNext w:val="0"/>
        <w:keepLines w:val="0"/>
        <w:pageBreakBefore w:val="0"/>
        <w:widowControl/>
        <w:kinsoku/>
        <w:wordWrap w:val="0"/>
        <w:overflowPunct/>
        <w:topLinePunct/>
        <w:autoSpaceDE/>
        <w:autoSpaceDN/>
        <w:bidi w:val="0"/>
        <w:adjustRightInd w:val="0"/>
        <w:snapToGrid w:val="0"/>
        <w:spacing w:line="360" w:lineRule="auto"/>
        <w:ind w:left="0" w:firstLine="480" w:firstLineChars="200"/>
        <w:textAlignment w:val="baseline"/>
        <w:outlineLvl w:val="9"/>
        <w:rPr>
          <w:rFonts w:hint="default" w:ascii="Times New Roman" w:hAnsi="Times New Roman" w:eastAsia="宋体" w:cs="Times New Roman"/>
          <w:b/>
          <w:bCs/>
          <w:color w:val="auto"/>
          <w:spacing w:val="-5"/>
          <w:sz w:val="24"/>
          <w:szCs w:val="24"/>
          <w:highlight w:val="none"/>
          <w:lang w:val="en-US" w:eastAsia="zh-CN"/>
        </w:rPr>
      </w:pPr>
      <w:r>
        <w:rPr>
          <w:rFonts w:hint="default" w:ascii="Times New Roman" w:hAnsi="Times New Roman" w:cs="Times New Roman"/>
          <w:color w:val="auto"/>
          <w:sz w:val="24"/>
          <w:szCs w:val="24"/>
          <w:highlight w:val="none"/>
        </w:rPr>
        <w:t>《固体废物分类与代码目录》（生态环境部公告 2024年 第4号）</w:t>
      </w:r>
    </w:p>
    <w:p w14:paraId="0CD91362">
      <w:pPr>
        <w:keepNext w:val="0"/>
        <w:keepLines w:val="0"/>
        <w:pageBreakBefore w:val="0"/>
        <w:numPr>
          <w:ilvl w:val="0"/>
          <w:numId w:val="0"/>
        </w:numPr>
        <w:kinsoku/>
        <w:wordWrap w:val="0"/>
        <w:overflowPunct/>
        <w:topLinePunct/>
        <w:autoSpaceDE/>
        <w:autoSpaceDN/>
        <w:bidi w:val="0"/>
        <w:adjustRightInd w:val="0"/>
        <w:snapToGrid w:val="0"/>
        <w:spacing w:before="46" w:line="361" w:lineRule="auto"/>
        <w:ind w:firstLine="644" w:firstLineChars="200"/>
        <w:textAlignment w:val="baseline"/>
        <w:rPr>
          <w:rFonts w:hint="default" w:ascii="Times New Roman" w:hAnsi="Times New Roman" w:eastAsia="Times New Roman" w:cs="Times New Roman"/>
          <w:b/>
          <w:bCs/>
          <w:color w:val="auto"/>
          <w:spacing w:val="6"/>
          <w:sz w:val="31"/>
          <w:szCs w:val="31"/>
          <w:highlight w:val="none"/>
        </w:rPr>
      </w:pPr>
      <w:r>
        <w:rPr>
          <w:rFonts w:hint="default" w:ascii="Times New Roman" w:hAnsi="Times New Roman" w:eastAsia="Times New Roman" w:cs="Times New Roman"/>
          <w:b/>
          <w:bCs/>
          <w:color w:val="auto"/>
          <w:spacing w:val="6"/>
          <w:sz w:val="31"/>
          <w:szCs w:val="31"/>
          <w:highlight w:val="none"/>
        </w:rPr>
        <w:br w:type="page"/>
      </w:r>
    </w:p>
    <w:p w14:paraId="140D0881">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0"/>
        <w:rPr>
          <w:rFonts w:hint="default" w:ascii="Times New Roman" w:hAnsi="Times New Roman" w:eastAsia="Times New Roman" w:cs="Times New Roman"/>
          <w:b/>
          <w:bCs/>
          <w:color w:val="auto"/>
          <w:sz w:val="32"/>
          <w:szCs w:val="32"/>
          <w:highlight w:val="none"/>
        </w:rPr>
      </w:pPr>
      <w:bookmarkStart w:id="98" w:name="_Toc23944"/>
      <w:bookmarkStart w:id="99" w:name="_Toc32753"/>
      <w:r>
        <w:rPr>
          <w:rFonts w:hint="default" w:ascii="Times New Roman" w:hAnsi="Times New Roman" w:eastAsia="Times New Roman" w:cs="Times New Roman"/>
          <w:b/>
          <w:bCs/>
          <w:color w:val="auto"/>
          <w:sz w:val="32"/>
          <w:szCs w:val="32"/>
          <w:highlight w:val="none"/>
        </w:rPr>
        <w:t>3.建设项目工程分析</w:t>
      </w:r>
      <w:bookmarkEnd w:id="98"/>
    </w:p>
    <w:p w14:paraId="0BEE5218">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100" w:name="_Toc18314"/>
      <w:bookmarkStart w:id="101" w:name="_Toc32076"/>
      <w:bookmarkStart w:id="102" w:name="_Toc1323"/>
      <w:r>
        <w:rPr>
          <w:rFonts w:hint="default" w:ascii="Times New Roman" w:hAnsi="Times New Roman" w:eastAsia="Times New Roman" w:cs="Times New Roman"/>
          <w:b/>
          <w:bCs/>
          <w:color w:val="auto"/>
          <w:spacing w:val="-5"/>
          <w:sz w:val="28"/>
          <w:szCs w:val="28"/>
          <w:highlight w:val="none"/>
        </w:rPr>
        <w:t>3.1建设项目概况</w:t>
      </w:r>
      <w:bookmarkEnd w:id="100"/>
      <w:bookmarkEnd w:id="101"/>
      <w:bookmarkEnd w:id="102"/>
    </w:p>
    <w:p w14:paraId="094353C5">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r>
        <w:rPr>
          <w:rFonts w:hint="default" w:ascii="Times New Roman" w:hAnsi="Times New Roman" w:eastAsia="宋体" w:cs="Times New Roman"/>
          <w:b/>
          <w:bCs/>
          <w:color w:val="auto"/>
          <w:spacing w:val="-2"/>
          <w:sz w:val="24"/>
          <w:szCs w:val="24"/>
          <w:highlight w:val="none"/>
          <w:lang w:val="en-US" w:eastAsia="zh-CN"/>
        </w:rPr>
        <w:t>3.1.1基本情况</w:t>
      </w:r>
      <w:bookmarkEnd w:id="99"/>
    </w:p>
    <w:p w14:paraId="759B8AB2">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项目名称：双鸭山市</w:t>
      </w:r>
      <w:r>
        <w:rPr>
          <w:rFonts w:hint="default" w:ascii="Times New Roman" w:hAnsi="Times New Roman" w:eastAsia="宋体" w:cs="Times New Roman"/>
          <w:color w:val="auto"/>
          <w:spacing w:val="-1"/>
          <w:sz w:val="24"/>
          <w:szCs w:val="24"/>
          <w:highlight w:val="none"/>
          <w:lang w:val="en-US" w:eastAsia="zh-CN"/>
        </w:rPr>
        <w:t>永胜农机合作社肉牛养殖基地</w:t>
      </w:r>
      <w:r>
        <w:rPr>
          <w:rFonts w:hint="default" w:ascii="Times New Roman" w:hAnsi="Times New Roman" w:eastAsia="宋体" w:cs="Times New Roman"/>
          <w:color w:val="auto"/>
          <w:spacing w:val="-1"/>
          <w:sz w:val="24"/>
          <w:szCs w:val="24"/>
          <w:highlight w:val="none"/>
        </w:rPr>
        <w:t>项目</w:t>
      </w:r>
    </w:p>
    <w:p w14:paraId="0E438988">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建设单位：双鸭山市</w:t>
      </w:r>
      <w:r>
        <w:rPr>
          <w:rFonts w:hint="default" w:ascii="Times New Roman" w:hAnsi="Times New Roman" w:eastAsia="宋体" w:cs="Times New Roman"/>
          <w:color w:val="auto"/>
          <w:spacing w:val="-1"/>
          <w:sz w:val="24"/>
          <w:szCs w:val="24"/>
          <w:highlight w:val="none"/>
          <w:lang w:val="en-US" w:eastAsia="zh-CN"/>
        </w:rPr>
        <w:t>永胜农机合作社</w:t>
      </w:r>
    </w:p>
    <w:p w14:paraId="7BC0C9F7">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1"/>
          <w:sz w:val="24"/>
          <w:szCs w:val="24"/>
          <w:highlight w:val="none"/>
        </w:rPr>
        <w:t>建设地点：</w:t>
      </w:r>
      <w:r>
        <w:rPr>
          <w:rFonts w:hint="default" w:ascii="Times New Roman" w:hAnsi="Times New Roman" w:eastAsia="宋体" w:cs="Times New Roman"/>
          <w:color w:val="auto"/>
          <w:sz w:val="24"/>
          <w:szCs w:val="24"/>
          <w:highlight w:val="none"/>
          <w:lang w:val="en-US" w:eastAsia="zh-CN"/>
        </w:rPr>
        <w:t>双鸭山市集贤县集贤镇种畜场（康家屯）</w:t>
      </w:r>
    </w:p>
    <w:p w14:paraId="6D103D3A">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项目投资：</w:t>
      </w:r>
      <w:r>
        <w:rPr>
          <w:rFonts w:hint="default" w:ascii="Times New Roman" w:hAnsi="Times New Roman" w:eastAsia="宋体" w:cs="Times New Roman"/>
          <w:color w:val="auto"/>
          <w:spacing w:val="-2"/>
          <w:sz w:val="24"/>
          <w:szCs w:val="24"/>
          <w:highlight w:val="none"/>
          <w:lang w:val="en-US" w:eastAsia="zh-CN"/>
        </w:rPr>
        <w:t>11000万</w:t>
      </w:r>
      <w:r>
        <w:rPr>
          <w:rFonts w:hint="default" w:ascii="Times New Roman" w:hAnsi="Times New Roman" w:eastAsia="宋体" w:cs="Times New Roman"/>
          <w:color w:val="auto"/>
          <w:spacing w:val="-2"/>
          <w:sz w:val="24"/>
          <w:szCs w:val="24"/>
          <w:highlight w:val="none"/>
        </w:rPr>
        <w:t>元，其中环保投资</w:t>
      </w:r>
      <w:r>
        <w:rPr>
          <w:rFonts w:hint="default" w:ascii="Times New Roman" w:hAnsi="Times New Roman" w:eastAsia="宋体" w:cs="Times New Roman"/>
          <w:color w:val="auto"/>
          <w:spacing w:val="-2"/>
          <w:sz w:val="24"/>
          <w:szCs w:val="24"/>
          <w:highlight w:val="none"/>
          <w:lang w:val="en-US" w:eastAsia="zh-CN"/>
        </w:rPr>
        <w:t>401</w:t>
      </w:r>
      <w:r>
        <w:rPr>
          <w:rFonts w:hint="default" w:ascii="Times New Roman" w:hAnsi="Times New Roman" w:eastAsia="宋体" w:cs="Times New Roman"/>
          <w:color w:val="auto"/>
          <w:spacing w:val="-2"/>
          <w:sz w:val="24"/>
          <w:szCs w:val="24"/>
          <w:highlight w:val="none"/>
        </w:rPr>
        <w:t>元，占总投资的</w:t>
      </w:r>
      <w:r>
        <w:rPr>
          <w:rFonts w:hint="default" w:ascii="Times New Roman" w:hAnsi="Times New Roman" w:eastAsia="宋体" w:cs="Times New Roman"/>
          <w:color w:val="auto"/>
          <w:spacing w:val="-2"/>
          <w:sz w:val="24"/>
          <w:szCs w:val="24"/>
          <w:highlight w:val="none"/>
          <w:lang w:val="en-US" w:eastAsia="zh-CN"/>
        </w:rPr>
        <w:t>4</w:t>
      </w:r>
      <w:r>
        <w:rPr>
          <w:rFonts w:hint="default" w:ascii="Times New Roman" w:hAnsi="Times New Roman" w:eastAsia="Times New Roman"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rPr>
        <w:t>。</w:t>
      </w:r>
    </w:p>
    <w:p w14:paraId="622DB79A">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建设性质：新建</w:t>
      </w:r>
    </w:p>
    <w:p w14:paraId="44A7BA2B">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pacing w:val="-2"/>
          <w:sz w:val="24"/>
          <w:szCs w:val="24"/>
          <w:highlight w:val="none"/>
        </w:rPr>
        <w:t>预计投产日期：</w:t>
      </w:r>
      <w:r>
        <w:rPr>
          <w:rFonts w:hint="default" w:ascii="Times New Roman" w:hAnsi="Times New Roman" w:eastAsia="Times New Roman" w:cs="Times New Roman"/>
          <w:color w:val="auto"/>
          <w:spacing w:val="-2"/>
          <w:sz w:val="24"/>
          <w:szCs w:val="24"/>
          <w:highlight w:val="none"/>
        </w:rPr>
        <w:t>202</w:t>
      </w:r>
      <w:r>
        <w:rPr>
          <w:rFonts w:hint="default" w:ascii="Times New Roman" w:hAnsi="Times New Roman" w:eastAsia="宋体" w:cs="Times New Roman"/>
          <w:color w:val="auto"/>
          <w:spacing w:val="-2"/>
          <w:sz w:val="24"/>
          <w:szCs w:val="24"/>
          <w:highlight w:val="none"/>
          <w:lang w:val="en-US" w:eastAsia="zh-CN"/>
        </w:rPr>
        <w:t>5</w:t>
      </w:r>
      <w:r>
        <w:rPr>
          <w:rFonts w:hint="default" w:ascii="Times New Roman" w:hAnsi="Times New Roman" w:eastAsia="宋体" w:cs="Times New Roman"/>
          <w:color w:val="auto"/>
          <w:spacing w:val="-2"/>
          <w:sz w:val="24"/>
          <w:szCs w:val="24"/>
          <w:highlight w:val="none"/>
        </w:rPr>
        <w:t>年</w:t>
      </w:r>
      <w:r>
        <w:rPr>
          <w:rFonts w:hint="default" w:ascii="Times New Roman" w:hAnsi="Times New Roman" w:eastAsia="宋体" w:cs="Times New Roman"/>
          <w:color w:val="auto"/>
          <w:spacing w:val="-2"/>
          <w:sz w:val="24"/>
          <w:szCs w:val="24"/>
          <w:highlight w:val="none"/>
          <w:lang w:val="en-US" w:eastAsia="zh-CN"/>
        </w:rPr>
        <w:t>11</w:t>
      </w:r>
      <w:r>
        <w:rPr>
          <w:rFonts w:hint="default" w:ascii="Times New Roman" w:hAnsi="Times New Roman" w:eastAsia="宋体" w:cs="Times New Roman"/>
          <w:color w:val="auto"/>
          <w:spacing w:val="-2"/>
          <w:sz w:val="24"/>
          <w:szCs w:val="24"/>
          <w:highlight w:val="none"/>
        </w:rPr>
        <w:t>月</w:t>
      </w:r>
    </w:p>
    <w:p w14:paraId="196BE00E">
      <w:pPr>
        <w:keepNext w:val="0"/>
        <w:keepLines w:val="0"/>
        <w:pageBreakBefore w:val="0"/>
        <w:widowControl/>
        <w:kinsoku/>
        <w:wordWrap w:val="0"/>
        <w:overflowPunct/>
        <w:topLinePunct/>
        <w:autoSpaceDE/>
        <w:autoSpaceDN/>
        <w:bidi w:val="0"/>
        <w:adjustRightInd w:val="0"/>
        <w:snapToGrid w:val="0"/>
        <w:spacing w:line="360" w:lineRule="auto"/>
        <w:ind w:left="0" w:right="0" w:firstLine="478"/>
        <w:textAlignment w:val="baseline"/>
        <w:rPr>
          <w:rFonts w:hint="eastAsia" w:ascii="Times New Roman" w:hAnsi="Times New Roman" w:eastAsia="宋体" w:cs="Times New Roman"/>
          <w:color w:val="auto"/>
          <w:spacing w:val="-4"/>
          <w:sz w:val="24"/>
          <w:szCs w:val="24"/>
          <w:highlight w:val="none"/>
          <w:lang w:eastAsia="zh-CN"/>
        </w:rPr>
      </w:pPr>
      <w:r>
        <w:rPr>
          <w:rFonts w:hint="default" w:ascii="Times New Roman" w:hAnsi="Times New Roman" w:eastAsia="宋体" w:cs="Times New Roman"/>
          <w:color w:val="auto"/>
          <w:spacing w:val="-2"/>
          <w:sz w:val="24"/>
          <w:szCs w:val="24"/>
          <w:highlight w:val="none"/>
        </w:rPr>
        <w:t>建设规模：本项目建设规模为年存栏</w:t>
      </w:r>
      <w:r>
        <w:rPr>
          <w:rFonts w:hint="default" w:ascii="Times New Roman" w:hAnsi="Times New Roman" w:eastAsia="宋体" w:cs="Times New Roman"/>
          <w:color w:val="auto"/>
          <w:spacing w:val="-2"/>
          <w:sz w:val="24"/>
          <w:szCs w:val="24"/>
          <w:highlight w:val="none"/>
          <w:lang w:val="en-US" w:eastAsia="zh-CN"/>
        </w:rPr>
        <w:t>5</w:t>
      </w:r>
      <w:r>
        <w:rPr>
          <w:rFonts w:hint="default" w:ascii="Times New Roman" w:hAnsi="Times New Roman" w:eastAsia="Times New Roman" w:cs="Times New Roman"/>
          <w:color w:val="auto"/>
          <w:spacing w:val="-2"/>
          <w:sz w:val="24"/>
          <w:szCs w:val="24"/>
          <w:highlight w:val="none"/>
        </w:rPr>
        <w:t>000</w:t>
      </w:r>
      <w:r>
        <w:rPr>
          <w:rFonts w:hint="default" w:ascii="Times New Roman" w:hAnsi="Times New Roman" w:eastAsia="宋体" w:cs="Times New Roman"/>
          <w:color w:val="auto"/>
          <w:spacing w:val="-2"/>
          <w:sz w:val="24"/>
          <w:szCs w:val="24"/>
          <w:highlight w:val="none"/>
        </w:rPr>
        <w:t>头牛</w:t>
      </w:r>
      <w:r>
        <w:rPr>
          <w:rFonts w:hint="default" w:ascii="Times New Roman" w:hAnsi="Times New Roman" w:eastAsia="宋体" w:cs="Times New Roman"/>
          <w:color w:val="auto"/>
          <w:spacing w:val="-3"/>
          <w:sz w:val="24"/>
          <w:szCs w:val="24"/>
          <w:highlight w:val="none"/>
        </w:rPr>
        <w:t>肉</w:t>
      </w:r>
      <w:r>
        <w:rPr>
          <w:rFonts w:hint="default" w:ascii="Times New Roman" w:hAnsi="Times New Roman" w:eastAsia="宋体" w:cs="Times New Roman"/>
          <w:color w:val="auto"/>
          <w:spacing w:val="-2"/>
          <w:sz w:val="24"/>
          <w:szCs w:val="24"/>
          <w:highlight w:val="none"/>
        </w:rPr>
        <w:t>，年出栏</w:t>
      </w:r>
      <w:r>
        <w:rPr>
          <w:rFonts w:hint="default" w:ascii="Times New Roman" w:hAnsi="Times New Roman" w:eastAsia="宋体" w:cs="Times New Roman"/>
          <w:color w:val="auto"/>
          <w:spacing w:val="-2"/>
          <w:sz w:val="24"/>
          <w:szCs w:val="24"/>
          <w:highlight w:val="none"/>
          <w:lang w:val="en-US" w:eastAsia="zh-CN"/>
        </w:rPr>
        <w:t>10</w:t>
      </w:r>
      <w:r>
        <w:rPr>
          <w:rFonts w:hint="default" w:ascii="Times New Roman" w:hAnsi="Times New Roman" w:eastAsia="Times New Roman" w:cs="Times New Roman"/>
          <w:color w:val="auto"/>
          <w:spacing w:val="-2"/>
          <w:sz w:val="24"/>
          <w:szCs w:val="24"/>
          <w:highlight w:val="none"/>
        </w:rPr>
        <w:t>00</w:t>
      </w:r>
      <w:r>
        <w:rPr>
          <w:rFonts w:hint="default" w:ascii="Times New Roman" w:hAnsi="Times New Roman" w:eastAsia="宋体" w:cs="Times New Roman"/>
          <w:color w:val="auto"/>
          <w:spacing w:val="-3"/>
          <w:sz w:val="24"/>
          <w:szCs w:val="24"/>
          <w:highlight w:val="none"/>
        </w:rPr>
        <w:t>头肉牛。主要建</w:t>
      </w:r>
      <w:r>
        <w:rPr>
          <w:rFonts w:hint="default" w:ascii="Times New Roman" w:hAnsi="Times New Roman" w:eastAsia="宋体" w:cs="Times New Roman"/>
          <w:color w:val="auto"/>
          <w:spacing w:val="-4"/>
          <w:sz w:val="24"/>
          <w:szCs w:val="24"/>
          <w:highlight w:val="none"/>
        </w:rPr>
        <w:t>设内容为建设牛舍及配套设施</w:t>
      </w:r>
      <w:bookmarkEnd w:id="93"/>
      <w:bookmarkEnd w:id="94"/>
      <w:bookmarkStart w:id="103" w:name="_Toc7165"/>
      <w:r>
        <w:rPr>
          <w:rFonts w:hint="eastAsia" w:ascii="Times New Roman" w:hAnsi="Times New Roman" w:eastAsia="宋体" w:cs="Times New Roman"/>
          <w:color w:val="auto"/>
          <w:spacing w:val="-4"/>
          <w:sz w:val="24"/>
          <w:szCs w:val="24"/>
          <w:highlight w:val="none"/>
          <w:lang w:eastAsia="zh-CN"/>
        </w:rPr>
        <w:t>。</w:t>
      </w:r>
    </w:p>
    <w:p w14:paraId="7C778C46">
      <w:pPr>
        <w:keepNext w:val="0"/>
        <w:keepLines w:val="0"/>
        <w:pageBreakBefore w:val="0"/>
        <w:widowControl/>
        <w:kinsoku/>
        <w:wordWrap w:val="0"/>
        <w:overflowPunct/>
        <w:topLinePunct/>
        <w:autoSpaceDE/>
        <w:autoSpaceDN/>
        <w:bidi w:val="0"/>
        <w:adjustRightInd w:val="0"/>
        <w:snapToGrid w:val="0"/>
        <w:spacing w:line="360" w:lineRule="auto"/>
        <w:ind w:left="0" w:right="0" w:firstLine="478"/>
        <w:textAlignment w:val="baseline"/>
        <w:rPr>
          <w:rFonts w:hint="default" w:ascii="Times New Roman" w:hAnsi="Times New Roman" w:eastAsia="宋体" w:cs="Times New Roman"/>
          <w:b/>
          <w:bCs/>
          <w:color w:val="auto"/>
          <w:spacing w:val="-2"/>
          <w:sz w:val="24"/>
          <w:szCs w:val="24"/>
          <w:highlight w:val="none"/>
          <w:lang w:val="en-US" w:eastAsia="zh-CN"/>
        </w:rPr>
      </w:pPr>
      <w:r>
        <w:rPr>
          <w:rFonts w:hint="default" w:ascii="Times New Roman" w:hAnsi="Times New Roman" w:eastAsia="宋体" w:cs="Times New Roman"/>
          <w:b/>
          <w:bCs/>
          <w:color w:val="auto"/>
          <w:spacing w:val="-2"/>
          <w:sz w:val="24"/>
          <w:szCs w:val="24"/>
          <w:highlight w:val="none"/>
          <w:lang w:val="en-US" w:eastAsia="zh-CN"/>
        </w:rPr>
        <w:t>3.1.2项目建设内容及规模</w:t>
      </w:r>
      <w:bookmarkEnd w:id="103"/>
    </w:p>
    <w:p w14:paraId="5ADDD5F3">
      <w:pPr>
        <w:pageBreakBefore w:val="0"/>
        <w:kinsoku/>
        <w:wordWrap w:val="0"/>
        <w:overflowPunct/>
        <w:topLinePunct/>
        <w:autoSpaceDE/>
        <w:autoSpaceDN/>
        <w:bidi w:val="0"/>
        <w:adjustRightInd/>
        <w:snapToGrid/>
        <w:spacing w:line="360" w:lineRule="auto"/>
        <w:ind w:firstLine="452"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7"/>
          <w:sz w:val="24"/>
          <w:szCs w:val="24"/>
          <w:highlight w:val="none"/>
        </w:rPr>
        <w:t>项目拟建一个现代化肉牛养殖场，</w:t>
      </w:r>
      <w:r>
        <w:rPr>
          <w:rFonts w:hint="default" w:ascii="Times New Roman" w:hAnsi="Times New Roman" w:eastAsia="宋体" w:cs="Times New Roman"/>
          <w:color w:val="auto"/>
          <w:spacing w:val="-7"/>
          <w:sz w:val="24"/>
          <w:szCs w:val="24"/>
          <w:highlight w:val="none"/>
          <w:lang w:val="en-US" w:eastAsia="zh-CN"/>
        </w:rPr>
        <w:t>建设单位于2019年3月5日租赁集贤县新洲鹅业有限公司的土地与厂房，利用现有部分厂房改建为</w:t>
      </w:r>
      <w:r>
        <w:rPr>
          <w:rFonts w:hint="default" w:ascii="Times New Roman" w:hAnsi="Times New Roman" w:eastAsia="宋体" w:cs="Times New Roman"/>
          <w:color w:val="auto"/>
          <w:spacing w:val="-7"/>
          <w:sz w:val="24"/>
          <w:szCs w:val="24"/>
          <w:highlight w:val="none"/>
        </w:rPr>
        <w:t>牛舍、干草棚</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lang w:val="en-US" w:eastAsia="zh-CN"/>
        </w:rPr>
        <w:t>新建青储窖、粪污储存间等，</w:t>
      </w:r>
      <w:r>
        <w:rPr>
          <w:rFonts w:hint="default" w:ascii="Times New Roman" w:hAnsi="Times New Roman" w:eastAsia="宋体" w:cs="Times New Roman"/>
          <w:color w:val="auto"/>
          <w:spacing w:val="-2"/>
          <w:sz w:val="24"/>
          <w:szCs w:val="24"/>
          <w:highlight w:val="none"/>
        </w:rPr>
        <w:t>规模为年存栏</w:t>
      </w:r>
      <w:r>
        <w:rPr>
          <w:rFonts w:hint="default" w:ascii="Times New Roman" w:hAnsi="Times New Roman" w:eastAsia="宋体" w:cs="Times New Roman"/>
          <w:color w:val="auto"/>
          <w:spacing w:val="-2"/>
          <w:sz w:val="24"/>
          <w:szCs w:val="24"/>
          <w:highlight w:val="none"/>
          <w:lang w:val="en-US" w:eastAsia="zh-CN"/>
        </w:rPr>
        <w:t>5</w:t>
      </w:r>
      <w:r>
        <w:rPr>
          <w:rFonts w:hint="default" w:ascii="Times New Roman" w:hAnsi="Times New Roman" w:eastAsia="Times New Roman" w:cs="Times New Roman"/>
          <w:color w:val="auto"/>
          <w:spacing w:val="-2"/>
          <w:sz w:val="24"/>
          <w:szCs w:val="24"/>
          <w:highlight w:val="none"/>
        </w:rPr>
        <w:t>000</w:t>
      </w:r>
      <w:r>
        <w:rPr>
          <w:rFonts w:hint="default" w:ascii="Times New Roman" w:hAnsi="Times New Roman" w:eastAsia="宋体" w:cs="Times New Roman"/>
          <w:color w:val="auto"/>
          <w:spacing w:val="-2"/>
          <w:sz w:val="24"/>
          <w:szCs w:val="24"/>
          <w:highlight w:val="none"/>
        </w:rPr>
        <w:t>头牛，年出栏</w:t>
      </w:r>
      <w:r>
        <w:rPr>
          <w:rFonts w:hint="default" w:ascii="Times New Roman" w:hAnsi="Times New Roman" w:eastAsia="宋体" w:cs="Times New Roman"/>
          <w:color w:val="auto"/>
          <w:spacing w:val="-2"/>
          <w:sz w:val="24"/>
          <w:szCs w:val="24"/>
          <w:highlight w:val="none"/>
          <w:lang w:val="en-US" w:eastAsia="zh-CN"/>
        </w:rPr>
        <w:t>10</w:t>
      </w:r>
      <w:r>
        <w:rPr>
          <w:rFonts w:hint="default" w:ascii="Times New Roman" w:hAnsi="Times New Roman" w:eastAsia="Times New Roman" w:cs="Times New Roman"/>
          <w:color w:val="auto"/>
          <w:spacing w:val="-2"/>
          <w:sz w:val="24"/>
          <w:szCs w:val="24"/>
          <w:highlight w:val="none"/>
        </w:rPr>
        <w:t>00</w:t>
      </w:r>
      <w:r>
        <w:rPr>
          <w:rFonts w:hint="default" w:ascii="Times New Roman" w:hAnsi="Times New Roman" w:eastAsia="宋体" w:cs="Times New Roman"/>
          <w:color w:val="auto"/>
          <w:spacing w:val="-2"/>
          <w:sz w:val="24"/>
          <w:szCs w:val="24"/>
          <w:highlight w:val="none"/>
        </w:rPr>
        <w:t>头牛。</w:t>
      </w:r>
      <w:r>
        <w:rPr>
          <w:rFonts w:hint="default" w:ascii="Times New Roman" w:hAnsi="Times New Roman" w:eastAsia="宋体" w:cs="Times New Roman"/>
          <w:snapToGrid w:val="0"/>
          <w:color w:val="auto"/>
          <w:sz w:val="24"/>
          <w:szCs w:val="32"/>
          <w:highlight w:val="none"/>
          <w:lang w:val="zh-CN"/>
        </w:rPr>
        <w:t>项目总占地面积</w:t>
      </w:r>
      <w:r>
        <w:rPr>
          <w:rFonts w:hint="default" w:ascii="Times New Roman" w:hAnsi="Times New Roman" w:cs="Times New Roman"/>
          <w:snapToGrid w:val="0"/>
          <w:color w:val="auto"/>
          <w:sz w:val="24"/>
          <w:szCs w:val="32"/>
          <w:highlight w:val="none"/>
          <w:lang w:val="en-US" w:eastAsia="zh-CN"/>
        </w:rPr>
        <w:t>128037.95</w:t>
      </w:r>
      <w:r>
        <w:rPr>
          <w:rFonts w:hint="default" w:ascii="Times New Roman" w:hAnsi="Times New Roman" w:eastAsia="宋体" w:cs="Times New Roman"/>
          <w:color w:val="auto"/>
          <w:sz w:val="24"/>
          <w:highlight w:val="none"/>
          <w:lang w:eastAsia="zh-CN"/>
        </w:rPr>
        <w:t>m</w:t>
      </w:r>
      <w:r>
        <w:rPr>
          <w:rFonts w:hint="default" w:ascii="Times New Roman" w:hAnsi="Times New Roman" w:eastAsia="宋体" w:cs="Times New Roman"/>
          <w:color w:val="auto"/>
          <w:sz w:val="24"/>
          <w:highlight w:val="none"/>
          <w:vertAlign w:val="superscript"/>
          <w:lang w:eastAsia="zh-CN"/>
        </w:rPr>
        <w:t>2</w:t>
      </w:r>
      <w:r>
        <w:rPr>
          <w:rFonts w:hint="default" w:ascii="Times New Roman" w:hAnsi="Times New Roman" w:eastAsia="宋体" w:cs="Times New Roman"/>
          <w:snapToGrid w:val="0"/>
          <w:color w:val="auto"/>
          <w:sz w:val="24"/>
          <w:szCs w:val="32"/>
          <w:highlight w:val="none"/>
          <w:lang w:val="zh-CN"/>
        </w:rPr>
        <w:t>，</w:t>
      </w:r>
      <w:r>
        <w:rPr>
          <w:rFonts w:hint="default" w:ascii="Times New Roman" w:hAnsi="Times New Roman" w:eastAsia="宋体" w:cs="Times New Roman"/>
          <w:snapToGrid w:val="0"/>
          <w:color w:val="auto"/>
          <w:kern w:val="0"/>
          <w:sz w:val="24"/>
          <w:szCs w:val="24"/>
          <w:highlight w:val="none"/>
        </w:rPr>
        <w:t>占地类型</w:t>
      </w:r>
      <w:r>
        <w:rPr>
          <w:rFonts w:hint="default" w:ascii="Times New Roman" w:hAnsi="Times New Roman" w:cs="Times New Roman"/>
          <w:snapToGrid w:val="0"/>
          <w:color w:val="auto"/>
          <w:kern w:val="0"/>
          <w:sz w:val="24"/>
          <w:szCs w:val="24"/>
          <w:highlight w:val="none"/>
          <w:lang w:val="en-US" w:eastAsia="zh-CN"/>
        </w:rPr>
        <w:t>为天然牧草地</w:t>
      </w:r>
      <w:r>
        <w:rPr>
          <w:rFonts w:hint="default" w:ascii="Times New Roman" w:hAnsi="Times New Roman" w:eastAsia="宋体" w:cs="Times New Roman"/>
          <w:color w:val="auto"/>
          <w:sz w:val="24"/>
          <w:highlight w:val="none"/>
          <w:lang w:val="zh-CN"/>
        </w:rPr>
        <w:t>，</w:t>
      </w:r>
      <w:r>
        <w:rPr>
          <w:rFonts w:hint="default" w:ascii="Times New Roman" w:hAnsi="Times New Roman" w:eastAsia="宋体" w:cs="Times New Roman"/>
          <w:snapToGrid w:val="0"/>
          <w:color w:val="auto"/>
          <w:sz w:val="24"/>
          <w:szCs w:val="32"/>
          <w:highlight w:val="none"/>
          <w:lang w:val="en-US" w:eastAsia="zh-CN"/>
        </w:rPr>
        <w:t>主要建设牛舍及附属用房，配套建设运动场及其他附属设施，剩余空厂房作为远期预留。</w:t>
      </w:r>
      <w:r>
        <w:rPr>
          <w:rFonts w:hint="default" w:ascii="Times New Roman" w:hAnsi="Times New Roman" w:eastAsia="宋体" w:cs="Times New Roman"/>
          <w:color w:val="auto"/>
          <w:spacing w:val="-1"/>
          <w:sz w:val="24"/>
          <w:szCs w:val="24"/>
          <w:highlight w:val="none"/>
        </w:rPr>
        <w:t>项目组成一览表见表</w:t>
      </w:r>
      <w:r>
        <w:rPr>
          <w:rFonts w:hint="default" w:ascii="Times New Roman" w:hAnsi="Times New Roman" w:eastAsia="Times New Roman" w:cs="Times New Roman"/>
          <w:color w:val="auto"/>
          <w:spacing w:val="-1"/>
          <w:sz w:val="24"/>
          <w:szCs w:val="24"/>
          <w:highlight w:val="none"/>
        </w:rPr>
        <w:t>3.1-1</w:t>
      </w:r>
      <w:r>
        <w:rPr>
          <w:rFonts w:hint="default" w:ascii="Times New Roman" w:hAnsi="Times New Roman" w:eastAsia="宋体" w:cs="Times New Roman"/>
          <w:color w:val="auto"/>
          <w:spacing w:val="-1"/>
          <w:sz w:val="24"/>
          <w:szCs w:val="24"/>
          <w:highlight w:val="none"/>
        </w:rPr>
        <w:t>，主</w:t>
      </w:r>
      <w:r>
        <w:rPr>
          <w:rFonts w:hint="default" w:ascii="Times New Roman" w:hAnsi="Times New Roman" w:eastAsia="宋体" w:cs="Times New Roman"/>
          <w:color w:val="auto"/>
          <w:spacing w:val="-2"/>
          <w:sz w:val="24"/>
          <w:szCs w:val="24"/>
          <w:highlight w:val="none"/>
        </w:rPr>
        <w:t>要设备清单见表</w:t>
      </w:r>
      <w:r>
        <w:rPr>
          <w:rFonts w:hint="default" w:ascii="Times New Roman" w:hAnsi="Times New Roman" w:eastAsia="Times New Roman" w:cs="Times New Roman"/>
          <w:color w:val="auto"/>
          <w:spacing w:val="-2"/>
          <w:sz w:val="24"/>
          <w:szCs w:val="24"/>
          <w:highlight w:val="none"/>
        </w:rPr>
        <w:t>3.1-2</w:t>
      </w:r>
      <w:r>
        <w:rPr>
          <w:rFonts w:hint="default" w:ascii="Times New Roman" w:hAnsi="Times New Roman" w:eastAsia="宋体" w:cs="Times New Roman"/>
          <w:color w:val="auto"/>
          <w:spacing w:val="-2"/>
          <w:sz w:val="24"/>
          <w:szCs w:val="24"/>
          <w:highlight w:val="none"/>
        </w:rPr>
        <w:t>。</w:t>
      </w:r>
    </w:p>
    <w:p w14:paraId="404318B9">
      <w:pPr>
        <w:keepNext w:val="0"/>
        <w:keepLines w:val="0"/>
        <w:pageBreakBefore w:val="0"/>
        <w:kinsoku/>
        <w:wordWrap w:val="0"/>
        <w:overflowPunct/>
        <w:topLinePunct/>
        <w:autoSpaceDE/>
        <w:autoSpaceDN/>
        <w:bidi w:val="0"/>
        <w:adjustRightInd w:val="0"/>
        <w:snapToGrid w:val="0"/>
        <w:spacing w:before="1" w:line="213" w:lineRule="auto"/>
        <w:ind w:left="2869"/>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3.1-1</w:t>
      </w:r>
      <w:r>
        <w:rPr>
          <w:rFonts w:hint="default" w:ascii="Times New Roman" w:hAnsi="Times New Roman" w:eastAsia="宋体" w:cs="Times New Roman"/>
          <w:b/>
          <w:bCs/>
          <w:color w:val="auto"/>
          <w:spacing w:val="-2"/>
          <w:sz w:val="24"/>
          <w:szCs w:val="24"/>
          <w:highlight w:val="none"/>
        </w:rPr>
        <w:t>本项目项目组成一览表</w:t>
      </w:r>
    </w:p>
    <w:tbl>
      <w:tblPr>
        <w:tblStyle w:val="34"/>
        <w:tblW w:w="898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84"/>
        <w:gridCol w:w="293"/>
        <w:gridCol w:w="114"/>
        <w:gridCol w:w="1110"/>
        <w:gridCol w:w="6519"/>
        <w:gridCol w:w="565"/>
      </w:tblGrid>
      <w:tr w14:paraId="18E453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tcBorders>
              <w:top w:val="single" w:color="000000" w:sz="10" w:space="0"/>
              <w:left w:val="nil"/>
            </w:tcBorders>
            <w:vAlign w:val="center"/>
          </w:tcPr>
          <w:p w14:paraId="73D2CC73">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工程</w:t>
            </w:r>
          </w:p>
        </w:tc>
        <w:tc>
          <w:tcPr>
            <w:tcW w:w="1517" w:type="dxa"/>
            <w:gridSpan w:val="3"/>
            <w:tcBorders>
              <w:top w:val="single" w:color="000000" w:sz="10" w:space="0"/>
            </w:tcBorders>
            <w:vAlign w:val="center"/>
          </w:tcPr>
          <w:p w14:paraId="132ABFFF">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项目名称</w:t>
            </w:r>
          </w:p>
        </w:tc>
        <w:tc>
          <w:tcPr>
            <w:tcW w:w="6519" w:type="dxa"/>
            <w:tcBorders>
              <w:top w:val="single" w:color="000000" w:sz="10" w:space="0"/>
            </w:tcBorders>
            <w:vAlign w:val="center"/>
          </w:tcPr>
          <w:p w14:paraId="661026EB">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实际建设内容</w:t>
            </w:r>
          </w:p>
        </w:tc>
        <w:tc>
          <w:tcPr>
            <w:tcW w:w="565" w:type="dxa"/>
            <w:tcBorders>
              <w:top w:val="single" w:color="000000" w:sz="10" w:space="0"/>
              <w:right w:val="nil"/>
            </w:tcBorders>
            <w:vAlign w:val="center"/>
          </w:tcPr>
          <w:p w14:paraId="514F8070">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备注</w:t>
            </w:r>
          </w:p>
        </w:tc>
      </w:tr>
      <w:tr w14:paraId="6407A8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restart"/>
            <w:tcBorders>
              <w:left w:val="nil"/>
            </w:tcBorders>
            <w:vAlign w:val="center"/>
          </w:tcPr>
          <w:p w14:paraId="1BD16767">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主体工程</w:t>
            </w:r>
          </w:p>
        </w:tc>
        <w:tc>
          <w:tcPr>
            <w:tcW w:w="1517" w:type="dxa"/>
            <w:gridSpan w:val="3"/>
            <w:vAlign w:val="center"/>
          </w:tcPr>
          <w:p w14:paraId="0D4309E5">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母牛舍</w:t>
            </w:r>
          </w:p>
        </w:tc>
        <w:tc>
          <w:tcPr>
            <w:tcW w:w="6519" w:type="dxa"/>
            <w:vAlign w:val="center"/>
          </w:tcPr>
          <w:p w14:paraId="219755D4">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vertAlign w:val="baseline"/>
                <w:lang w:val="en-US"/>
              </w:rPr>
            </w:pPr>
            <w:r>
              <w:rPr>
                <w:rFonts w:hint="default" w:ascii="Times New Roman" w:hAnsi="Times New Roman" w:eastAsia="宋体" w:cs="Times New Roman"/>
                <w:color w:val="auto"/>
                <w:sz w:val="21"/>
                <w:szCs w:val="21"/>
                <w:highlight w:val="none"/>
                <w:lang w:val="en-US" w:eastAsia="zh-CN"/>
              </w:rPr>
              <w:t>12</w:t>
            </w:r>
            <w:r>
              <w:rPr>
                <w:rFonts w:hint="default" w:ascii="Times New Roman" w:hAnsi="Times New Roman" w:eastAsia="宋体" w:cs="Times New Roman"/>
                <w:color w:val="auto"/>
                <w:sz w:val="21"/>
                <w:szCs w:val="21"/>
                <w:highlight w:val="none"/>
              </w:rPr>
              <w:t>栋，单栋建筑面积为</w:t>
            </w:r>
            <w:r>
              <w:rPr>
                <w:rFonts w:hint="default" w:ascii="Times New Roman" w:hAnsi="Times New Roman" w:eastAsia="宋体" w:cs="Times New Roman"/>
                <w:color w:val="auto"/>
                <w:sz w:val="21"/>
                <w:szCs w:val="21"/>
                <w:highlight w:val="none"/>
                <w:lang w:val="en-US" w:eastAsia="zh-CN"/>
              </w:rPr>
              <w:t>900</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rPr>
              <w:t>，半开放式轻钢结构，</w:t>
            </w:r>
            <w:r>
              <w:rPr>
                <w:rFonts w:hint="eastAsia" w:ascii="Times New Roman" w:hAnsi="Times New Roman" w:eastAsia="宋体" w:cs="Times New Roman"/>
                <w:color w:val="auto"/>
                <w:sz w:val="21"/>
                <w:szCs w:val="21"/>
                <w:highlight w:val="none"/>
                <w:lang w:val="en-US" w:eastAsia="zh-CN"/>
              </w:rPr>
              <w:t>地面</w:t>
            </w:r>
            <w:r>
              <w:rPr>
                <w:rFonts w:hint="eastAsia" w:ascii="Times New Roman" w:hAnsi="Times New Roman" w:eastAsia="宋体" w:cs="Times New Roman"/>
                <w:color w:val="FF0000"/>
                <w:sz w:val="21"/>
                <w:szCs w:val="21"/>
                <w:highlight w:val="none"/>
                <w:lang w:val="en-US" w:eastAsia="zh-CN"/>
              </w:rPr>
              <w:t>采取一般防渗措施</w:t>
            </w:r>
            <w:r>
              <w:rPr>
                <w:rFonts w:hint="default" w:ascii="Times New Roman" w:hAnsi="Times New Roman" w:eastAsia="宋体" w:cs="Times New Roman"/>
                <w:color w:val="FF0000"/>
                <w:sz w:val="21"/>
                <w:szCs w:val="21"/>
                <w:highlight w:val="none"/>
                <w:lang w:val="en-US" w:eastAsia="zh-CN"/>
              </w:rPr>
              <w:t>，现将牛舍加高改造，</w:t>
            </w:r>
            <w:r>
              <w:rPr>
                <w:rFonts w:hint="default" w:ascii="Times New Roman" w:hAnsi="Times New Roman" w:eastAsia="宋体" w:cs="Times New Roman"/>
                <w:color w:val="auto"/>
                <w:sz w:val="21"/>
                <w:szCs w:val="21"/>
                <w:highlight w:val="none"/>
              </w:rPr>
              <w:t>舍内单列布置，</w:t>
            </w:r>
            <w:r>
              <w:rPr>
                <w:rFonts w:hint="default" w:ascii="Times New Roman" w:hAnsi="Times New Roman" w:eastAsia="宋体" w:cs="Times New Roman"/>
                <w:color w:val="auto"/>
                <w:sz w:val="21"/>
                <w:szCs w:val="21"/>
                <w:highlight w:val="none"/>
                <w:lang w:val="en-US" w:eastAsia="zh-CN"/>
              </w:rPr>
              <w:t>共4个运动场，</w:t>
            </w:r>
            <w:r>
              <w:rPr>
                <w:rFonts w:hint="default" w:ascii="Times New Roman" w:hAnsi="Times New Roman" w:eastAsia="宋体" w:cs="Times New Roman"/>
                <w:color w:val="FF0000"/>
                <w:sz w:val="21"/>
                <w:szCs w:val="21"/>
                <w:highlight w:val="none"/>
                <w:lang w:val="en-US" w:eastAsia="zh-CN"/>
              </w:rPr>
              <w:t>运动场设置挡雨棚，</w:t>
            </w:r>
            <w:r>
              <w:rPr>
                <w:rFonts w:hint="default" w:ascii="Times New Roman" w:hAnsi="Times New Roman" w:eastAsia="宋体" w:cs="Times New Roman"/>
                <w:color w:val="auto"/>
                <w:sz w:val="21"/>
                <w:szCs w:val="21"/>
                <w:highlight w:val="none"/>
              </w:rPr>
              <w:t>单栋运动场建筑面积为</w:t>
            </w:r>
            <w:r>
              <w:rPr>
                <w:rFonts w:hint="default" w:ascii="Times New Roman" w:hAnsi="Times New Roman" w:eastAsia="宋体" w:cs="Times New Roman"/>
                <w:color w:val="auto"/>
                <w:sz w:val="21"/>
                <w:szCs w:val="21"/>
                <w:highlight w:val="none"/>
                <w:lang w:val="en-US" w:eastAsia="zh-CN"/>
              </w:rPr>
              <w:t>210</w:t>
            </w:r>
            <w:r>
              <w:rPr>
                <w:rFonts w:hint="default" w:ascii="Times New Roman" w:hAnsi="Times New Roman" w:eastAsia="宋体" w:cs="Times New Roman"/>
                <w:color w:val="auto"/>
                <w:sz w:val="21"/>
                <w:szCs w:val="21"/>
                <w:highlight w:val="none"/>
              </w:rPr>
              <w:t>0m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pacing w:val="-2"/>
                <w:sz w:val="21"/>
                <w:szCs w:val="21"/>
                <w:highlight w:val="none"/>
                <w:vertAlign w:val="baseline"/>
                <w:lang w:val="en-US" w:eastAsia="zh-CN"/>
              </w:rPr>
              <w:t>，单栋母牛舍容纳200头母牛，年养殖2000头母牛，本项目需10栋母牛舍，剩余2栋母牛舍作为待产舍，用于母牛分娩时使用。</w:t>
            </w:r>
          </w:p>
        </w:tc>
        <w:tc>
          <w:tcPr>
            <w:tcW w:w="565" w:type="dxa"/>
            <w:tcBorders>
              <w:right w:val="nil"/>
            </w:tcBorders>
            <w:vAlign w:val="center"/>
          </w:tcPr>
          <w:p w14:paraId="01DEFA31">
            <w:pPr>
              <w:pageBreakBefore w:val="0"/>
              <w:kinsoku/>
              <w:wordWrap w:val="0"/>
              <w:overflowPunct/>
              <w:topLinePunct/>
              <w:autoSpaceDE/>
              <w:autoSpaceDN/>
              <w:bidi w:val="0"/>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改造</w:t>
            </w:r>
          </w:p>
        </w:tc>
      </w:tr>
      <w:tr w14:paraId="428867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5941EBD5">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p>
        </w:tc>
        <w:tc>
          <w:tcPr>
            <w:tcW w:w="1517" w:type="dxa"/>
            <w:gridSpan w:val="3"/>
            <w:vAlign w:val="center"/>
          </w:tcPr>
          <w:p w14:paraId="1BF3A29A">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综合牛舍</w:t>
            </w:r>
          </w:p>
        </w:tc>
        <w:tc>
          <w:tcPr>
            <w:tcW w:w="6519" w:type="dxa"/>
            <w:vAlign w:val="center"/>
          </w:tcPr>
          <w:p w14:paraId="79E959D8">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18</w:t>
            </w:r>
            <w:r>
              <w:rPr>
                <w:rFonts w:hint="default" w:ascii="Times New Roman" w:hAnsi="Times New Roman" w:eastAsia="宋体" w:cs="Times New Roman"/>
                <w:color w:val="auto"/>
                <w:sz w:val="21"/>
                <w:szCs w:val="21"/>
                <w:highlight w:val="none"/>
              </w:rPr>
              <w:t>栋，单栋牛舍建筑面积</w:t>
            </w:r>
            <w:r>
              <w:rPr>
                <w:rFonts w:hint="default" w:ascii="Times New Roman" w:hAnsi="Times New Roman" w:eastAsia="宋体" w:cs="Times New Roman"/>
                <w:color w:val="auto"/>
                <w:sz w:val="21"/>
                <w:szCs w:val="21"/>
                <w:highlight w:val="none"/>
                <w:lang w:val="en-US" w:eastAsia="zh-CN"/>
              </w:rPr>
              <w:t>700</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rPr>
              <w:t>，半开放式轻钢结构，</w:t>
            </w:r>
            <w:r>
              <w:rPr>
                <w:rFonts w:hint="eastAsia" w:ascii="Times New Roman" w:hAnsi="Times New Roman" w:eastAsia="宋体" w:cs="Times New Roman"/>
                <w:color w:val="auto"/>
                <w:sz w:val="21"/>
                <w:szCs w:val="21"/>
                <w:highlight w:val="none"/>
                <w:lang w:val="en-US" w:eastAsia="zh-CN"/>
              </w:rPr>
              <w:t>地面</w:t>
            </w:r>
            <w:r>
              <w:rPr>
                <w:rFonts w:hint="eastAsia" w:ascii="Times New Roman" w:hAnsi="Times New Roman" w:eastAsia="宋体" w:cs="Times New Roman"/>
                <w:color w:val="FF0000"/>
                <w:sz w:val="21"/>
                <w:szCs w:val="21"/>
                <w:highlight w:val="none"/>
                <w:lang w:val="en-US" w:eastAsia="zh-CN"/>
              </w:rPr>
              <w:t>采取一般防渗措施</w:t>
            </w:r>
            <w:r>
              <w:rPr>
                <w:rFonts w:hint="default" w:ascii="Times New Roman" w:hAnsi="Times New Roman" w:eastAsia="宋体" w:cs="Times New Roman"/>
                <w:color w:val="FF0000"/>
                <w:sz w:val="21"/>
                <w:szCs w:val="21"/>
                <w:highlight w:val="none"/>
                <w:lang w:val="en-US" w:eastAsia="zh-CN"/>
              </w:rPr>
              <w:t>，现将牛舍加高改造，</w:t>
            </w:r>
            <w:r>
              <w:rPr>
                <w:rFonts w:hint="default" w:ascii="Times New Roman" w:hAnsi="Times New Roman" w:eastAsia="宋体" w:cs="Times New Roman"/>
                <w:color w:val="auto"/>
                <w:sz w:val="21"/>
                <w:szCs w:val="21"/>
                <w:highlight w:val="none"/>
              </w:rPr>
              <w:t>舍内单列布置，其中可能饲养的牛包含各月龄段</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共6个运动场，</w:t>
            </w:r>
            <w:r>
              <w:rPr>
                <w:rFonts w:hint="default" w:ascii="Times New Roman" w:hAnsi="Times New Roman" w:eastAsia="宋体" w:cs="Times New Roman"/>
                <w:color w:val="auto"/>
                <w:sz w:val="21"/>
                <w:szCs w:val="21"/>
                <w:highlight w:val="none"/>
              </w:rPr>
              <w:t>单栋运动场建筑面积为</w:t>
            </w:r>
            <w:r>
              <w:rPr>
                <w:rFonts w:hint="default" w:ascii="Times New Roman" w:hAnsi="Times New Roman" w:eastAsia="宋体" w:cs="Times New Roman"/>
                <w:color w:val="auto"/>
                <w:sz w:val="21"/>
                <w:szCs w:val="21"/>
                <w:highlight w:val="none"/>
                <w:lang w:val="en-US" w:eastAsia="zh-CN"/>
              </w:rPr>
              <w:t>210</w:t>
            </w:r>
            <w:r>
              <w:rPr>
                <w:rFonts w:hint="default" w:ascii="Times New Roman" w:hAnsi="Times New Roman" w:eastAsia="宋体" w:cs="Times New Roman"/>
                <w:color w:val="auto"/>
                <w:sz w:val="21"/>
                <w:szCs w:val="21"/>
                <w:highlight w:val="none"/>
              </w:rPr>
              <w:t>0m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pacing w:val="-2"/>
                <w:sz w:val="21"/>
                <w:szCs w:val="21"/>
                <w:highlight w:val="none"/>
                <w:vertAlign w:val="baseline"/>
                <w:lang w:val="en-US" w:eastAsia="zh-CN"/>
              </w:rPr>
              <w:t>，</w:t>
            </w:r>
            <w:r>
              <w:rPr>
                <w:rFonts w:hint="default" w:ascii="Times New Roman" w:hAnsi="Times New Roman" w:eastAsia="宋体" w:cs="Times New Roman"/>
                <w:color w:val="FF0000"/>
                <w:sz w:val="21"/>
                <w:szCs w:val="21"/>
                <w:highlight w:val="none"/>
                <w:lang w:val="en-US" w:eastAsia="zh-CN"/>
              </w:rPr>
              <w:t>运动场设置挡雨棚</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pacing w:val="-2"/>
                <w:sz w:val="21"/>
                <w:szCs w:val="21"/>
                <w:highlight w:val="none"/>
                <w:vertAlign w:val="baseline"/>
                <w:lang w:val="en-US" w:eastAsia="zh-CN"/>
              </w:rPr>
              <w:t>单栋综合牛舍容纳240头育肥牛，本项目需7栋综合牛舍，两个运动场，剩余11栋牛舍，三个运动场储备使用。</w:t>
            </w:r>
          </w:p>
        </w:tc>
        <w:tc>
          <w:tcPr>
            <w:tcW w:w="565" w:type="dxa"/>
            <w:tcBorders>
              <w:right w:val="nil"/>
            </w:tcBorders>
            <w:vAlign w:val="center"/>
          </w:tcPr>
          <w:p w14:paraId="4ECD68F0">
            <w:pPr>
              <w:pageBreakBefore w:val="0"/>
              <w:kinsoku/>
              <w:wordWrap w:val="0"/>
              <w:overflowPunct/>
              <w:topLinePunct/>
              <w:autoSpaceDE/>
              <w:autoSpaceDN/>
              <w:bidi w:val="0"/>
              <w:jc w:val="center"/>
              <w:rPr>
                <w:rFonts w:hint="default" w:ascii="Times New Roman" w:hAnsi="Times New Roman" w:eastAsia="宋体" w:cs="Times New Roman"/>
                <w:color w:val="FF0000"/>
                <w:sz w:val="21"/>
                <w:szCs w:val="21"/>
                <w:highlight w:val="none"/>
                <w:lang w:val="en-US"/>
              </w:rPr>
            </w:pPr>
            <w:r>
              <w:rPr>
                <w:rFonts w:hint="default" w:ascii="Times New Roman" w:hAnsi="Times New Roman" w:eastAsia="宋体" w:cs="Times New Roman"/>
                <w:color w:val="FF0000"/>
                <w:sz w:val="21"/>
                <w:szCs w:val="21"/>
                <w:highlight w:val="none"/>
                <w:lang w:val="en-US" w:eastAsia="zh-CN"/>
              </w:rPr>
              <w:t>改造</w:t>
            </w:r>
          </w:p>
        </w:tc>
      </w:tr>
      <w:tr w14:paraId="23B091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bottom w:val="single" w:color="auto" w:sz="4" w:space="0"/>
            </w:tcBorders>
            <w:textDirection w:val="tbRlV"/>
            <w:vAlign w:val="center"/>
          </w:tcPr>
          <w:p w14:paraId="5593DC83">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p>
        </w:tc>
        <w:tc>
          <w:tcPr>
            <w:tcW w:w="1517" w:type="dxa"/>
            <w:gridSpan w:val="3"/>
            <w:vAlign w:val="center"/>
          </w:tcPr>
          <w:p w14:paraId="736F08DE">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牛犊</w:t>
            </w:r>
            <w:r>
              <w:rPr>
                <w:rFonts w:hint="default" w:ascii="Times New Roman" w:hAnsi="Times New Roman" w:eastAsia="宋体" w:cs="Times New Roman"/>
                <w:color w:val="auto"/>
                <w:sz w:val="21"/>
                <w:szCs w:val="21"/>
                <w:highlight w:val="none"/>
              </w:rPr>
              <w:t>舍</w:t>
            </w:r>
          </w:p>
        </w:tc>
        <w:tc>
          <w:tcPr>
            <w:tcW w:w="6519" w:type="dxa"/>
            <w:vAlign w:val="center"/>
          </w:tcPr>
          <w:p w14:paraId="4230B697">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rPr>
              <w:t>栋，单栋建筑面积</w:t>
            </w:r>
            <w:r>
              <w:rPr>
                <w:rFonts w:hint="default" w:ascii="Times New Roman" w:hAnsi="Times New Roman" w:eastAsia="宋体" w:cs="Times New Roman"/>
                <w:color w:val="auto"/>
                <w:sz w:val="21"/>
                <w:szCs w:val="21"/>
                <w:highlight w:val="none"/>
                <w:lang w:val="en-US" w:eastAsia="zh-CN"/>
              </w:rPr>
              <w:t>700</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rPr>
              <w:t>，半开放式轻钢结构，</w:t>
            </w:r>
            <w:r>
              <w:rPr>
                <w:rFonts w:hint="eastAsia" w:ascii="Times New Roman" w:hAnsi="Times New Roman" w:eastAsia="宋体" w:cs="Times New Roman"/>
                <w:color w:val="auto"/>
                <w:sz w:val="21"/>
                <w:szCs w:val="21"/>
                <w:highlight w:val="none"/>
                <w:lang w:val="en-US" w:eastAsia="zh-CN"/>
              </w:rPr>
              <w:t>地面</w:t>
            </w:r>
            <w:r>
              <w:rPr>
                <w:rFonts w:hint="eastAsia" w:ascii="Times New Roman" w:hAnsi="Times New Roman" w:eastAsia="宋体" w:cs="Times New Roman"/>
                <w:color w:val="FF0000"/>
                <w:sz w:val="21"/>
                <w:szCs w:val="21"/>
                <w:highlight w:val="none"/>
                <w:lang w:val="en-US" w:eastAsia="zh-CN"/>
              </w:rPr>
              <w:t>采取一般防渗措施</w:t>
            </w:r>
            <w:r>
              <w:rPr>
                <w:rFonts w:hint="default" w:ascii="Times New Roman" w:hAnsi="Times New Roman" w:eastAsia="宋体" w:cs="Times New Roman"/>
                <w:color w:val="FF0000"/>
                <w:sz w:val="21"/>
                <w:szCs w:val="21"/>
                <w:highlight w:val="none"/>
                <w:lang w:val="en-US" w:eastAsia="zh-CN"/>
              </w:rPr>
              <w:t>，现将牛舍加高改造，</w:t>
            </w:r>
            <w:r>
              <w:rPr>
                <w:rFonts w:hint="default" w:ascii="Times New Roman" w:hAnsi="Times New Roman" w:eastAsia="宋体" w:cs="Times New Roman"/>
                <w:color w:val="auto"/>
                <w:sz w:val="21"/>
                <w:szCs w:val="21"/>
                <w:highlight w:val="none"/>
              </w:rPr>
              <w:t>舍</w:t>
            </w:r>
            <w:r>
              <w:rPr>
                <w:rFonts w:hint="default" w:ascii="Times New Roman" w:hAnsi="Times New Roman" w:eastAsia="宋体" w:cs="Times New Roman"/>
                <w:color w:val="000000" w:themeColor="text1"/>
                <w:sz w:val="21"/>
                <w:szCs w:val="21"/>
                <w:highlight w:val="none"/>
                <w14:textFill>
                  <w14:solidFill>
                    <w14:schemeClr w14:val="tx1"/>
                  </w14:solidFill>
                </w14:textFill>
              </w:rPr>
              <w:t>内单列布置；用于</w:t>
            </w:r>
            <w:r>
              <w:rPr>
                <w:rFonts w:hint="default" w:ascii="Times New Roman" w:hAnsi="Times New Roman" w:eastAsia="宋体" w:cs="Times New Roman"/>
                <w:color w:val="auto"/>
                <w:sz w:val="21"/>
                <w:szCs w:val="21"/>
                <w:highlight w:val="none"/>
              </w:rPr>
              <w:t>饲养断奶，进行强度育肥至12月龄上以后成为育肥牛出栏外售</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pacing w:val="-2"/>
                <w:sz w:val="21"/>
                <w:szCs w:val="21"/>
                <w:highlight w:val="none"/>
                <w:vertAlign w:val="baseline"/>
                <w:lang w:val="en-US" w:eastAsia="zh-CN"/>
              </w:rPr>
              <w:t>单栋牛犊舍容纳500头牛犊，年养殖1500头牛犊</w:t>
            </w:r>
            <w:r>
              <w:rPr>
                <w:rFonts w:hint="default" w:ascii="Times New Roman" w:hAnsi="Times New Roman" w:eastAsia="宋体" w:cs="Times New Roman"/>
                <w:color w:val="FF0000"/>
                <w:spacing w:val="-2"/>
                <w:sz w:val="21"/>
                <w:szCs w:val="21"/>
                <w:highlight w:val="none"/>
                <w:vertAlign w:val="baseline"/>
                <w:lang w:val="en-US" w:eastAsia="zh-CN"/>
              </w:rPr>
              <w:t>，本项目需3栋牛犊舍，配套1个运动场，</w:t>
            </w:r>
            <w:r>
              <w:rPr>
                <w:rFonts w:hint="default" w:ascii="Times New Roman" w:hAnsi="Times New Roman" w:eastAsia="宋体" w:cs="Times New Roman"/>
                <w:color w:val="FF0000"/>
                <w:sz w:val="21"/>
                <w:szCs w:val="21"/>
                <w:highlight w:val="none"/>
              </w:rPr>
              <w:t>单栋运动场建筑面积为</w:t>
            </w:r>
            <w:r>
              <w:rPr>
                <w:rFonts w:hint="default" w:ascii="Times New Roman" w:hAnsi="Times New Roman" w:eastAsia="宋体" w:cs="Times New Roman"/>
                <w:color w:val="FF0000"/>
                <w:sz w:val="21"/>
                <w:szCs w:val="21"/>
                <w:highlight w:val="none"/>
                <w:lang w:val="en-US" w:eastAsia="zh-CN"/>
              </w:rPr>
              <w:t>21</w:t>
            </w:r>
            <w:r>
              <w:rPr>
                <w:rFonts w:hint="default" w:ascii="Times New Roman" w:hAnsi="Times New Roman" w:eastAsia="宋体" w:cs="Times New Roman"/>
                <w:color w:val="FF0000"/>
                <w:sz w:val="21"/>
                <w:szCs w:val="21"/>
                <w:highlight w:val="none"/>
              </w:rPr>
              <w:t>00m</w:t>
            </w:r>
            <w:r>
              <w:rPr>
                <w:rFonts w:hint="default" w:ascii="Times New Roman" w:hAnsi="Times New Roman" w:eastAsia="宋体" w:cs="Times New Roman"/>
                <w:color w:val="FF0000"/>
                <w:spacing w:val="-2"/>
                <w:sz w:val="21"/>
                <w:szCs w:val="21"/>
                <w:highlight w:val="none"/>
                <w:vertAlign w:val="superscript"/>
                <w:lang w:val="en-US" w:eastAsia="zh-CN"/>
              </w:rPr>
              <w:t>2</w:t>
            </w:r>
            <w:r>
              <w:rPr>
                <w:rFonts w:hint="default" w:ascii="Times New Roman" w:hAnsi="Times New Roman" w:eastAsia="宋体" w:cs="Times New Roman"/>
                <w:color w:val="FF0000"/>
                <w:spacing w:val="-2"/>
                <w:sz w:val="21"/>
                <w:szCs w:val="21"/>
                <w:highlight w:val="none"/>
                <w:vertAlign w:val="baseline"/>
                <w:lang w:val="en-US" w:eastAsia="zh-CN"/>
              </w:rPr>
              <w:t>，</w:t>
            </w:r>
            <w:r>
              <w:rPr>
                <w:rFonts w:hint="default" w:ascii="Times New Roman" w:hAnsi="Times New Roman" w:eastAsia="宋体" w:cs="Times New Roman"/>
                <w:color w:val="FF0000"/>
                <w:sz w:val="21"/>
                <w:szCs w:val="21"/>
                <w:highlight w:val="none"/>
                <w:lang w:val="en-US" w:eastAsia="zh-CN"/>
              </w:rPr>
              <w:t>运动场设置挡雨棚。</w:t>
            </w:r>
          </w:p>
        </w:tc>
        <w:tc>
          <w:tcPr>
            <w:tcW w:w="565" w:type="dxa"/>
            <w:tcBorders>
              <w:right w:val="nil"/>
            </w:tcBorders>
            <w:vAlign w:val="center"/>
          </w:tcPr>
          <w:p w14:paraId="2E115740">
            <w:pPr>
              <w:pageBreakBefore w:val="0"/>
              <w:kinsoku/>
              <w:wordWrap w:val="0"/>
              <w:overflowPunct/>
              <w:topLinePunct/>
              <w:autoSpaceDE/>
              <w:autoSpaceDN/>
              <w:bidi w:val="0"/>
              <w:jc w:val="center"/>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改造</w:t>
            </w:r>
          </w:p>
        </w:tc>
      </w:tr>
      <w:tr w14:paraId="363E54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384" w:type="dxa"/>
            <w:vMerge w:val="restart"/>
            <w:tcBorders>
              <w:top w:val="single" w:color="auto" w:sz="4" w:space="0"/>
              <w:left w:val="nil"/>
            </w:tcBorders>
            <w:vAlign w:val="center"/>
          </w:tcPr>
          <w:p w14:paraId="061F21F0">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辅助工</w:t>
            </w:r>
            <w:r>
              <w:rPr>
                <w:rFonts w:hint="default" w:ascii="Times New Roman" w:hAnsi="Times New Roman" w:eastAsia="宋体" w:cs="Times New Roman"/>
                <w:color w:val="auto"/>
                <w:sz w:val="21"/>
                <w:szCs w:val="21"/>
                <w:highlight w:val="none"/>
                <w:lang w:val="en-US" w:eastAsia="zh-CN"/>
              </w:rPr>
              <w:t>程</w:t>
            </w:r>
          </w:p>
        </w:tc>
        <w:tc>
          <w:tcPr>
            <w:tcW w:w="1517" w:type="dxa"/>
            <w:gridSpan w:val="3"/>
            <w:vAlign w:val="center"/>
          </w:tcPr>
          <w:p w14:paraId="25E4C4D9">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粪污储存间</w:t>
            </w:r>
          </w:p>
        </w:tc>
        <w:tc>
          <w:tcPr>
            <w:tcW w:w="6519" w:type="dxa"/>
            <w:vAlign w:val="center"/>
          </w:tcPr>
          <w:p w14:paraId="64F12342">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FF0000"/>
                <w:sz w:val="21"/>
                <w:szCs w:val="21"/>
                <w:highlight w:val="none"/>
                <w:lang w:val="en-US" w:eastAsia="zh-CN"/>
              </w:rPr>
              <w:t>1间</w:t>
            </w:r>
            <w:r>
              <w:rPr>
                <w:rFonts w:hint="default" w:ascii="Times New Roman" w:hAnsi="Times New Roman" w:eastAsia="宋体" w:cs="Times New Roman"/>
                <w:color w:val="FF0000"/>
                <w:sz w:val="21"/>
                <w:szCs w:val="21"/>
                <w:highlight w:val="none"/>
              </w:rPr>
              <w:t>，总建筑面积</w:t>
            </w:r>
            <w:r>
              <w:rPr>
                <w:rFonts w:hint="default" w:ascii="Times New Roman" w:hAnsi="Times New Roman" w:eastAsia="宋体" w:cs="Times New Roman"/>
                <w:color w:val="FF0000"/>
                <w:sz w:val="21"/>
                <w:szCs w:val="21"/>
                <w:highlight w:val="none"/>
                <w:lang w:val="en-US" w:eastAsia="zh-CN"/>
              </w:rPr>
              <w:t>35</w:t>
            </w:r>
            <w:r>
              <w:rPr>
                <w:rFonts w:hint="default" w:ascii="Times New Roman" w:hAnsi="Times New Roman" w:eastAsia="宋体" w:cs="Times New Roman"/>
                <w:color w:val="FF0000"/>
                <w:sz w:val="21"/>
                <w:szCs w:val="21"/>
                <w:highlight w:val="none"/>
              </w:rPr>
              <w:t>00m</w:t>
            </w:r>
            <w:r>
              <w:rPr>
                <w:rFonts w:hint="default" w:ascii="Times New Roman" w:hAnsi="Times New Roman" w:eastAsia="宋体" w:cs="Times New Roman"/>
                <w:color w:val="FF0000"/>
                <w:spacing w:val="-2"/>
                <w:sz w:val="21"/>
                <w:szCs w:val="21"/>
                <w:highlight w:val="none"/>
                <w:vertAlign w:val="superscript"/>
                <w:lang w:val="en-US" w:eastAsia="zh-CN"/>
              </w:rPr>
              <w:t>2</w:t>
            </w:r>
            <w:r>
              <w:rPr>
                <w:rFonts w:hint="default" w:ascii="Times New Roman" w:hAnsi="Times New Roman" w:eastAsia="宋体" w:cs="Times New Roman"/>
                <w:color w:val="FF0000"/>
                <w:sz w:val="21"/>
                <w:szCs w:val="21"/>
                <w:highlight w:val="none"/>
              </w:rPr>
              <w:t>，单层建筑，钢结构，</w:t>
            </w:r>
            <w:r>
              <w:rPr>
                <w:rFonts w:hint="default" w:ascii="Times New Roman" w:hAnsi="Times New Roman" w:eastAsia="宋体" w:cs="Times New Roman"/>
                <w:color w:val="FF0000"/>
                <w:sz w:val="21"/>
                <w:szCs w:val="21"/>
                <w:highlight w:val="none"/>
                <w:lang w:val="en-US" w:eastAsia="zh-CN"/>
              </w:rPr>
              <w:t>最大储存能力3万t，粪便及垫料，</w:t>
            </w:r>
            <w:r>
              <w:rPr>
                <w:rFonts w:hint="default" w:ascii="Times New Roman" w:hAnsi="Times New Roman" w:eastAsia="宋体" w:cs="Times New Roman"/>
                <w:color w:val="FF0000"/>
                <w:sz w:val="21"/>
                <w:szCs w:val="21"/>
                <w:highlight w:val="none"/>
              </w:rPr>
              <w:t>收集的粪便及垫料用密闭式粪车</w:t>
            </w:r>
            <w:r>
              <w:rPr>
                <w:rFonts w:hint="default" w:ascii="Times New Roman" w:hAnsi="Times New Roman" w:eastAsia="宋体" w:cs="Times New Roman"/>
                <w:color w:val="FF0000"/>
                <w:sz w:val="21"/>
                <w:szCs w:val="21"/>
                <w:highlight w:val="none"/>
                <w:lang w:val="en-US" w:eastAsia="zh-CN"/>
              </w:rPr>
              <w:t>定期外售，</w:t>
            </w:r>
            <w:r>
              <w:rPr>
                <w:rFonts w:hint="default" w:ascii="Times New Roman" w:hAnsi="Times New Roman" w:eastAsia="宋体" w:cs="Times New Roman"/>
                <w:color w:val="FF0000"/>
                <w:sz w:val="21"/>
                <w:szCs w:val="21"/>
                <w:highlight w:val="none"/>
                <w:lang w:val="en-US" w:eastAsia="zh-CN" w:bidi="ar-SA"/>
              </w:rPr>
              <w:t>暂存</w:t>
            </w:r>
            <w:r>
              <w:rPr>
                <w:rFonts w:hint="default" w:ascii="Times New Roman" w:hAnsi="Times New Roman" w:eastAsia="宋体" w:cs="Times New Roman"/>
                <w:color w:val="FF0000"/>
                <w:sz w:val="21"/>
                <w:szCs w:val="21"/>
                <w:highlight w:val="none"/>
                <w:lang w:val="en-US" w:bidi="ar-SA"/>
              </w:rPr>
              <w:t>牛舍更换的发酵床垫料，定期外售至有机肥厂</w:t>
            </w:r>
            <w:r>
              <w:rPr>
                <w:rFonts w:hint="default" w:ascii="Times New Roman" w:hAnsi="Times New Roman" w:eastAsia="宋体" w:cs="Times New Roman"/>
                <w:color w:val="FF0000"/>
                <w:sz w:val="21"/>
                <w:szCs w:val="21"/>
                <w:highlight w:val="none"/>
                <w:lang w:val="en-US" w:eastAsia="zh-CN" w:bidi="ar-SA"/>
              </w:rPr>
              <w:t>；牛舍更换的发酵床垫料，发酵床1年使用周期结束，清运至粪污储存间，暂存周期1d，委托处置单位及时拉运至有机肥厂。</w:t>
            </w:r>
          </w:p>
        </w:tc>
        <w:tc>
          <w:tcPr>
            <w:tcW w:w="565" w:type="dxa"/>
            <w:tcBorders>
              <w:right w:val="nil"/>
            </w:tcBorders>
            <w:vAlign w:val="center"/>
          </w:tcPr>
          <w:p w14:paraId="76CAEA7C">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72B1BB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22C1BFF1">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p>
        </w:tc>
        <w:tc>
          <w:tcPr>
            <w:tcW w:w="1517" w:type="dxa"/>
            <w:gridSpan w:val="3"/>
            <w:vAlign w:val="center"/>
          </w:tcPr>
          <w:p w14:paraId="2EEE20D0">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兽医室</w:t>
            </w:r>
          </w:p>
        </w:tc>
        <w:tc>
          <w:tcPr>
            <w:tcW w:w="6519" w:type="dxa"/>
            <w:vAlign w:val="center"/>
          </w:tcPr>
          <w:p w14:paraId="70BEC2E0">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1间，单栋建筑面积</w:t>
            </w:r>
            <w:r>
              <w:rPr>
                <w:rFonts w:hint="default" w:ascii="Times New Roman" w:hAnsi="Times New Roman" w:eastAsia="宋体" w:cs="Times New Roman"/>
                <w:color w:val="auto"/>
                <w:sz w:val="21"/>
                <w:szCs w:val="21"/>
                <w:highlight w:val="none"/>
                <w:lang w:val="en-US" w:eastAsia="zh-CN"/>
              </w:rPr>
              <w:t>60</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rPr>
              <w:t>，该室的用途是存放药物并为场内兽医提供工作的场所</w:t>
            </w:r>
          </w:p>
        </w:tc>
        <w:tc>
          <w:tcPr>
            <w:tcW w:w="565" w:type="dxa"/>
            <w:tcBorders>
              <w:right w:val="nil"/>
            </w:tcBorders>
            <w:vAlign w:val="center"/>
          </w:tcPr>
          <w:p w14:paraId="7B9DFFA5">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利旧</w:t>
            </w:r>
          </w:p>
        </w:tc>
      </w:tr>
      <w:tr w14:paraId="448612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470925FF">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p>
        </w:tc>
        <w:tc>
          <w:tcPr>
            <w:tcW w:w="1517" w:type="dxa"/>
            <w:gridSpan w:val="3"/>
            <w:vAlign w:val="center"/>
          </w:tcPr>
          <w:p w14:paraId="0C4EF4B2">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办公</w:t>
            </w:r>
            <w:r>
              <w:rPr>
                <w:rFonts w:hint="default" w:ascii="Times New Roman" w:hAnsi="Times New Roman" w:eastAsia="宋体" w:cs="Times New Roman"/>
                <w:color w:val="auto"/>
                <w:sz w:val="21"/>
                <w:szCs w:val="21"/>
                <w:highlight w:val="none"/>
                <w:lang w:val="en-US" w:eastAsia="zh-CN"/>
              </w:rPr>
              <w:t>楼</w:t>
            </w:r>
          </w:p>
        </w:tc>
        <w:tc>
          <w:tcPr>
            <w:tcW w:w="6519" w:type="dxa"/>
            <w:vAlign w:val="center"/>
          </w:tcPr>
          <w:p w14:paraId="38AFF6FF">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建筑面积300m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pacing w:val="-2"/>
                <w:sz w:val="21"/>
                <w:szCs w:val="21"/>
                <w:highlight w:val="none"/>
                <w:vertAlign w:val="baseline"/>
                <w:lang w:val="en-US" w:eastAsia="zh-CN"/>
              </w:rPr>
              <w:t>，</w:t>
            </w:r>
            <w:r>
              <w:rPr>
                <w:rFonts w:hint="default" w:ascii="Times New Roman" w:hAnsi="Times New Roman" w:eastAsia="宋体" w:cs="Times New Roman"/>
                <w:color w:val="auto"/>
                <w:sz w:val="21"/>
                <w:szCs w:val="21"/>
                <w:highlight w:val="none"/>
              </w:rPr>
              <w:t>工作人员办公的场所</w:t>
            </w:r>
          </w:p>
        </w:tc>
        <w:tc>
          <w:tcPr>
            <w:tcW w:w="565" w:type="dxa"/>
            <w:tcBorders>
              <w:right w:val="nil"/>
            </w:tcBorders>
            <w:vAlign w:val="center"/>
          </w:tcPr>
          <w:p w14:paraId="40F6FB79">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利旧</w:t>
            </w:r>
          </w:p>
        </w:tc>
      </w:tr>
      <w:tr w14:paraId="73B95C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7B54F42F">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p>
        </w:tc>
        <w:tc>
          <w:tcPr>
            <w:tcW w:w="1517" w:type="dxa"/>
            <w:gridSpan w:val="3"/>
            <w:tcBorders>
              <w:right w:val="single" w:color="auto" w:sz="4" w:space="0"/>
            </w:tcBorders>
            <w:vAlign w:val="center"/>
          </w:tcPr>
          <w:p w14:paraId="4284BE71">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拌料车间</w:t>
            </w:r>
          </w:p>
        </w:tc>
        <w:tc>
          <w:tcPr>
            <w:tcW w:w="6519" w:type="dxa"/>
            <w:tcBorders>
              <w:left w:val="single" w:color="auto" w:sz="4" w:space="0"/>
            </w:tcBorders>
            <w:vAlign w:val="center"/>
          </w:tcPr>
          <w:p w14:paraId="7A7C2E0F">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rPr>
              <w:t>间，</w:t>
            </w:r>
            <w:r>
              <w:rPr>
                <w:rFonts w:hint="default" w:ascii="Times New Roman" w:hAnsi="Times New Roman" w:eastAsia="宋体" w:cs="Times New Roman"/>
                <w:color w:val="auto"/>
                <w:sz w:val="21"/>
                <w:szCs w:val="21"/>
                <w:highlight w:val="none"/>
                <w:lang w:val="en-US" w:eastAsia="zh-CN"/>
              </w:rPr>
              <w:t>建筑</w:t>
            </w:r>
            <w:r>
              <w:rPr>
                <w:rFonts w:hint="default" w:ascii="Times New Roman" w:hAnsi="Times New Roman" w:eastAsia="宋体" w:cs="Times New Roman"/>
                <w:color w:val="auto"/>
                <w:sz w:val="21"/>
                <w:szCs w:val="21"/>
                <w:highlight w:val="none"/>
              </w:rPr>
              <w:t>面积</w:t>
            </w:r>
            <w:r>
              <w:rPr>
                <w:rFonts w:hint="default" w:ascii="Times New Roman" w:hAnsi="Times New Roman" w:eastAsia="宋体" w:cs="Times New Roman"/>
                <w:color w:val="auto"/>
                <w:sz w:val="21"/>
                <w:szCs w:val="21"/>
                <w:highlight w:val="none"/>
                <w:lang w:val="en-US" w:eastAsia="zh-CN"/>
              </w:rPr>
              <w:t>200</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rPr>
              <w:t>，用于加工、</w:t>
            </w:r>
            <w:r>
              <w:rPr>
                <w:rFonts w:hint="default" w:ascii="Times New Roman" w:hAnsi="Times New Roman" w:eastAsia="宋体" w:cs="Times New Roman"/>
                <w:color w:val="auto"/>
                <w:sz w:val="21"/>
                <w:szCs w:val="21"/>
                <w:highlight w:val="none"/>
                <w:lang w:eastAsia="zh-CN"/>
              </w:rPr>
              <w:t>配制饲料</w:t>
            </w:r>
            <w:r>
              <w:rPr>
                <w:rFonts w:hint="default" w:ascii="Times New Roman" w:hAnsi="Times New Roman" w:eastAsia="宋体" w:cs="Times New Roman"/>
                <w:color w:val="auto"/>
                <w:sz w:val="21"/>
                <w:szCs w:val="21"/>
                <w:highlight w:val="none"/>
              </w:rPr>
              <w:t>，利用TMR搅拌机进行搅拌，基本无废气产生</w:t>
            </w:r>
          </w:p>
        </w:tc>
        <w:tc>
          <w:tcPr>
            <w:tcW w:w="565" w:type="dxa"/>
            <w:tcBorders>
              <w:right w:val="nil"/>
            </w:tcBorders>
            <w:vAlign w:val="center"/>
          </w:tcPr>
          <w:p w14:paraId="7A2967BD">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3CEE7E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384" w:type="dxa"/>
            <w:vMerge w:val="restart"/>
            <w:tcBorders>
              <w:left w:val="nil"/>
            </w:tcBorders>
            <w:vAlign w:val="center"/>
          </w:tcPr>
          <w:p w14:paraId="0882A581">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储运工程</w:t>
            </w:r>
          </w:p>
        </w:tc>
        <w:tc>
          <w:tcPr>
            <w:tcW w:w="1517" w:type="dxa"/>
            <w:gridSpan w:val="3"/>
            <w:vAlign w:val="center"/>
          </w:tcPr>
          <w:p w14:paraId="62F49BC5">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干草棚</w:t>
            </w:r>
          </w:p>
        </w:tc>
        <w:tc>
          <w:tcPr>
            <w:tcW w:w="6519" w:type="dxa"/>
            <w:vAlign w:val="center"/>
          </w:tcPr>
          <w:p w14:paraId="1BC4EB3F">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1个，钢结构</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建筑面积</w:t>
            </w:r>
            <w:r>
              <w:rPr>
                <w:rFonts w:hint="default" w:ascii="Times New Roman" w:hAnsi="Times New Roman" w:eastAsia="宋体"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rPr>
              <w:t>200m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FF0000"/>
                <w:sz w:val="21"/>
                <w:szCs w:val="21"/>
                <w:highlight w:val="none"/>
                <w:lang w:val="en-US" w:eastAsia="zh-CN"/>
              </w:rPr>
              <w:t>最大储存能力3万t</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用于堆放</w:t>
            </w:r>
            <w:r>
              <w:rPr>
                <w:rFonts w:hint="default" w:ascii="Times New Roman" w:hAnsi="Times New Roman" w:eastAsia="宋体" w:cs="Times New Roman"/>
                <w:color w:val="auto"/>
                <w:sz w:val="21"/>
                <w:szCs w:val="21"/>
                <w:highlight w:val="none"/>
                <w:lang w:val="en-US" w:eastAsia="zh-CN"/>
              </w:rPr>
              <w:t>草料</w:t>
            </w:r>
            <w:r>
              <w:rPr>
                <w:rFonts w:hint="default" w:ascii="Times New Roman" w:hAnsi="Times New Roman" w:eastAsia="宋体" w:cs="Times New Roman"/>
                <w:color w:val="auto"/>
                <w:sz w:val="21"/>
                <w:szCs w:val="21"/>
                <w:highlight w:val="none"/>
                <w:lang w:eastAsia="zh-CN"/>
              </w:rPr>
              <w:t>；</w:t>
            </w:r>
          </w:p>
        </w:tc>
        <w:tc>
          <w:tcPr>
            <w:tcW w:w="565" w:type="dxa"/>
            <w:tcBorders>
              <w:right w:val="nil"/>
            </w:tcBorders>
            <w:vAlign w:val="center"/>
          </w:tcPr>
          <w:p w14:paraId="77829CAC">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利旧</w:t>
            </w:r>
          </w:p>
        </w:tc>
      </w:tr>
      <w:tr w14:paraId="311B44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6CA550A3">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1517" w:type="dxa"/>
            <w:gridSpan w:val="3"/>
            <w:vAlign w:val="center"/>
          </w:tcPr>
          <w:p w14:paraId="49C811C5">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仓</w:t>
            </w:r>
            <w:r>
              <w:rPr>
                <w:rFonts w:hint="default" w:ascii="Times New Roman" w:hAnsi="Times New Roman" w:eastAsia="宋体" w:cs="Times New Roman"/>
                <w:color w:val="auto"/>
                <w:sz w:val="21"/>
                <w:szCs w:val="21"/>
                <w:highlight w:val="none"/>
              </w:rPr>
              <w:t>库</w:t>
            </w:r>
          </w:p>
        </w:tc>
        <w:tc>
          <w:tcPr>
            <w:tcW w:w="6519" w:type="dxa"/>
            <w:vAlign w:val="center"/>
          </w:tcPr>
          <w:p w14:paraId="20EA9DA8">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1个，建筑面积</w:t>
            </w:r>
            <w:r>
              <w:rPr>
                <w:rFonts w:hint="default" w:ascii="Times New Roman" w:hAnsi="Times New Roman" w:eastAsia="宋体" w:cs="Times New Roman"/>
                <w:color w:val="auto"/>
                <w:sz w:val="21"/>
                <w:szCs w:val="21"/>
                <w:highlight w:val="none"/>
                <w:lang w:val="en-US" w:eastAsia="zh-CN"/>
              </w:rPr>
              <w:t>500</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FF0000"/>
                <w:sz w:val="21"/>
                <w:szCs w:val="21"/>
                <w:highlight w:val="none"/>
                <w:lang w:val="en-US" w:eastAsia="zh-CN"/>
              </w:rPr>
              <w:t>最大储存能力2000t，</w:t>
            </w:r>
            <w:r>
              <w:rPr>
                <w:rFonts w:hint="default" w:ascii="Times New Roman" w:hAnsi="Times New Roman" w:eastAsia="宋体" w:cs="Times New Roman"/>
                <w:color w:val="auto"/>
                <w:sz w:val="21"/>
                <w:szCs w:val="21"/>
                <w:highlight w:val="none"/>
              </w:rPr>
              <w:t>用于堆放干撒式发酵床</w:t>
            </w:r>
          </w:p>
        </w:tc>
        <w:tc>
          <w:tcPr>
            <w:tcW w:w="565" w:type="dxa"/>
            <w:tcBorders>
              <w:right w:val="nil"/>
            </w:tcBorders>
            <w:vAlign w:val="center"/>
          </w:tcPr>
          <w:p w14:paraId="24BDC26A">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利旧</w:t>
            </w:r>
          </w:p>
        </w:tc>
      </w:tr>
      <w:tr w14:paraId="0F0CF9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2" w:hRule="atLeast"/>
          <w:jc w:val="center"/>
        </w:trPr>
        <w:tc>
          <w:tcPr>
            <w:tcW w:w="384" w:type="dxa"/>
            <w:vMerge w:val="continue"/>
            <w:tcBorders>
              <w:left w:val="nil"/>
            </w:tcBorders>
            <w:vAlign w:val="center"/>
          </w:tcPr>
          <w:p w14:paraId="24AD95DE">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1517" w:type="dxa"/>
            <w:gridSpan w:val="3"/>
            <w:vAlign w:val="center"/>
          </w:tcPr>
          <w:p w14:paraId="30F735F2">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青贮窖</w:t>
            </w:r>
          </w:p>
        </w:tc>
        <w:tc>
          <w:tcPr>
            <w:tcW w:w="6519" w:type="dxa"/>
            <w:vAlign w:val="center"/>
          </w:tcPr>
          <w:p w14:paraId="256F1196">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1个</w:t>
            </w:r>
            <w:r>
              <w:rPr>
                <w:rFonts w:hint="default" w:ascii="Times New Roman" w:hAnsi="Times New Roman" w:eastAsia="宋体" w:cs="Times New Roman"/>
                <w:color w:val="auto"/>
                <w:sz w:val="21"/>
                <w:szCs w:val="21"/>
                <w:highlight w:val="none"/>
              </w:rPr>
              <w:t>，建筑面积</w:t>
            </w:r>
            <w:r>
              <w:rPr>
                <w:rFonts w:hint="default" w:ascii="Times New Roman" w:hAnsi="Times New Roman" w:eastAsia="宋体" w:cs="Times New Roman"/>
                <w:color w:val="auto"/>
                <w:sz w:val="21"/>
                <w:szCs w:val="21"/>
                <w:highlight w:val="none"/>
                <w:lang w:val="en-US" w:eastAsia="zh-CN"/>
              </w:rPr>
              <w:t>2160</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pacing w:val="-2"/>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建设为地上式，设计尺寸为40m×5</w:t>
            </w:r>
            <w:r>
              <w:rPr>
                <w:rFonts w:hint="default" w:ascii="Times New Roman" w:hAnsi="Times New Roman" w:eastAsia="宋体" w:cs="Times New Roman"/>
                <w:color w:val="auto"/>
                <w:sz w:val="21"/>
                <w:szCs w:val="21"/>
                <w:highlight w:val="none"/>
                <w:lang w:val="en-US" w:eastAsia="zh-CN"/>
              </w:rPr>
              <w:t>4</w:t>
            </w:r>
            <w:r>
              <w:rPr>
                <w:rFonts w:hint="default" w:ascii="Times New Roman" w:hAnsi="Times New Roman" w:eastAsia="宋体" w:cs="Times New Roman"/>
                <w:color w:val="auto"/>
                <w:sz w:val="21"/>
                <w:szCs w:val="21"/>
                <w:highlight w:val="none"/>
              </w:rPr>
              <w:t>m×3.5m，采用200mm厚C30混凝土，断面为长方形，窖内设运输坡道，</w:t>
            </w:r>
            <w:r>
              <w:rPr>
                <w:rFonts w:hint="default" w:ascii="Times New Roman" w:hAnsi="Times New Roman" w:eastAsia="宋体" w:cs="Times New Roman"/>
                <w:color w:val="FF0000"/>
                <w:sz w:val="21"/>
                <w:szCs w:val="21"/>
                <w:highlight w:val="none"/>
                <w:lang w:val="en-US" w:eastAsia="zh-CN"/>
              </w:rPr>
              <w:t>最大储存能力5000t，</w:t>
            </w:r>
            <w:r>
              <w:rPr>
                <w:rFonts w:hint="default" w:ascii="Times New Roman" w:hAnsi="Times New Roman" w:eastAsia="宋体" w:cs="Times New Roman"/>
                <w:color w:val="FF0000"/>
                <w:sz w:val="21"/>
                <w:szCs w:val="21"/>
                <w:highlight w:val="none"/>
              </w:rPr>
              <w:t>用于贮存饲料</w:t>
            </w:r>
            <w:r>
              <w:rPr>
                <w:rFonts w:hint="default" w:ascii="Times New Roman" w:hAnsi="Times New Roman" w:eastAsia="宋体" w:cs="Times New Roman"/>
                <w:color w:val="FF0000"/>
                <w:sz w:val="21"/>
                <w:szCs w:val="21"/>
                <w:highlight w:val="none"/>
                <w:lang w:val="en-US" w:eastAsia="zh-CN"/>
              </w:rPr>
              <w:t>用于玉米青贮料的制作和储存，冬季无需青贮、青贮饲料在厂区内切碎，由于青贮是把鲜棵植物切碎放入青贮池中，加入乳酸菌菌剂青贮，加工环节不产粉尘，</w:t>
            </w:r>
            <w:r>
              <w:rPr>
                <w:rFonts w:hint="default" w:ascii="Times New Roman" w:hAnsi="Times New Roman" w:eastAsia="宋体" w:cs="Times New Roman"/>
                <w:color w:val="FF0000"/>
                <w:spacing w:val="-4"/>
                <w:sz w:val="21"/>
                <w:szCs w:val="21"/>
                <w:highlight w:val="none"/>
              </w:rPr>
              <w:t>根据《全株玉米青贮渗出液资源</w:t>
            </w:r>
            <w:r>
              <w:rPr>
                <w:rFonts w:hint="default" w:ascii="Times New Roman" w:hAnsi="Times New Roman" w:eastAsia="宋体" w:cs="Times New Roman"/>
                <w:color w:val="FF0000"/>
                <w:spacing w:val="-6"/>
                <w:sz w:val="21"/>
                <w:szCs w:val="21"/>
                <w:highlight w:val="none"/>
              </w:rPr>
              <w:t>的开发利用》（陕西农业科学，</w:t>
            </w:r>
            <w:r>
              <w:rPr>
                <w:rFonts w:hint="default" w:ascii="Times New Roman" w:hAnsi="Times New Roman" w:eastAsia="Times New Roman" w:cs="Times New Roman"/>
                <w:color w:val="FF0000"/>
                <w:spacing w:val="-6"/>
                <w:sz w:val="21"/>
                <w:szCs w:val="21"/>
                <w:highlight w:val="none"/>
              </w:rPr>
              <w:t>2010</w:t>
            </w:r>
            <w:r>
              <w:rPr>
                <w:rFonts w:hint="default" w:ascii="Times New Roman" w:hAnsi="Times New Roman" w:eastAsia="宋体" w:cs="Times New Roman"/>
                <w:color w:val="FF0000"/>
                <w:spacing w:val="-6"/>
                <w:sz w:val="21"/>
                <w:szCs w:val="21"/>
                <w:highlight w:val="none"/>
              </w:rPr>
              <w:t>（</w:t>
            </w:r>
            <w:r>
              <w:rPr>
                <w:rFonts w:hint="default" w:ascii="Times New Roman" w:hAnsi="Times New Roman" w:eastAsia="Times New Roman" w:cs="Times New Roman"/>
                <w:color w:val="FF0000"/>
                <w:spacing w:val="-6"/>
                <w:sz w:val="21"/>
                <w:szCs w:val="21"/>
                <w:highlight w:val="none"/>
              </w:rPr>
              <w:t>2</w:t>
            </w:r>
            <w:r>
              <w:rPr>
                <w:rFonts w:hint="default" w:ascii="Times New Roman" w:hAnsi="Times New Roman" w:eastAsia="宋体" w:cs="Times New Roman"/>
                <w:color w:val="FF0000"/>
                <w:spacing w:val="-37"/>
                <w:sz w:val="21"/>
                <w:szCs w:val="21"/>
                <w:highlight w:val="none"/>
              </w:rPr>
              <w:t>），</w:t>
            </w:r>
            <w:r>
              <w:rPr>
                <w:rFonts w:hint="default" w:ascii="Times New Roman" w:hAnsi="Times New Roman" w:eastAsia="宋体" w:cs="Times New Roman"/>
                <w:color w:val="FF0000"/>
                <w:spacing w:val="-6"/>
                <w:sz w:val="21"/>
                <w:szCs w:val="21"/>
                <w:highlight w:val="none"/>
              </w:rPr>
              <w:t>第</w:t>
            </w:r>
            <w:r>
              <w:rPr>
                <w:rFonts w:hint="default" w:ascii="Times New Roman" w:hAnsi="Times New Roman" w:eastAsia="Times New Roman" w:cs="Times New Roman"/>
                <w:color w:val="FF0000"/>
                <w:spacing w:val="-6"/>
                <w:sz w:val="21"/>
                <w:szCs w:val="21"/>
                <w:highlight w:val="none"/>
              </w:rPr>
              <w:t>98</w:t>
            </w:r>
            <w:r>
              <w:rPr>
                <w:rFonts w:hint="default" w:ascii="Times New Roman" w:hAnsi="Times New Roman" w:eastAsia="宋体" w:cs="Times New Roman"/>
                <w:color w:val="FF0000"/>
                <w:spacing w:val="-6"/>
                <w:sz w:val="21"/>
                <w:szCs w:val="21"/>
                <w:highlight w:val="none"/>
              </w:rPr>
              <w:t>页</w:t>
            </w:r>
            <w:r>
              <w:rPr>
                <w:rFonts w:hint="default" w:ascii="Times New Roman" w:hAnsi="Times New Roman" w:eastAsia="宋体" w:cs="Times New Roman"/>
                <w:color w:val="FF0000"/>
                <w:spacing w:val="-37"/>
                <w:sz w:val="21"/>
                <w:szCs w:val="21"/>
                <w:highlight w:val="none"/>
              </w:rPr>
              <w:t>）</w:t>
            </w:r>
            <w:r>
              <w:rPr>
                <w:rFonts w:hint="default" w:ascii="Times New Roman" w:hAnsi="Times New Roman" w:eastAsia="宋体" w:cs="Times New Roman"/>
                <w:color w:val="FF0000"/>
                <w:spacing w:val="-37"/>
                <w:sz w:val="21"/>
                <w:szCs w:val="21"/>
                <w:highlight w:val="none"/>
                <w:lang w:eastAsia="zh-CN"/>
              </w:rPr>
              <w:t>，</w:t>
            </w:r>
            <w:r>
              <w:rPr>
                <w:rFonts w:hint="default" w:ascii="Times New Roman" w:hAnsi="Times New Roman" w:eastAsia="宋体" w:cs="Times New Roman"/>
                <w:color w:val="FF0000"/>
                <w:spacing w:val="-4"/>
                <w:sz w:val="21"/>
                <w:szCs w:val="21"/>
                <w:highlight w:val="none"/>
                <w:lang w:eastAsia="zh-CN"/>
              </w:rPr>
              <w:t>青贮窖</w:t>
            </w:r>
            <w:r>
              <w:rPr>
                <w:rFonts w:hint="default" w:ascii="Times New Roman" w:hAnsi="Times New Roman" w:eastAsia="宋体" w:cs="Times New Roman"/>
                <w:color w:val="FF0000"/>
                <w:spacing w:val="-4"/>
                <w:sz w:val="21"/>
                <w:szCs w:val="21"/>
                <w:highlight w:val="none"/>
              </w:rPr>
              <w:t>渗滤液一部分与水按</w:t>
            </w:r>
            <w:r>
              <w:rPr>
                <w:rFonts w:hint="default" w:ascii="Times New Roman" w:hAnsi="Times New Roman" w:eastAsia="Times New Roman" w:cs="Times New Roman"/>
                <w:color w:val="FF0000"/>
                <w:spacing w:val="-4"/>
                <w:sz w:val="21"/>
                <w:szCs w:val="21"/>
                <w:highlight w:val="none"/>
              </w:rPr>
              <w:t>1:2</w:t>
            </w:r>
            <w:r>
              <w:rPr>
                <w:rFonts w:hint="default" w:ascii="Times New Roman" w:hAnsi="Times New Roman" w:eastAsia="宋体" w:cs="Times New Roman"/>
                <w:color w:val="FF0000"/>
                <w:spacing w:val="-4"/>
                <w:sz w:val="21"/>
                <w:szCs w:val="21"/>
                <w:highlight w:val="none"/>
              </w:rPr>
              <w:t>比例配</w:t>
            </w:r>
            <w:r>
              <w:rPr>
                <w:rFonts w:hint="default" w:ascii="Times New Roman" w:hAnsi="Times New Roman" w:eastAsia="宋体" w:cs="Times New Roman"/>
                <w:color w:val="FF0000"/>
                <w:spacing w:val="-2"/>
                <w:sz w:val="21"/>
                <w:szCs w:val="21"/>
                <w:highlight w:val="none"/>
              </w:rPr>
              <w:t>合代替水饮喂肉牛</w:t>
            </w:r>
          </w:p>
        </w:tc>
        <w:tc>
          <w:tcPr>
            <w:tcW w:w="565" w:type="dxa"/>
            <w:tcBorders>
              <w:right w:val="nil"/>
            </w:tcBorders>
            <w:vAlign w:val="center"/>
          </w:tcPr>
          <w:p w14:paraId="7F1EE4EC">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利旧</w:t>
            </w:r>
          </w:p>
        </w:tc>
      </w:tr>
      <w:tr w14:paraId="4E60A4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restart"/>
            <w:tcBorders>
              <w:left w:val="nil"/>
            </w:tcBorders>
            <w:vAlign w:val="center"/>
          </w:tcPr>
          <w:p w14:paraId="304B4B44">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公用工程</w:t>
            </w:r>
          </w:p>
        </w:tc>
        <w:tc>
          <w:tcPr>
            <w:tcW w:w="1517" w:type="dxa"/>
            <w:gridSpan w:val="3"/>
            <w:vAlign w:val="center"/>
          </w:tcPr>
          <w:p w14:paraId="56F99C7D">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供水</w:t>
            </w:r>
          </w:p>
        </w:tc>
        <w:tc>
          <w:tcPr>
            <w:tcW w:w="6519" w:type="dxa"/>
            <w:vAlign w:val="center"/>
          </w:tcPr>
          <w:p w14:paraId="7B7DE723">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生产、生活用水由厂区内自打井供给，水质良好，且水量可以满足项目用水需求</w:t>
            </w:r>
            <w:r>
              <w:rPr>
                <w:rFonts w:hint="default" w:ascii="Times New Roman" w:hAnsi="Times New Roman" w:eastAsia="宋体" w:cs="Times New Roman"/>
                <w:color w:val="auto"/>
                <w:sz w:val="21"/>
                <w:szCs w:val="21"/>
                <w:highlight w:val="none"/>
                <w:lang w:eastAsia="zh-CN"/>
              </w:rPr>
              <w:t>。</w:t>
            </w:r>
          </w:p>
        </w:tc>
        <w:tc>
          <w:tcPr>
            <w:tcW w:w="565" w:type="dxa"/>
            <w:tcBorders>
              <w:right w:val="nil"/>
            </w:tcBorders>
            <w:shd w:val="clear" w:color="auto" w:fill="auto"/>
            <w:vAlign w:val="center"/>
          </w:tcPr>
          <w:p w14:paraId="58652337">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en-US"/>
              </w:rPr>
            </w:pPr>
            <w:r>
              <w:rPr>
                <w:rFonts w:hint="default" w:ascii="Times New Roman" w:hAnsi="Times New Roman" w:eastAsia="宋体" w:cs="Times New Roman"/>
                <w:color w:val="auto"/>
                <w:sz w:val="21"/>
                <w:szCs w:val="21"/>
                <w:highlight w:val="none"/>
                <w:lang w:val="en-US" w:eastAsia="zh-CN"/>
              </w:rPr>
              <w:t>利旧</w:t>
            </w:r>
          </w:p>
        </w:tc>
      </w:tr>
      <w:tr w14:paraId="0384A4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5B8428BF">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1517" w:type="dxa"/>
            <w:gridSpan w:val="3"/>
            <w:vAlign w:val="center"/>
          </w:tcPr>
          <w:p w14:paraId="47B30471">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排水</w:t>
            </w:r>
          </w:p>
        </w:tc>
        <w:tc>
          <w:tcPr>
            <w:tcW w:w="6519" w:type="dxa"/>
            <w:vAlign w:val="center"/>
          </w:tcPr>
          <w:p w14:paraId="1E215DFA">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val="0"/>
                <w:bCs w:val="0"/>
                <w:color w:val="auto"/>
                <w:kern w:val="2"/>
                <w:sz w:val="21"/>
                <w:szCs w:val="21"/>
                <w:highlight w:val="none"/>
                <w:lang w:val="en-US" w:eastAsia="zh-CN" w:bidi="ar-SA"/>
              </w:rPr>
              <w:t>本项目场区采取雨污分流措施</w:t>
            </w:r>
            <w:r>
              <w:rPr>
                <w:rFonts w:hint="default" w:ascii="Times New Roman" w:hAnsi="Times New Roman" w:eastAsia="宋体" w:cs="Times New Roman"/>
                <w:color w:val="auto"/>
                <w:sz w:val="21"/>
                <w:szCs w:val="21"/>
                <w:highlight w:val="none"/>
              </w:rPr>
              <w:t>；生活污水排入防渗化粪池，</w:t>
            </w:r>
            <w:r>
              <w:rPr>
                <w:rFonts w:hint="default" w:ascii="Times New Roman" w:hAnsi="Times New Roman" w:eastAsia="宋体" w:cs="Times New Roman"/>
                <w:color w:val="auto"/>
                <w:sz w:val="21"/>
                <w:szCs w:val="21"/>
                <w:highlight w:val="none"/>
                <w:lang w:val="en-US" w:eastAsia="zh-CN"/>
              </w:rPr>
              <w:t>定期清掏</w:t>
            </w:r>
            <w:r>
              <w:rPr>
                <w:rFonts w:hint="default" w:ascii="Times New Roman" w:hAnsi="Times New Roman" w:cs="Times New Roman"/>
                <w:color w:val="auto"/>
                <w:sz w:val="21"/>
                <w:szCs w:val="21"/>
                <w:highlight w:val="none"/>
                <w:lang w:val="en-US" w:eastAsia="zh-CN"/>
              </w:rPr>
              <w:t>外运堆肥</w:t>
            </w:r>
            <w:r>
              <w:rPr>
                <w:rFonts w:hint="default" w:ascii="Times New Roman" w:hAnsi="Times New Roman" w:eastAsia="宋体" w:cs="Times New Roman"/>
                <w:color w:val="auto"/>
                <w:sz w:val="21"/>
                <w:szCs w:val="21"/>
                <w:highlight w:val="none"/>
                <w:lang w:val="en-US" w:eastAsia="zh-CN"/>
              </w:rPr>
              <w:t>，不外排</w:t>
            </w:r>
            <w:r>
              <w:rPr>
                <w:rFonts w:hint="default" w:ascii="Times New Roman" w:hAnsi="Times New Roman" w:eastAsia="宋体" w:cs="Times New Roman"/>
                <w:color w:val="auto"/>
                <w:sz w:val="21"/>
                <w:szCs w:val="21"/>
                <w:highlight w:val="none"/>
              </w:rPr>
              <w:t>；牛舍均采用干撒式发酵床工艺</w:t>
            </w:r>
            <w:r>
              <w:rPr>
                <w:rFonts w:hint="default" w:ascii="Times New Roman" w:hAnsi="Times New Roman" w:eastAsia="宋体" w:cs="Times New Roman"/>
                <w:color w:val="auto"/>
                <w:sz w:val="21"/>
                <w:szCs w:val="21"/>
                <w:highlight w:val="none"/>
                <w:lang w:eastAsia="zh-CN"/>
              </w:rPr>
              <w:t>，牛舍产生的牛尿一部分供微生物繁殖使用，一部分被升温转换为气体排出发酵床，不外排</w:t>
            </w:r>
            <w:r>
              <w:rPr>
                <w:rFonts w:hint="default" w:ascii="Times New Roman" w:hAnsi="Times New Roman" w:cs="Times New Roman"/>
                <w:color w:val="auto"/>
                <w:sz w:val="21"/>
                <w:szCs w:val="21"/>
                <w:highlight w:val="none"/>
                <w:lang w:eastAsia="zh-CN"/>
              </w:rPr>
              <w:t>。</w:t>
            </w:r>
          </w:p>
        </w:tc>
        <w:tc>
          <w:tcPr>
            <w:tcW w:w="565" w:type="dxa"/>
            <w:tcBorders>
              <w:right w:val="nil"/>
            </w:tcBorders>
            <w:shd w:val="clear" w:color="auto" w:fill="auto"/>
            <w:vAlign w:val="center"/>
          </w:tcPr>
          <w:p w14:paraId="5E357C6C">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en-US"/>
              </w:rPr>
            </w:pPr>
            <w:r>
              <w:rPr>
                <w:rFonts w:hint="default" w:ascii="Times New Roman" w:hAnsi="Times New Roman" w:eastAsia="宋体" w:cs="Times New Roman"/>
                <w:color w:val="auto"/>
                <w:sz w:val="21"/>
                <w:szCs w:val="21"/>
                <w:highlight w:val="none"/>
              </w:rPr>
              <w:t>新建</w:t>
            </w:r>
          </w:p>
        </w:tc>
      </w:tr>
      <w:tr w14:paraId="2E38BA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045A3CEB">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1517" w:type="dxa"/>
            <w:gridSpan w:val="3"/>
            <w:vAlign w:val="center"/>
          </w:tcPr>
          <w:p w14:paraId="6A800738">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供电</w:t>
            </w:r>
          </w:p>
        </w:tc>
        <w:tc>
          <w:tcPr>
            <w:tcW w:w="6519" w:type="dxa"/>
            <w:vAlign w:val="center"/>
          </w:tcPr>
          <w:p w14:paraId="53327210">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本项目供电由项目所在地区域电网接入，利用场区供电系统供给各生产单元使用，可以满足项目用电需求。</w:t>
            </w:r>
          </w:p>
        </w:tc>
        <w:tc>
          <w:tcPr>
            <w:tcW w:w="565" w:type="dxa"/>
            <w:tcBorders>
              <w:right w:val="nil"/>
            </w:tcBorders>
            <w:vAlign w:val="center"/>
          </w:tcPr>
          <w:p w14:paraId="567E6BCC">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利旧</w:t>
            </w:r>
          </w:p>
        </w:tc>
      </w:tr>
      <w:tr w14:paraId="40B28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0B8CF599">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1517" w:type="dxa"/>
            <w:gridSpan w:val="3"/>
            <w:vAlign w:val="center"/>
          </w:tcPr>
          <w:p w14:paraId="6CECE850">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供</w:t>
            </w:r>
            <w:r>
              <w:rPr>
                <w:rFonts w:hint="default" w:ascii="Times New Roman" w:hAnsi="Times New Roman" w:eastAsia="宋体" w:cs="Times New Roman"/>
                <w:color w:val="auto"/>
                <w:sz w:val="21"/>
                <w:szCs w:val="21"/>
                <w:highlight w:val="none"/>
                <w:lang w:val="en-US" w:eastAsia="zh-CN"/>
              </w:rPr>
              <w:t>暖</w:t>
            </w:r>
          </w:p>
        </w:tc>
        <w:tc>
          <w:tcPr>
            <w:tcW w:w="6519" w:type="dxa"/>
            <w:vAlign w:val="center"/>
          </w:tcPr>
          <w:p w14:paraId="0059E202">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办公区、兽医室采用电采暖，牛舍不需要供暖</w:t>
            </w:r>
            <w:r>
              <w:rPr>
                <w:rFonts w:hint="default" w:ascii="Times New Roman" w:hAnsi="Times New Roman" w:eastAsia="宋体" w:cs="Times New Roman"/>
                <w:color w:val="auto"/>
                <w:sz w:val="21"/>
                <w:szCs w:val="21"/>
                <w:highlight w:val="none"/>
                <w:lang w:eastAsia="zh-CN"/>
              </w:rPr>
              <w:t>。</w:t>
            </w:r>
          </w:p>
        </w:tc>
        <w:tc>
          <w:tcPr>
            <w:tcW w:w="565" w:type="dxa"/>
            <w:tcBorders>
              <w:right w:val="nil"/>
            </w:tcBorders>
            <w:vAlign w:val="center"/>
          </w:tcPr>
          <w:p w14:paraId="78C228D2">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p>
        </w:tc>
      </w:tr>
      <w:tr w14:paraId="7B1B1D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2" w:hRule="atLeast"/>
          <w:jc w:val="center"/>
        </w:trPr>
        <w:tc>
          <w:tcPr>
            <w:tcW w:w="384" w:type="dxa"/>
            <w:vMerge w:val="restart"/>
            <w:tcBorders>
              <w:left w:val="nil"/>
            </w:tcBorders>
            <w:vAlign w:val="center"/>
          </w:tcPr>
          <w:p w14:paraId="32934E92">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环保工程</w:t>
            </w:r>
          </w:p>
        </w:tc>
        <w:tc>
          <w:tcPr>
            <w:tcW w:w="293" w:type="dxa"/>
            <w:vMerge w:val="restart"/>
            <w:tcBorders>
              <w:right w:val="single" w:color="auto" w:sz="4" w:space="0"/>
            </w:tcBorders>
            <w:vAlign w:val="center"/>
          </w:tcPr>
          <w:p w14:paraId="6CF311AD">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废气治理</w:t>
            </w:r>
          </w:p>
        </w:tc>
        <w:tc>
          <w:tcPr>
            <w:tcW w:w="1224" w:type="dxa"/>
            <w:gridSpan w:val="2"/>
            <w:tcBorders>
              <w:left w:val="single" w:color="auto" w:sz="4" w:space="0"/>
              <w:bottom w:val="single" w:color="auto" w:sz="4" w:space="0"/>
            </w:tcBorders>
            <w:vAlign w:val="center"/>
          </w:tcPr>
          <w:p w14:paraId="33D66DC7">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牛舍及运动场恶臭</w:t>
            </w:r>
          </w:p>
        </w:tc>
        <w:tc>
          <w:tcPr>
            <w:tcW w:w="6519" w:type="dxa"/>
            <w:tcBorders>
              <w:bottom w:val="single" w:color="auto" w:sz="4" w:space="0"/>
            </w:tcBorders>
            <w:vAlign w:val="center"/>
          </w:tcPr>
          <w:p w14:paraId="49CD9FB0">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牛舍及运动场均</w:t>
            </w:r>
            <w:r>
              <w:rPr>
                <w:rFonts w:hint="default" w:ascii="Times New Roman" w:hAnsi="Times New Roman" w:eastAsia="宋体" w:cs="Times New Roman"/>
                <w:color w:val="FF0000"/>
                <w:sz w:val="21"/>
                <w:szCs w:val="21"/>
                <w:highlight w:val="none"/>
              </w:rPr>
              <w:t>采用干撒式发酵床工艺</w:t>
            </w:r>
            <w:r>
              <w:rPr>
                <w:rFonts w:hint="default" w:ascii="Times New Roman" w:hAnsi="Times New Roman" w:eastAsia="宋体" w:cs="Times New Roman"/>
                <w:color w:val="FF0000"/>
                <w:sz w:val="21"/>
                <w:szCs w:val="21"/>
                <w:highlight w:val="none"/>
                <w:lang w:val="en-US" w:eastAsia="zh-CN"/>
              </w:rPr>
              <w:t>进行处理粪污</w:t>
            </w:r>
            <w:r>
              <w:rPr>
                <w:rFonts w:hint="default" w:ascii="Times New Roman" w:hAnsi="Times New Roman" w:eastAsia="宋体" w:cs="Times New Roman"/>
                <w:color w:val="FF0000"/>
                <w:sz w:val="21"/>
                <w:szCs w:val="21"/>
                <w:highlight w:val="none"/>
              </w:rPr>
              <w:t>，保持牛舍及运动场清洁，牛舍加强通风换气，</w:t>
            </w:r>
            <w:r>
              <w:rPr>
                <w:rFonts w:hint="default" w:ascii="Times New Roman" w:hAnsi="Times New Roman" w:eastAsia="宋体" w:cs="Times New Roman"/>
                <w:color w:val="0000FF"/>
                <w:sz w:val="21"/>
                <w:szCs w:val="21"/>
                <w:highlight w:val="none"/>
                <w:lang w:val="en-US" w:eastAsia="zh-CN"/>
              </w:rPr>
              <w:t>每日</w:t>
            </w:r>
            <w:r>
              <w:rPr>
                <w:rFonts w:hint="default" w:ascii="Times New Roman" w:hAnsi="Times New Roman" w:eastAsia="宋体" w:cs="Times New Roman"/>
                <w:color w:val="0000FF"/>
                <w:sz w:val="21"/>
                <w:szCs w:val="21"/>
                <w:highlight w:val="none"/>
              </w:rPr>
              <w:t>喷洒</w:t>
            </w:r>
            <w:r>
              <w:rPr>
                <w:rFonts w:hint="eastAsia" w:ascii="Times New Roman" w:hAnsi="Times New Roman" w:eastAsia="宋体" w:cs="Times New Roman"/>
                <w:color w:val="0000FF"/>
                <w:sz w:val="21"/>
                <w:szCs w:val="21"/>
                <w:highlight w:val="none"/>
                <w:lang w:val="en-US" w:eastAsia="zh-CN"/>
              </w:rPr>
              <w:t>微生物</w:t>
            </w:r>
            <w:r>
              <w:rPr>
                <w:rFonts w:hint="default" w:ascii="Times New Roman" w:hAnsi="Times New Roman" w:eastAsia="宋体" w:cs="Times New Roman"/>
                <w:color w:val="0000FF"/>
                <w:sz w:val="21"/>
                <w:szCs w:val="21"/>
                <w:highlight w:val="none"/>
              </w:rPr>
              <w:t>除臭剂</w:t>
            </w:r>
            <w:r>
              <w:rPr>
                <w:rFonts w:hint="eastAsia" w:ascii="Times New Roman" w:hAnsi="Times New Roman" w:eastAsia="宋体" w:cs="Times New Roman"/>
                <w:color w:val="0000FF"/>
                <w:sz w:val="21"/>
                <w:szCs w:val="21"/>
                <w:highlight w:val="none"/>
                <w:lang w:eastAsia="zh-CN"/>
              </w:rPr>
              <w:t>，</w:t>
            </w:r>
            <w:r>
              <w:rPr>
                <w:rFonts w:hint="default" w:ascii="Times New Roman" w:hAnsi="Times New Roman" w:eastAsia="宋体" w:cs="Times New Roman"/>
                <w:color w:val="0000FF"/>
                <w:sz w:val="21"/>
                <w:szCs w:val="21"/>
                <w:highlight w:val="none"/>
                <w:lang w:val="en-US" w:eastAsia="zh-CN"/>
              </w:rPr>
              <w:t>《微生物除臭剂研究进展》NH</w:t>
            </w:r>
            <w:r>
              <w:rPr>
                <w:rFonts w:hint="default" w:ascii="Times New Roman" w:hAnsi="Times New Roman" w:eastAsia="宋体" w:cs="Times New Roman"/>
                <w:color w:val="0000FF"/>
                <w:sz w:val="21"/>
                <w:szCs w:val="21"/>
                <w:highlight w:val="none"/>
                <w:vertAlign w:val="subscript"/>
                <w:lang w:val="en-US" w:eastAsia="zh-CN"/>
              </w:rPr>
              <w:t>3</w:t>
            </w:r>
            <w:r>
              <w:rPr>
                <w:rFonts w:hint="default" w:ascii="Times New Roman" w:hAnsi="Times New Roman" w:eastAsia="宋体" w:cs="Times New Roman"/>
                <w:color w:val="0000FF"/>
                <w:sz w:val="21"/>
                <w:szCs w:val="21"/>
                <w:highlight w:val="none"/>
                <w:lang w:val="en-US" w:eastAsia="zh-CN"/>
              </w:rPr>
              <w:t>和 H</w:t>
            </w:r>
            <w:r>
              <w:rPr>
                <w:rFonts w:hint="default" w:ascii="Times New Roman" w:hAnsi="Times New Roman" w:eastAsia="宋体" w:cs="Times New Roman"/>
                <w:color w:val="0000FF"/>
                <w:sz w:val="21"/>
                <w:szCs w:val="21"/>
                <w:highlight w:val="none"/>
                <w:vertAlign w:val="subscript"/>
                <w:lang w:val="en-US" w:eastAsia="zh-CN"/>
              </w:rPr>
              <w:t>2</w:t>
            </w:r>
            <w:r>
              <w:rPr>
                <w:rFonts w:hint="default" w:ascii="Times New Roman" w:hAnsi="Times New Roman" w:eastAsia="宋体" w:cs="Times New Roman"/>
                <w:color w:val="0000FF"/>
                <w:sz w:val="21"/>
                <w:szCs w:val="21"/>
                <w:highlight w:val="none"/>
                <w:lang w:val="en-US" w:eastAsia="zh-CN"/>
              </w:rPr>
              <w:t>S的去除效率分别92.6%和 89%，《家禽环境卫生学》添加有益菌 NH</w:t>
            </w:r>
            <w:r>
              <w:rPr>
                <w:rFonts w:hint="default" w:ascii="Times New Roman" w:hAnsi="Times New Roman" w:eastAsia="宋体" w:cs="Times New Roman"/>
                <w:color w:val="0000FF"/>
                <w:sz w:val="21"/>
                <w:szCs w:val="21"/>
                <w:highlight w:val="none"/>
                <w:vertAlign w:val="subscript"/>
                <w:lang w:val="en-US" w:eastAsia="zh-CN"/>
              </w:rPr>
              <w:t>3</w:t>
            </w:r>
            <w:r>
              <w:rPr>
                <w:rFonts w:hint="default" w:ascii="Times New Roman" w:hAnsi="Times New Roman" w:eastAsia="宋体" w:cs="Times New Roman"/>
                <w:color w:val="0000FF"/>
                <w:sz w:val="21"/>
                <w:szCs w:val="21"/>
                <w:highlight w:val="none"/>
                <w:lang w:val="en-US" w:eastAsia="zh-CN"/>
              </w:rPr>
              <w:t>降解率&gt;40%，H</w:t>
            </w:r>
            <w:r>
              <w:rPr>
                <w:rFonts w:hint="default" w:ascii="Times New Roman" w:hAnsi="Times New Roman" w:eastAsia="宋体" w:cs="Times New Roman"/>
                <w:color w:val="0000FF"/>
                <w:sz w:val="21"/>
                <w:szCs w:val="21"/>
                <w:highlight w:val="none"/>
                <w:vertAlign w:val="subscript"/>
                <w:lang w:val="en-US" w:eastAsia="zh-CN"/>
              </w:rPr>
              <w:t>2</w:t>
            </w:r>
            <w:r>
              <w:rPr>
                <w:rFonts w:hint="default" w:ascii="Times New Roman" w:hAnsi="Times New Roman" w:eastAsia="宋体" w:cs="Times New Roman"/>
                <w:color w:val="0000FF"/>
                <w:sz w:val="21"/>
                <w:szCs w:val="21"/>
                <w:highlight w:val="none"/>
                <w:lang w:val="en-US" w:eastAsia="zh-CN"/>
              </w:rPr>
              <w:t>S 降解率&gt;80%，经过上述综合措施处理后，预计牛的粪污恶臭污染物去除率可达到 85%以上。</w:t>
            </w:r>
          </w:p>
        </w:tc>
        <w:tc>
          <w:tcPr>
            <w:tcW w:w="565" w:type="dxa"/>
            <w:tcBorders>
              <w:bottom w:val="single" w:color="auto" w:sz="4" w:space="0"/>
              <w:right w:val="nil"/>
            </w:tcBorders>
            <w:vAlign w:val="center"/>
          </w:tcPr>
          <w:p w14:paraId="3FC9DD47">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61EB9E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jc w:val="center"/>
        </w:trPr>
        <w:tc>
          <w:tcPr>
            <w:tcW w:w="384" w:type="dxa"/>
            <w:vMerge w:val="continue"/>
            <w:tcBorders>
              <w:left w:val="nil"/>
            </w:tcBorders>
            <w:vAlign w:val="center"/>
          </w:tcPr>
          <w:p w14:paraId="1ECA313D">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293" w:type="dxa"/>
            <w:vMerge w:val="continue"/>
            <w:tcBorders>
              <w:right w:val="single" w:color="auto" w:sz="4" w:space="0"/>
            </w:tcBorders>
            <w:vAlign w:val="center"/>
          </w:tcPr>
          <w:p w14:paraId="13227BF2">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1224" w:type="dxa"/>
            <w:gridSpan w:val="2"/>
            <w:tcBorders>
              <w:top w:val="single" w:color="auto" w:sz="4" w:space="0"/>
              <w:left w:val="single" w:color="auto" w:sz="4" w:space="0"/>
            </w:tcBorders>
            <w:vAlign w:val="center"/>
          </w:tcPr>
          <w:p w14:paraId="30E79553">
            <w:pPr>
              <w:keepNext w:val="0"/>
              <w:keepLines w:val="0"/>
              <w:pageBreakBefore w:val="0"/>
              <w:widowControl/>
              <w:kinsoku/>
              <w:wordWrap w:val="0"/>
              <w:overflowPunct/>
              <w:topLinePunct/>
              <w:autoSpaceDE/>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粪污储存间</w:t>
            </w:r>
          </w:p>
        </w:tc>
        <w:tc>
          <w:tcPr>
            <w:tcW w:w="6519" w:type="dxa"/>
            <w:tcBorders>
              <w:top w:val="single" w:color="auto" w:sz="4" w:space="0"/>
            </w:tcBorders>
            <w:vAlign w:val="center"/>
          </w:tcPr>
          <w:p w14:paraId="6D04E97E">
            <w:pPr>
              <w:keepNext w:val="0"/>
              <w:keepLines w:val="0"/>
              <w:pageBreakBefore w:val="0"/>
              <w:widowControl/>
              <w:kinsoku/>
              <w:wordWrap w:val="0"/>
              <w:overflowPunct/>
              <w:topLinePunct/>
              <w:autoSpaceDE/>
              <w:autoSpaceDN w:val="0"/>
              <w:bidi w:val="0"/>
              <w:adjustRightInd w:val="0"/>
              <w:snapToGrid w:val="0"/>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snapToGrid w:val="0"/>
                <w:color w:val="0000FF"/>
                <w:szCs w:val="21"/>
                <w:highlight w:val="none"/>
                <w:lang w:val="en-US" w:eastAsia="zh-CN"/>
              </w:rPr>
              <w:t>粪污储存间</w:t>
            </w:r>
            <w:r>
              <w:rPr>
                <w:rFonts w:hint="default" w:ascii="Times New Roman" w:hAnsi="Times New Roman" w:cs="Times New Roman"/>
                <w:snapToGrid w:val="0"/>
                <w:color w:val="0000FF"/>
                <w:szCs w:val="21"/>
                <w:highlight w:val="none"/>
              </w:rPr>
              <w:t>密闭形式，</w:t>
            </w:r>
            <w:r>
              <w:rPr>
                <w:rFonts w:hint="eastAsia" w:ascii="Times New Roman" w:hAnsi="Times New Roman" w:eastAsia="宋体" w:cs="Times New Roman"/>
                <w:snapToGrid w:val="0"/>
                <w:color w:val="0000FF"/>
                <w:szCs w:val="21"/>
                <w:highlight w:val="none"/>
                <w:lang w:eastAsia="zh-CN"/>
              </w:rPr>
              <w:t>恶臭</w:t>
            </w:r>
            <w:r>
              <w:rPr>
                <w:rFonts w:hint="default" w:ascii="Times New Roman" w:hAnsi="Times New Roman" w:cs="Times New Roman"/>
                <w:snapToGrid w:val="0"/>
                <w:color w:val="0000FF"/>
                <w:szCs w:val="21"/>
                <w:highlight w:val="none"/>
                <w:lang w:val="en-US" w:eastAsia="zh-CN"/>
              </w:rPr>
              <w:t>气体经集气罩收集后经活性炭吸附经15m高排气</w:t>
            </w:r>
            <w:r>
              <w:rPr>
                <w:rFonts w:hint="eastAsia" w:ascii="Times New Roman" w:hAnsi="Times New Roman" w:cs="Times New Roman"/>
                <w:snapToGrid w:val="0"/>
                <w:color w:val="0000FF"/>
                <w:szCs w:val="21"/>
                <w:highlight w:val="none"/>
                <w:lang w:val="en-US" w:eastAsia="zh-CN"/>
              </w:rPr>
              <w:t>筒</w:t>
            </w:r>
            <w:r>
              <w:rPr>
                <w:rFonts w:hint="default" w:ascii="Times New Roman" w:hAnsi="Times New Roman" w:cs="Times New Roman"/>
                <w:snapToGrid w:val="0"/>
                <w:color w:val="0000FF"/>
                <w:szCs w:val="21"/>
                <w:highlight w:val="none"/>
                <w:lang w:val="en-US" w:eastAsia="zh-CN"/>
              </w:rPr>
              <w:t>有组织排放</w:t>
            </w:r>
            <w:r>
              <w:rPr>
                <w:rFonts w:hint="eastAsia" w:ascii="Times New Roman" w:hAnsi="Times New Roman" w:eastAsia="宋体" w:cs="Times New Roman"/>
                <w:color w:val="0000FF"/>
                <w:sz w:val="21"/>
                <w:szCs w:val="21"/>
                <w:highlight w:val="none"/>
                <w:lang w:val="en-US" w:eastAsia="zh-CN" w:bidi="ar-SA"/>
              </w:rPr>
              <w:t>；集气罩收集效率为80%，活性炭吸附恶臭气体效率的去除效率为80%，设计风机风量为1000m</w:t>
            </w:r>
            <w:r>
              <w:rPr>
                <w:rFonts w:hint="eastAsia" w:ascii="Times New Roman" w:hAnsi="Times New Roman" w:eastAsia="宋体" w:cs="Times New Roman"/>
                <w:color w:val="0000FF"/>
                <w:sz w:val="21"/>
                <w:szCs w:val="21"/>
                <w:highlight w:val="none"/>
                <w:vertAlign w:val="superscript"/>
                <w:lang w:val="en-US" w:eastAsia="zh-CN" w:bidi="ar-SA"/>
              </w:rPr>
              <w:t>3</w:t>
            </w:r>
            <w:r>
              <w:rPr>
                <w:rFonts w:hint="eastAsia" w:ascii="Times New Roman" w:hAnsi="Times New Roman" w:eastAsia="宋体" w:cs="Times New Roman"/>
                <w:color w:val="0000FF"/>
                <w:sz w:val="21"/>
                <w:szCs w:val="21"/>
                <w:highlight w:val="none"/>
                <w:lang w:val="en-US" w:eastAsia="zh-CN" w:bidi="ar-SA"/>
              </w:rPr>
              <w:t>/h</w:t>
            </w:r>
          </w:p>
        </w:tc>
        <w:tc>
          <w:tcPr>
            <w:tcW w:w="565" w:type="dxa"/>
            <w:tcBorders>
              <w:top w:val="single" w:color="auto" w:sz="4" w:space="0"/>
              <w:right w:val="nil"/>
            </w:tcBorders>
            <w:vAlign w:val="center"/>
          </w:tcPr>
          <w:p w14:paraId="10A3BFA2">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新建</w:t>
            </w:r>
          </w:p>
        </w:tc>
      </w:tr>
      <w:tr w14:paraId="202B0A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5A958169">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293" w:type="dxa"/>
            <w:vMerge w:val="continue"/>
            <w:tcBorders>
              <w:right w:val="single" w:color="auto" w:sz="4" w:space="0"/>
            </w:tcBorders>
            <w:vAlign w:val="center"/>
          </w:tcPr>
          <w:p w14:paraId="7CA191A3">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p>
        </w:tc>
        <w:tc>
          <w:tcPr>
            <w:tcW w:w="1224" w:type="dxa"/>
            <w:gridSpan w:val="2"/>
            <w:tcBorders>
              <w:left w:val="single" w:color="auto" w:sz="4" w:space="0"/>
            </w:tcBorders>
            <w:vAlign w:val="center"/>
          </w:tcPr>
          <w:p w14:paraId="51D5EE7A">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粉尘</w:t>
            </w:r>
          </w:p>
        </w:tc>
        <w:tc>
          <w:tcPr>
            <w:tcW w:w="6519" w:type="dxa"/>
            <w:vAlign w:val="center"/>
          </w:tcPr>
          <w:p w14:paraId="4D805754">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TMR</w:t>
            </w:r>
            <w:r>
              <w:rPr>
                <w:rFonts w:hint="default" w:ascii="Times New Roman" w:hAnsi="Times New Roman" w:eastAsia="宋体" w:cs="Times New Roman"/>
                <w:color w:val="auto"/>
                <w:sz w:val="21"/>
                <w:szCs w:val="21"/>
                <w:highlight w:val="none"/>
              </w:rPr>
              <w:t>搅拌饲料的同时喷入水，以</w:t>
            </w:r>
            <w:r>
              <w:rPr>
                <w:rFonts w:hint="eastAsia" w:ascii="Times New Roman" w:hAnsi="Times New Roman" w:eastAsia="宋体" w:cs="Times New Roman"/>
                <w:color w:val="auto"/>
                <w:sz w:val="21"/>
                <w:szCs w:val="21"/>
                <w:highlight w:val="none"/>
                <w:lang w:val="en-US" w:eastAsia="zh-CN"/>
              </w:rPr>
              <w:t>防止</w:t>
            </w:r>
            <w:r>
              <w:rPr>
                <w:rFonts w:hint="default" w:ascii="Times New Roman" w:hAnsi="Times New Roman" w:eastAsia="宋体" w:cs="Times New Roman"/>
                <w:color w:val="auto"/>
                <w:sz w:val="21"/>
                <w:szCs w:val="21"/>
                <w:highlight w:val="none"/>
              </w:rPr>
              <w:t>粉尘的外泄</w:t>
            </w:r>
            <w:r>
              <w:rPr>
                <w:rFonts w:hint="default" w:ascii="Times New Roman" w:hAnsi="Times New Roman" w:eastAsia="宋体" w:cs="Times New Roman"/>
                <w:color w:val="auto"/>
                <w:sz w:val="21"/>
                <w:szCs w:val="21"/>
                <w:highlight w:val="none"/>
                <w:lang w:eastAsia="zh-CN"/>
              </w:rPr>
              <w:t>。</w:t>
            </w:r>
          </w:p>
        </w:tc>
        <w:tc>
          <w:tcPr>
            <w:tcW w:w="565" w:type="dxa"/>
            <w:tcBorders>
              <w:right w:val="nil"/>
            </w:tcBorders>
            <w:vAlign w:val="center"/>
          </w:tcPr>
          <w:p w14:paraId="6601CB27">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6EC633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0433ED5C">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1517" w:type="dxa"/>
            <w:gridSpan w:val="3"/>
            <w:vAlign w:val="center"/>
          </w:tcPr>
          <w:p w14:paraId="51DBFF5D">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废水治理</w:t>
            </w:r>
          </w:p>
        </w:tc>
        <w:tc>
          <w:tcPr>
            <w:tcW w:w="6519" w:type="dxa"/>
            <w:vAlign w:val="center"/>
          </w:tcPr>
          <w:p w14:paraId="1A3DA0AA">
            <w:pPr>
              <w:pStyle w:val="38"/>
              <w:jc w:val="both"/>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①养殖废水：</w:t>
            </w:r>
            <w:r>
              <w:rPr>
                <w:rFonts w:hint="default" w:ascii="Times New Roman" w:hAnsi="Times New Roman" w:eastAsia="宋体" w:cs="Times New Roman"/>
                <w:color w:val="FF0000"/>
                <w:sz w:val="21"/>
                <w:szCs w:val="21"/>
                <w:highlight w:val="none"/>
                <w:lang w:val="en-US" w:eastAsia="zh-CN"/>
              </w:rPr>
              <w:t>本项目采用</w:t>
            </w:r>
            <w:r>
              <w:rPr>
                <w:rFonts w:hint="default" w:ascii="Times New Roman" w:hAnsi="Times New Roman" w:eastAsia="宋体" w:cs="Times New Roman"/>
                <w:color w:val="FF0000"/>
                <w:sz w:val="21"/>
                <w:szCs w:val="21"/>
                <w:highlight w:val="none"/>
              </w:rPr>
              <w:t>干撒式发酵床工艺</w:t>
            </w:r>
            <w:r>
              <w:rPr>
                <w:rFonts w:hint="default" w:ascii="Times New Roman" w:hAnsi="Times New Roman" w:eastAsia="宋体" w:cs="Times New Roman"/>
                <w:color w:val="FF0000"/>
                <w:sz w:val="21"/>
                <w:szCs w:val="21"/>
                <w:highlight w:val="none"/>
                <w:lang w:val="en-US" w:eastAsia="zh-CN"/>
              </w:rPr>
              <w:t>进行处理，垫料铺设厚度在50cm左右，垫床结构为锯末+发酵菌；牛舍产生的牛尿一部分供微生物繁殖使用，一部分被升温转换为气体排出发酵床，不外排；牛舍更换的发酵床垫料，定期外售至有机肥厂。实现生态养殖，科学养牛的同时，实现粪污零排放；</w:t>
            </w:r>
          </w:p>
          <w:p w14:paraId="183062C4">
            <w:pPr>
              <w:pStyle w:val="38"/>
              <w:jc w:val="both"/>
              <w:rPr>
                <w:rFonts w:hint="default" w:ascii="Times New Roman" w:hAnsi="Times New Roman" w:eastAsia="宋体" w:cs="Times New Roman"/>
                <w:color w:val="auto"/>
                <w:sz w:val="21"/>
                <w:szCs w:val="21"/>
                <w:highlight w:val="green"/>
                <w:lang w:val="en-US"/>
              </w:rPr>
            </w:pPr>
            <w:r>
              <w:rPr>
                <w:rFonts w:hint="default" w:ascii="Times New Roman" w:hAnsi="Times New Roman" w:eastAsia="宋体" w:cs="Times New Roman"/>
                <w:color w:val="auto"/>
                <w:sz w:val="21"/>
                <w:szCs w:val="21"/>
                <w:highlight w:val="green"/>
                <w:lang w:val="en-US" w:eastAsia="zh-CN"/>
              </w:rPr>
              <w:t>②</w:t>
            </w:r>
            <w:r>
              <w:rPr>
                <w:rFonts w:hint="default" w:ascii="Times New Roman" w:hAnsi="Times New Roman" w:cs="Times New Roman"/>
                <w:color w:val="auto"/>
                <w:szCs w:val="21"/>
                <w:highlight w:val="green"/>
                <w:lang w:eastAsia="zh-CN"/>
              </w:rPr>
              <w:t>本项目</w:t>
            </w:r>
            <w:r>
              <w:rPr>
                <w:rFonts w:hint="default" w:ascii="Times New Roman" w:hAnsi="Times New Roman" w:cs="Times New Roman"/>
                <w:color w:val="auto"/>
                <w:szCs w:val="21"/>
                <w:highlight w:val="green"/>
              </w:rPr>
              <w:t>采取雨污分流方式</w:t>
            </w:r>
            <w:r>
              <w:rPr>
                <w:rFonts w:hint="default" w:ascii="Times New Roman" w:hAnsi="Times New Roman" w:eastAsia="宋体" w:cs="Times New Roman"/>
                <w:color w:val="auto"/>
                <w:szCs w:val="21"/>
                <w:highlight w:val="green"/>
                <w:lang w:eastAsia="zh-CN"/>
              </w:rPr>
              <w:t>，</w:t>
            </w:r>
            <w:r>
              <w:rPr>
                <w:rFonts w:hint="default" w:ascii="Times New Roman" w:hAnsi="Times New Roman" w:cs="Times New Roman"/>
                <w:color w:val="auto"/>
                <w:highlight w:val="green"/>
              </w:rPr>
              <w:t>初期雨水经四周排水沟汇入厂区一座</w:t>
            </w:r>
            <w:r>
              <w:rPr>
                <w:rFonts w:hint="default" w:ascii="Times New Roman" w:hAnsi="Times New Roman" w:eastAsia="宋体" w:cs="Times New Roman"/>
                <w:color w:val="auto"/>
                <w:highlight w:val="green"/>
                <w:lang w:val="en-US" w:eastAsia="zh-CN"/>
              </w:rPr>
              <w:t>500</w:t>
            </w:r>
            <w:r>
              <w:rPr>
                <w:rFonts w:hint="default" w:ascii="Times New Roman" w:hAnsi="Times New Roman" w:cs="Times New Roman"/>
                <w:color w:val="auto"/>
                <w:highlight w:val="green"/>
              </w:rPr>
              <w:t>m</w:t>
            </w:r>
            <w:r>
              <w:rPr>
                <w:rFonts w:hint="default" w:ascii="Times New Roman" w:hAnsi="Times New Roman" w:cs="Times New Roman"/>
                <w:color w:val="auto"/>
                <w:highlight w:val="green"/>
                <w:vertAlign w:val="superscript"/>
              </w:rPr>
              <w:t>3</w:t>
            </w:r>
            <w:r>
              <w:rPr>
                <w:rFonts w:hint="default" w:ascii="Times New Roman" w:hAnsi="Times New Roman" w:cs="Times New Roman"/>
                <w:color w:val="auto"/>
                <w:highlight w:val="green"/>
              </w:rPr>
              <w:t>初期雨水收集池内，</w:t>
            </w:r>
            <w:r>
              <w:rPr>
                <w:rFonts w:hint="default" w:ascii="Times New Roman" w:hAnsi="Times New Roman" w:eastAsia="宋体" w:cs="Times New Roman"/>
                <w:color w:val="auto"/>
                <w:highlight w:val="green"/>
                <w:lang w:val="en-US" w:eastAsia="zh-CN"/>
              </w:rPr>
              <w:t>初期雨水</w:t>
            </w:r>
            <w:r>
              <w:rPr>
                <w:rFonts w:hint="eastAsia" w:ascii="Times New Roman" w:hAnsi="Times New Roman" w:eastAsia="宋体" w:cs="Times New Roman"/>
                <w:color w:val="auto"/>
                <w:highlight w:val="green"/>
                <w:lang w:val="en-US" w:eastAsia="zh-CN"/>
              </w:rPr>
              <w:t>收集后拉运至</w:t>
            </w:r>
            <w:r>
              <w:rPr>
                <w:rFonts w:hint="default" w:ascii="Times New Roman" w:hAnsi="Times New Roman" w:eastAsia="宋体" w:cs="Times New Roman"/>
                <w:color w:val="auto"/>
                <w:highlight w:val="green"/>
                <w:lang w:val="en-US" w:eastAsia="zh-CN"/>
              </w:rPr>
              <w:t>集贤县碧蓝新环境治理有限责任公司</w:t>
            </w:r>
            <w:r>
              <w:rPr>
                <w:rFonts w:hint="eastAsia" w:ascii="Times New Roman" w:hAnsi="Times New Roman" w:eastAsia="宋体" w:cs="Times New Roman"/>
                <w:color w:val="auto"/>
                <w:highlight w:val="green"/>
                <w:lang w:val="en-US" w:eastAsia="zh-CN"/>
              </w:rPr>
              <w:t>，运动场</w:t>
            </w:r>
            <w:r>
              <w:rPr>
                <w:rFonts w:hint="default" w:ascii="Times New Roman" w:hAnsi="Times New Roman" w:eastAsia="宋体" w:cs="Times New Roman"/>
                <w:snapToGrid w:val="0"/>
                <w:color w:val="auto"/>
                <w:kern w:val="0"/>
                <w:sz w:val="21"/>
                <w:szCs w:val="21"/>
                <w:highlight w:val="green"/>
                <w:lang w:val="en-US" w:eastAsia="zh-CN" w:bidi="ar"/>
              </w:rPr>
              <w:t>周围设置围堰，围堰高度40cm，运动场上面设置挡雨棚</w:t>
            </w:r>
            <w:r>
              <w:rPr>
                <w:rFonts w:hint="eastAsia" w:ascii="Times New Roman" w:hAnsi="Times New Roman" w:eastAsia="宋体" w:cs="Times New Roman"/>
                <w:snapToGrid w:val="0"/>
                <w:color w:val="auto"/>
                <w:kern w:val="0"/>
                <w:sz w:val="21"/>
                <w:szCs w:val="21"/>
                <w:highlight w:val="green"/>
                <w:lang w:val="en-US" w:eastAsia="zh-CN" w:bidi="ar"/>
              </w:rPr>
              <w:t>，牛舍与运动场四周设置雨水导流沟，收集的雨水排入雨水管网</w:t>
            </w:r>
            <w:r>
              <w:rPr>
                <w:rFonts w:hint="eastAsia" w:ascii="Times New Roman" w:hAnsi="Times New Roman" w:eastAsia="宋体" w:cs="Times New Roman"/>
                <w:snapToGrid w:val="0"/>
                <w:color w:val="auto"/>
                <w:kern w:val="0"/>
                <w:sz w:val="21"/>
                <w:szCs w:val="21"/>
                <w:highlight w:val="none"/>
                <w:lang w:val="en-US" w:eastAsia="zh-CN" w:bidi="ar"/>
              </w:rPr>
              <w:t>；</w:t>
            </w:r>
          </w:p>
          <w:p w14:paraId="491EE76F">
            <w:pPr>
              <w:pageBreakBefore w:val="0"/>
              <w:kinsoku/>
              <w:wordWrap w:val="0"/>
              <w:overflowPunct/>
              <w:topLinePunct/>
              <w:autoSpaceDE/>
              <w:autoSpaceDN/>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sz w:val="21"/>
                <w:szCs w:val="21"/>
                <w:highlight w:val="none"/>
                <w:lang w:val="en-US" w:eastAsia="zh-CN"/>
              </w:rPr>
              <w:t>③</w:t>
            </w:r>
            <w:r>
              <w:rPr>
                <w:rFonts w:hint="default" w:ascii="Times New Roman" w:hAnsi="Times New Roman" w:eastAsia="宋体" w:cs="Times New Roman"/>
                <w:color w:val="auto"/>
                <w:sz w:val="21"/>
                <w:szCs w:val="21"/>
                <w:highlight w:val="none"/>
              </w:rPr>
              <w:t>生活污水排入化粪池，定期清掏</w:t>
            </w:r>
            <w:r>
              <w:rPr>
                <w:rFonts w:hint="default" w:ascii="Times New Roman" w:hAnsi="Times New Roman" w:eastAsia="宋体" w:cs="Times New Roman"/>
                <w:color w:val="auto"/>
                <w:sz w:val="21"/>
                <w:szCs w:val="21"/>
                <w:highlight w:val="none"/>
                <w:lang w:eastAsia="zh-CN"/>
              </w:rPr>
              <w:t>。</w:t>
            </w:r>
          </w:p>
        </w:tc>
        <w:tc>
          <w:tcPr>
            <w:tcW w:w="565" w:type="dxa"/>
            <w:tcBorders>
              <w:right w:val="nil"/>
            </w:tcBorders>
            <w:vAlign w:val="center"/>
          </w:tcPr>
          <w:p w14:paraId="11FFCD76">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1B75B6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5D1E68B9">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1517" w:type="dxa"/>
            <w:gridSpan w:val="3"/>
            <w:vAlign w:val="center"/>
          </w:tcPr>
          <w:p w14:paraId="4FCE63B2">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噪声</w:t>
            </w:r>
          </w:p>
        </w:tc>
        <w:tc>
          <w:tcPr>
            <w:tcW w:w="6519" w:type="dxa"/>
            <w:vAlign w:val="center"/>
          </w:tcPr>
          <w:p w14:paraId="77F9EFD5">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采用低噪声设备，高噪声设备采取基础减振、消声器、隔声等处理措施。减少人为的干扰、惊吓，减少牛叫</w:t>
            </w:r>
            <w:r>
              <w:rPr>
                <w:rFonts w:hint="default" w:ascii="Times New Roman" w:hAnsi="Times New Roman" w:eastAsia="宋体" w:cs="Times New Roman"/>
                <w:color w:val="auto"/>
                <w:sz w:val="21"/>
                <w:szCs w:val="21"/>
                <w:highlight w:val="none"/>
                <w:lang w:eastAsia="zh-CN"/>
              </w:rPr>
              <w:t>。</w:t>
            </w:r>
          </w:p>
        </w:tc>
        <w:tc>
          <w:tcPr>
            <w:tcW w:w="565" w:type="dxa"/>
            <w:tcBorders>
              <w:right w:val="nil"/>
            </w:tcBorders>
            <w:vAlign w:val="center"/>
          </w:tcPr>
          <w:p w14:paraId="14C1CDAB">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0CB2C7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6217CF9E">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407" w:type="dxa"/>
            <w:gridSpan w:val="2"/>
            <w:vMerge w:val="restart"/>
            <w:tcBorders>
              <w:right w:val="single" w:color="auto" w:sz="4" w:space="0"/>
            </w:tcBorders>
            <w:vAlign w:val="center"/>
          </w:tcPr>
          <w:p w14:paraId="4087D3CA">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固废</w:t>
            </w:r>
          </w:p>
        </w:tc>
        <w:tc>
          <w:tcPr>
            <w:tcW w:w="1110" w:type="dxa"/>
            <w:tcBorders>
              <w:left w:val="single" w:color="auto" w:sz="4" w:space="0"/>
            </w:tcBorders>
            <w:vAlign w:val="center"/>
          </w:tcPr>
          <w:p w14:paraId="173F8AB7">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医废暂存间</w:t>
            </w:r>
          </w:p>
        </w:tc>
        <w:tc>
          <w:tcPr>
            <w:tcW w:w="6519" w:type="dxa"/>
            <w:vAlign w:val="center"/>
          </w:tcPr>
          <w:p w14:paraId="7A6DE05B">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FF0000"/>
                <w:sz w:val="21"/>
                <w:szCs w:val="21"/>
                <w:highlight w:val="none"/>
                <w:lang w:val="en-US" w:eastAsia="zh-CN"/>
              </w:rPr>
              <w:t>砖混结构，1 栋，建筑面积20m</w:t>
            </w:r>
            <w:r>
              <w:rPr>
                <w:rFonts w:hint="default" w:ascii="Times New Roman" w:hAnsi="Times New Roman" w:eastAsia="宋体" w:cs="Times New Roman"/>
                <w:color w:val="FF0000"/>
                <w:spacing w:val="-2"/>
                <w:sz w:val="21"/>
                <w:szCs w:val="21"/>
                <w:highlight w:val="none"/>
                <w:vertAlign w:val="superscript"/>
                <w:lang w:val="en-US" w:eastAsia="zh-CN"/>
              </w:rPr>
              <w:t>2</w:t>
            </w:r>
            <w:r>
              <w:rPr>
                <w:rFonts w:hint="default" w:ascii="Times New Roman" w:hAnsi="Times New Roman" w:eastAsia="宋体" w:cs="Times New Roman"/>
                <w:color w:val="FF0000"/>
                <w:sz w:val="21"/>
                <w:szCs w:val="21"/>
                <w:highlight w:val="none"/>
                <w:lang w:val="en-US" w:eastAsia="zh-CN"/>
              </w:rPr>
              <w:t>。最大储存能力1t。用于暂存医疗废物，委托双鸭山翁氏环保有限公司处置。</w:t>
            </w:r>
          </w:p>
        </w:tc>
        <w:tc>
          <w:tcPr>
            <w:tcW w:w="565" w:type="dxa"/>
            <w:tcBorders>
              <w:right w:val="nil"/>
            </w:tcBorders>
            <w:vAlign w:val="center"/>
          </w:tcPr>
          <w:p w14:paraId="0734E17C">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新建</w:t>
            </w:r>
          </w:p>
        </w:tc>
      </w:tr>
      <w:tr w14:paraId="418BF6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8" w:hRule="atLeast"/>
          <w:jc w:val="center"/>
        </w:trPr>
        <w:tc>
          <w:tcPr>
            <w:tcW w:w="384" w:type="dxa"/>
            <w:vMerge w:val="continue"/>
            <w:tcBorders>
              <w:left w:val="nil"/>
            </w:tcBorders>
            <w:vAlign w:val="center"/>
          </w:tcPr>
          <w:p w14:paraId="26F966C3">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p>
        </w:tc>
        <w:tc>
          <w:tcPr>
            <w:tcW w:w="407" w:type="dxa"/>
            <w:gridSpan w:val="2"/>
            <w:vMerge w:val="continue"/>
            <w:tcBorders>
              <w:right w:val="single" w:color="auto" w:sz="4" w:space="0"/>
            </w:tcBorders>
            <w:vAlign w:val="center"/>
          </w:tcPr>
          <w:p w14:paraId="0EE3508E">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rPr>
            </w:pPr>
          </w:p>
        </w:tc>
        <w:tc>
          <w:tcPr>
            <w:tcW w:w="1110" w:type="dxa"/>
            <w:tcBorders>
              <w:left w:val="single" w:color="auto" w:sz="4" w:space="0"/>
              <w:right w:val="single" w:color="auto" w:sz="4" w:space="0"/>
            </w:tcBorders>
            <w:vAlign w:val="center"/>
          </w:tcPr>
          <w:p w14:paraId="360CDB9B">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一般固体废物</w:t>
            </w:r>
          </w:p>
        </w:tc>
        <w:tc>
          <w:tcPr>
            <w:tcW w:w="6519" w:type="dxa"/>
            <w:tcBorders>
              <w:left w:val="single" w:color="auto" w:sz="4" w:space="0"/>
            </w:tcBorders>
            <w:vAlign w:val="center"/>
          </w:tcPr>
          <w:p w14:paraId="411A8705">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①生活垃圾</w:t>
            </w:r>
            <w:r>
              <w:rPr>
                <w:rFonts w:hint="default" w:ascii="Times New Roman" w:hAnsi="Times New Roman" w:eastAsia="宋体" w:cs="Times New Roman"/>
                <w:color w:val="auto"/>
                <w:sz w:val="21"/>
                <w:szCs w:val="21"/>
                <w:highlight w:val="none"/>
              </w:rPr>
              <w:t>集中收集，定期交由环卫部门处理</w:t>
            </w:r>
            <w:r>
              <w:rPr>
                <w:rFonts w:hint="default" w:ascii="Times New Roman" w:hAnsi="Times New Roman" w:eastAsia="宋体" w:cs="Times New Roman"/>
                <w:color w:val="auto"/>
                <w:sz w:val="21"/>
                <w:szCs w:val="21"/>
                <w:highlight w:val="none"/>
                <w:lang w:eastAsia="zh-CN"/>
              </w:rPr>
              <w:t>；</w:t>
            </w:r>
          </w:p>
          <w:p w14:paraId="47284D23">
            <w:pPr>
              <w:pageBreakBefore w:val="0"/>
              <w:kinsoku/>
              <w:wordWrap w:val="0"/>
              <w:overflowPunct/>
              <w:topLinePunct/>
              <w:autoSpaceDE/>
              <w:autoSpaceDN/>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②牛舍每年更换的</w:t>
            </w:r>
            <w:r>
              <w:rPr>
                <w:rFonts w:hint="default" w:ascii="Times New Roman" w:hAnsi="Times New Roman" w:eastAsia="宋体" w:cs="Times New Roman"/>
                <w:color w:val="FF0000"/>
                <w:sz w:val="21"/>
                <w:szCs w:val="21"/>
                <w:highlight w:val="none"/>
              </w:rPr>
              <w:t>发酵床垫料，</w:t>
            </w:r>
            <w:r>
              <w:rPr>
                <w:rFonts w:hint="default" w:ascii="Times New Roman" w:hAnsi="Times New Roman" w:eastAsia="宋体" w:cs="Times New Roman"/>
                <w:color w:val="FF0000"/>
                <w:sz w:val="21"/>
                <w:szCs w:val="21"/>
                <w:highlight w:val="none"/>
                <w:lang w:val="en-US" w:eastAsia="zh-CN" w:bidi="ar-SA"/>
              </w:rPr>
              <w:t>发酵床1年使用周期结束，清运至粪污储存间，</w:t>
            </w:r>
            <w:r>
              <w:rPr>
                <w:rFonts w:hint="default" w:ascii="Times New Roman" w:hAnsi="Times New Roman" w:eastAsia="宋体" w:cs="Times New Roman"/>
                <w:color w:val="FF0000"/>
                <w:sz w:val="21"/>
                <w:szCs w:val="21"/>
                <w:highlight w:val="none"/>
              </w:rPr>
              <w:t>定期外售至有机肥厂</w:t>
            </w:r>
            <w:r>
              <w:rPr>
                <w:rFonts w:hint="default" w:ascii="Times New Roman" w:hAnsi="Times New Roman" w:eastAsia="宋体" w:cs="Times New Roman"/>
                <w:color w:val="FF0000"/>
                <w:sz w:val="21"/>
                <w:szCs w:val="21"/>
                <w:highlight w:val="none"/>
                <w:lang w:eastAsia="zh-CN"/>
              </w:rPr>
              <w:t>；</w:t>
            </w:r>
          </w:p>
          <w:p w14:paraId="5AE96A17">
            <w:pPr>
              <w:pageBreakBefore w:val="0"/>
              <w:kinsoku/>
              <w:wordWrap w:val="0"/>
              <w:overflowPunct/>
              <w:topLinePunct/>
              <w:autoSpaceDE/>
              <w:autoSpaceDN/>
              <w:bidi w:val="0"/>
              <w:rPr>
                <w:rFonts w:hint="default" w:ascii="Times New Roman" w:hAnsi="Times New Roman" w:cs="Times New Roman"/>
                <w:color w:val="auto"/>
                <w:szCs w:val="21"/>
                <w:highlight w:val="none"/>
                <w:lang w:val="en-US" w:eastAsia="zh-CN"/>
              </w:rPr>
            </w:pPr>
            <w:r>
              <w:rPr>
                <w:rFonts w:hint="default" w:ascii="Times New Roman" w:hAnsi="Times New Roman" w:eastAsia="宋体" w:cs="Times New Roman"/>
                <w:color w:val="auto"/>
                <w:sz w:val="21"/>
                <w:szCs w:val="21"/>
                <w:highlight w:val="none"/>
                <w:lang w:val="en-US" w:eastAsia="zh-CN"/>
              </w:rPr>
              <w:t>③</w:t>
            </w:r>
            <w:r>
              <w:rPr>
                <w:rFonts w:hint="default" w:ascii="Times New Roman" w:hAnsi="Times New Roman" w:cs="Times New Roman"/>
                <w:color w:val="FF0000"/>
                <w:szCs w:val="21"/>
                <w:highlight w:val="none"/>
                <w:lang w:eastAsia="zh-CN"/>
              </w:rPr>
              <w:t>本项目产生的病死牛及分娩废物</w:t>
            </w:r>
            <w:r>
              <w:rPr>
                <w:rFonts w:hint="default" w:ascii="Times New Roman" w:hAnsi="Times New Roman" w:cs="Times New Roman"/>
                <w:color w:val="FF0000"/>
                <w:szCs w:val="21"/>
                <w:highlight w:val="none"/>
                <w:lang w:val="en-US" w:eastAsia="zh-CN"/>
              </w:rPr>
              <w:t>交由双鸭山百奥迈斯生物科技有限公司处置。</w:t>
            </w:r>
          </w:p>
        </w:tc>
        <w:tc>
          <w:tcPr>
            <w:tcW w:w="565" w:type="dxa"/>
            <w:tcBorders>
              <w:right w:val="nil"/>
            </w:tcBorders>
            <w:vAlign w:val="center"/>
          </w:tcPr>
          <w:p w14:paraId="6423BFBE">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新建</w:t>
            </w:r>
          </w:p>
        </w:tc>
      </w:tr>
      <w:tr w14:paraId="448132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vMerge w:val="continue"/>
            <w:tcBorders>
              <w:left w:val="nil"/>
            </w:tcBorders>
            <w:vAlign w:val="center"/>
          </w:tcPr>
          <w:p w14:paraId="0AF5BE49">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p>
        </w:tc>
        <w:tc>
          <w:tcPr>
            <w:tcW w:w="1517" w:type="dxa"/>
            <w:gridSpan w:val="3"/>
            <w:tcBorders>
              <w:top w:val="single" w:color="auto" w:sz="4" w:space="0"/>
              <w:bottom w:val="single" w:color="auto" w:sz="4" w:space="0"/>
            </w:tcBorders>
            <w:vAlign w:val="center"/>
          </w:tcPr>
          <w:p w14:paraId="4A434DD6">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地下水</w:t>
            </w:r>
          </w:p>
        </w:tc>
        <w:tc>
          <w:tcPr>
            <w:tcW w:w="6519" w:type="dxa"/>
            <w:vAlign w:val="center"/>
          </w:tcPr>
          <w:p w14:paraId="7C3A182E">
            <w:pPr>
              <w:pageBreakBefore w:val="0"/>
              <w:kinsoku/>
              <w:wordWrap w:val="0"/>
              <w:overflowPunct/>
              <w:topLinePunct/>
              <w:autoSpaceDE/>
              <w:autoSpaceDN/>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①重点防渗区：</w:t>
            </w:r>
            <w:r>
              <w:rPr>
                <w:rFonts w:hint="default" w:ascii="Times New Roman" w:hAnsi="Times New Roman" w:eastAsia="宋体" w:cs="Times New Roman"/>
                <w:color w:val="FF0000"/>
                <w:sz w:val="21"/>
                <w:szCs w:val="21"/>
                <w:highlight w:val="none"/>
                <w:lang w:val="en-US" w:eastAsia="zh-CN"/>
              </w:rPr>
              <w:t>医疗</w:t>
            </w:r>
            <w:r>
              <w:rPr>
                <w:rFonts w:hint="default" w:ascii="Times New Roman" w:hAnsi="Times New Roman" w:eastAsia="宋体" w:cs="Times New Roman"/>
                <w:color w:val="FF0000"/>
                <w:sz w:val="21"/>
                <w:szCs w:val="21"/>
                <w:highlight w:val="none"/>
              </w:rPr>
              <w:t>废物暂存间进行重点防渗处理防渗等级应达到等效黏土防渗层Mb≥6.0m，K≤1×10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cm/s，或参照GB18598执行；</w:t>
            </w:r>
            <w:r>
              <w:rPr>
                <w:rFonts w:hint="default" w:ascii="Times New Roman" w:hAnsi="Times New Roman" w:eastAsia="宋体" w:cs="Times New Roman"/>
                <w:color w:val="FF0000"/>
                <w:sz w:val="21"/>
                <w:szCs w:val="21"/>
                <w:highlight w:val="none"/>
                <w:lang w:val="en-US" w:eastAsia="zh-CN"/>
              </w:rPr>
              <w:t>医疗</w:t>
            </w:r>
            <w:r>
              <w:rPr>
                <w:rFonts w:hint="default" w:ascii="Times New Roman" w:hAnsi="Times New Roman" w:eastAsia="宋体" w:cs="Times New Roman"/>
                <w:color w:val="FF0000"/>
                <w:sz w:val="21"/>
                <w:szCs w:val="21"/>
                <w:highlight w:val="none"/>
              </w:rPr>
              <w:t>废物暂存间按照《危险废物贮存污染控制标准》</w:t>
            </w:r>
            <w:r>
              <w:rPr>
                <w:rFonts w:hint="default" w:ascii="Times New Roman" w:hAnsi="Times New Roman" w:eastAsia="宋体" w:cs="Times New Roman"/>
                <w:color w:val="FF0000"/>
                <w:sz w:val="21"/>
                <w:szCs w:val="21"/>
                <w:highlight w:val="none"/>
                <w:lang w:val="en-US" w:eastAsia="zh-CN"/>
              </w:rPr>
              <w:t>（GB18597-2023）</w:t>
            </w:r>
            <w:r>
              <w:rPr>
                <w:rFonts w:hint="default" w:ascii="Times New Roman" w:hAnsi="Times New Roman" w:eastAsia="宋体" w:cs="Times New Roman"/>
                <w:color w:val="FF0000"/>
                <w:sz w:val="21"/>
                <w:szCs w:val="21"/>
                <w:highlight w:val="none"/>
              </w:rPr>
              <w:t>中相关要求采取防渗措施，基础必须防渗，防渗层为至少1m厚粘土层（渗透系数≤10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cm/s），或2mm厚高密度聚乙烯，或至少2mm厚的其他人工材料，渗透系数≤10</w:t>
            </w:r>
            <w:r>
              <w:rPr>
                <w:rFonts w:hint="default" w:ascii="Times New Roman" w:hAnsi="Times New Roman" w:eastAsia="宋体" w:cs="Times New Roman"/>
                <w:color w:val="FF0000"/>
                <w:sz w:val="21"/>
                <w:szCs w:val="21"/>
                <w:highlight w:val="none"/>
                <w:vertAlign w:val="superscript"/>
              </w:rPr>
              <w:t>-10</w:t>
            </w:r>
            <w:r>
              <w:rPr>
                <w:rFonts w:hint="default" w:ascii="Times New Roman" w:hAnsi="Times New Roman" w:eastAsia="宋体" w:cs="Times New Roman"/>
                <w:color w:val="FF0000"/>
                <w:sz w:val="21"/>
                <w:szCs w:val="21"/>
                <w:highlight w:val="none"/>
              </w:rPr>
              <w:t>cm/s</w:t>
            </w:r>
          </w:p>
          <w:p w14:paraId="0012E2CA">
            <w:pPr>
              <w:pageBreakBefore w:val="0"/>
              <w:kinsoku/>
              <w:wordWrap w:val="0"/>
              <w:overflowPunct/>
              <w:topLinePunct/>
              <w:autoSpaceDE/>
              <w:autoSpaceDN/>
              <w:bidi w:val="0"/>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rPr>
              <w:t>②一般防渗区：</w:t>
            </w:r>
            <w:r>
              <w:rPr>
                <w:rFonts w:hint="default" w:ascii="Times New Roman" w:hAnsi="Times New Roman" w:eastAsia="宋体" w:cs="Times New Roman"/>
                <w:color w:val="FF0000"/>
                <w:sz w:val="21"/>
                <w:szCs w:val="21"/>
                <w:highlight w:val="none"/>
                <w:lang w:val="en-US" w:eastAsia="zh-CN"/>
              </w:rPr>
              <w:t>各牛舍、运动场</w:t>
            </w:r>
            <w:r>
              <w:rPr>
                <w:rFonts w:hint="eastAsia" w:ascii="Times New Roman" w:hAnsi="Times New Roman" w:eastAsia="宋体" w:cs="Times New Roman"/>
                <w:color w:val="FF0000"/>
                <w:sz w:val="21"/>
                <w:szCs w:val="21"/>
                <w:highlight w:val="none"/>
                <w:lang w:val="en-US" w:eastAsia="zh-CN"/>
              </w:rPr>
              <w:t>、</w:t>
            </w:r>
            <w:r>
              <w:rPr>
                <w:rFonts w:hint="default" w:ascii="Times New Roman" w:hAnsi="Times New Roman" w:eastAsia="宋体" w:cs="Times New Roman"/>
                <w:color w:val="FF0000"/>
                <w:sz w:val="21"/>
                <w:szCs w:val="21"/>
                <w:highlight w:val="none"/>
                <w:lang w:val="en-US" w:eastAsia="zh-CN"/>
              </w:rPr>
              <w:t>青储窖、化粪池、粪污储存间</w:t>
            </w:r>
            <w:r>
              <w:rPr>
                <w:rFonts w:hint="default" w:ascii="Times New Roman" w:hAnsi="Times New Roman" w:eastAsia="宋体" w:cs="Times New Roman"/>
                <w:color w:val="FF0000"/>
                <w:sz w:val="21"/>
                <w:szCs w:val="21"/>
                <w:highlight w:val="none"/>
              </w:rPr>
              <w:t>进行一般防渗处理，防渗等级应达到等效黏土防渗层Mb≥1.5m，K≤1×10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w:t>
            </w:r>
            <w:r>
              <w:rPr>
                <w:rFonts w:hint="default" w:ascii="Times New Roman" w:hAnsi="Times New Roman" w:eastAsia="宋体" w:cs="Times New Roman"/>
                <w:color w:val="FF0000"/>
                <w:sz w:val="21"/>
                <w:szCs w:val="21"/>
                <w:highlight w:val="none"/>
                <w:lang w:eastAsia="zh-CN"/>
              </w:rPr>
              <w:t>；</w:t>
            </w:r>
          </w:p>
          <w:p w14:paraId="0218FB45">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FF0000"/>
                <w:sz w:val="21"/>
                <w:szCs w:val="21"/>
                <w:highlight w:val="none"/>
              </w:rPr>
              <w:t>③简单防渗区：</w:t>
            </w:r>
            <w:r>
              <w:rPr>
                <w:rFonts w:hint="default" w:ascii="Times New Roman" w:hAnsi="Times New Roman" w:eastAsia="宋体" w:cs="Times New Roman"/>
                <w:color w:val="FF0000"/>
                <w:sz w:val="21"/>
                <w:szCs w:val="21"/>
                <w:highlight w:val="none"/>
                <w:lang w:val="en-US" w:eastAsia="zh-CN"/>
              </w:rPr>
              <w:t>办公室、</w:t>
            </w:r>
            <w:r>
              <w:rPr>
                <w:rFonts w:hint="default" w:ascii="Times New Roman" w:hAnsi="Times New Roman" w:eastAsia="宋体" w:cs="Times New Roman"/>
                <w:color w:val="FF0000"/>
                <w:sz w:val="21"/>
                <w:szCs w:val="21"/>
                <w:highlight w:val="none"/>
              </w:rPr>
              <w:t>道路进行简单防渗处理。一般地面硬化</w:t>
            </w:r>
            <w:r>
              <w:rPr>
                <w:rFonts w:hint="default" w:ascii="Times New Roman" w:hAnsi="Times New Roman" w:eastAsia="宋体" w:cs="Times New Roman"/>
                <w:color w:val="FF0000"/>
                <w:sz w:val="21"/>
                <w:szCs w:val="21"/>
                <w:highlight w:val="none"/>
                <w:lang w:eastAsia="zh-CN"/>
              </w:rPr>
              <w:t>；</w:t>
            </w:r>
          </w:p>
        </w:tc>
        <w:tc>
          <w:tcPr>
            <w:tcW w:w="565" w:type="dxa"/>
            <w:tcBorders>
              <w:right w:val="nil"/>
            </w:tcBorders>
            <w:vAlign w:val="center"/>
          </w:tcPr>
          <w:p w14:paraId="0FBDDCD6">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重点防渗新建，一般、简单防渗改造</w:t>
            </w:r>
          </w:p>
        </w:tc>
      </w:tr>
      <w:tr w14:paraId="06D26D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84" w:type="dxa"/>
            <w:tcBorders>
              <w:left w:val="nil"/>
              <w:bottom w:val="single" w:color="000000" w:sz="10" w:space="0"/>
            </w:tcBorders>
            <w:vAlign w:val="center"/>
          </w:tcPr>
          <w:p w14:paraId="60EA3F61">
            <w:pPr>
              <w:pageBreakBefore w:val="0"/>
              <w:kinsoku/>
              <w:wordWrap w:val="0"/>
              <w:overflowPunct/>
              <w:topLinePunct/>
              <w:autoSpaceDE/>
              <w:autoSpaceDN/>
              <w:bidi w:val="0"/>
              <w:rPr>
                <w:rFonts w:hint="default" w:ascii="Times New Roman" w:hAnsi="Times New Roman" w:eastAsia="宋体" w:cs="Times New Roman"/>
                <w:color w:val="auto"/>
                <w:sz w:val="21"/>
                <w:szCs w:val="21"/>
                <w:highlight w:val="none"/>
                <w:lang w:val="en-US" w:eastAsia="zh-CN"/>
              </w:rPr>
            </w:pPr>
          </w:p>
        </w:tc>
        <w:tc>
          <w:tcPr>
            <w:tcW w:w="1517" w:type="dxa"/>
            <w:gridSpan w:val="3"/>
            <w:tcBorders>
              <w:top w:val="single" w:color="auto" w:sz="4" w:space="0"/>
              <w:bottom w:val="single" w:color="000000" w:sz="10" w:space="0"/>
            </w:tcBorders>
            <w:vAlign w:val="center"/>
          </w:tcPr>
          <w:p w14:paraId="300C35BE">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土壤</w:t>
            </w:r>
          </w:p>
        </w:tc>
        <w:tc>
          <w:tcPr>
            <w:tcW w:w="6519" w:type="dxa"/>
            <w:tcBorders>
              <w:bottom w:val="single" w:color="000000" w:sz="10" w:space="0"/>
            </w:tcBorders>
            <w:vAlign w:val="center"/>
          </w:tcPr>
          <w:p w14:paraId="71C746BA">
            <w:pPr>
              <w:pageBreakBefore w:val="0"/>
              <w:kinsoku/>
              <w:wordWrap w:val="0"/>
              <w:overflowPunct/>
              <w:topLinePunct/>
              <w:autoSpaceDE/>
              <w:autoSpaceDN/>
              <w:bidi w:val="0"/>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本项目在原有厂房基础上进行改造加高，以及部分设备安装，不涉及表土剥离</w:t>
            </w:r>
          </w:p>
        </w:tc>
        <w:tc>
          <w:tcPr>
            <w:tcW w:w="565" w:type="dxa"/>
            <w:tcBorders>
              <w:bottom w:val="single" w:color="000000" w:sz="10" w:space="0"/>
              <w:right w:val="nil"/>
            </w:tcBorders>
            <w:vAlign w:val="center"/>
          </w:tcPr>
          <w:p w14:paraId="09506934">
            <w:pPr>
              <w:pageBreakBefore w:val="0"/>
              <w:kinsoku/>
              <w:wordWrap w:val="0"/>
              <w:overflowPunct/>
              <w:topLinePunct/>
              <w:autoSpaceDE/>
              <w:autoSpaceDN/>
              <w:bidi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利旧</w:t>
            </w:r>
          </w:p>
        </w:tc>
      </w:tr>
    </w:tbl>
    <w:p w14:paraId="49F12524">
      <w:pPr>
        <w:keepNext w:val="0"/>
        <w:keepLines w:val="0"/>
        <w:pageBreakBefore w:val="0"/>
        <w:kinsoku/>
        <w:wordWrap w:val="0"/>
        <w:overflowPunct/>
        <w:topLinePunct/>
        <w:autoSpaceDE/>
        <w:autoSpaceDN/>
        <w:bidi w:val="0"/>
        <w:adjustRightInd w:val="0"/>
        <w:snapToGrid w:val="0"/>
        <w:spacing w:line="89" w:lineRule="auto"/>
        <w:textAlignment w:val="baseline"/>
        <w:rPr>
          <w:rFonts w:hint="default" w:ascii="Times New Roman" w:hAnsi="Times New Roman" w:cs="Times New Roman"/>
          <w:color w:val="auto"/>
          <w:sz w:val="2"/>
          <w:highlight w:val="none"/>
        </w:rPr>
      </w:pPr>
    </w:p>
    <w:p w14:paraId="2CA3CAE1">
      <w:pPr>
        <w:keepNext w:val="0"/>
        <w:keepLines w:val="0"/>
        <w:pageBreakBefore w:val="0"/>
        <w:kinsoku/>
        <w:wordWrap w:val="0"/>
        <w:overflowPunct/>
        <w:topLinePunct/>
        <w:autoSpaceDE/>
        <w:autoSpaceDN/>
        <w:bidi w:val="0"/>
        <w:adjustRightInd w:val="0"/>
        <w:snapToGrid w:val="0"/>
        <w:spacing w:line="89" w:lineRule="auto"/>
        <w:textAlignment w:val="baseline"/>
        <w:rPr>
          <w:rFonts w:hint="default" w:ascii="Times New Roman" w:hAnsi="Times New Roman" w:cs="Times New Roman"/>
          <w:color w:val="auto"/>
          <w:sz w:val="2"/>
          <w:highlight w:val="none"/>
        </w:rPr>
      </w:pPr>
    </w:p>
    <w:p w14:paraId="32A617E5">
      <w:pPr>
        <w:keepNext w:val="0"/>
        <w:keepLines w:val="0"/>
        <w:pageBreakBefore w:val="0"/>
        <w:kinsoku/>
        <w:wordWrap w:val="0"/>
        <w:overflowPunct/>
        <w:topLinePunct/>
        <w:autoSpaceDE/>
        <w:autoSpaceDN/>
        <w:bidi w:val="0"/>
        <w:adjustRightInd w:val="0"/>
        <w:snapToGrid w:val="0"/>
        <w:spacing w:before="33" w:line="214" w:lineRule="auto"/>
        <w:ind w:left="3244"/>
        <w:textAlignment w:val="baseline"/>
        <w:rPr>
          <w:rFonts w:hint="default" w:ascii="Times New Roman" w:hAnsi="Times New Roman" w:eastAsia="宋体" w:cs="Times New Roman"/>
          <w:b/>
          <w:bCs/>
          <w:color w:val="FF0000"/>
          <w:sz w:val="24"/>
          <w:szCs w:val="24"/>
          <w:highlight w:val="none"/>
          <w:lang w:val="en-US" w:eastAsia="zh-CN"/>
        </w:rPr>
      </w:pPr>
      <w:r>
        <w:rPr>
          <w:rFonts w:hint="default" w:ascii="Times New Roman" w:hAnsi="Times New Roman" w:eastAsia="宋体" w:cs="Times New Roman"/>
          <w:b/>
          <w:bCs/>
          <w:color w:val="FF0000"/>
          <w:spacing w:val="-2"/>
          <w:sz w:val="24"/>
          <w:szCs w:val="24"/>
          <w:highlight w:val="none"/>
        </w:rPr>
        <w:t>表</w:t>
      </w:r>
      <w:r>
        <w:rPr>
          <w:rFonts w:hint="default" w:ascii="Times New Roman" w:hAnsi="Times New Roman" w:eastAsia="Times New Roman" w:cs="Times New Roman"/>
          <w:b/>
          <w:bCs/>
          <w:color w:val="FF0000"/>
          <w:spacing w:val="-2"/>
          <w:sz w:val="24"/>
          <w:szCs w:val="24"/>
          <w:highlight w:val="none"/>
        </w:rPr>
        <w:t>3.1-</w:t>
      </w:r>
      <w:r>
        <w:rPr>
          <w:rFonts w:hint="default" w:ascii="Times New Roman" w:hAnsi="Times New Roman" w:eastAsia="宋体" w:cs="Times New Roman"/>
          <w:b/>
          <w:bCs/>
          <w:color w:val="FF0000"/>
          <w:spacing w:val="-2"/>
          <w:sz w:val="24"/>
          <w:szCs w:val="24"/>
          <w:highlight w:val="none"/>
          <w:lang w:val="en-US" w:eastAsia="zh-CN"/>
        </w:rPr>
        <w:t>2主要构建筑物一览表</w:t>
      </w:r>
    </w:p>
    <w:tbl>
      <w:tblPr>
        <w:tblStyle w:val="2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95"/>
        <w:gridCol w:w="995"/>
        <w:gridCol w:w="895"/>
        <w:gridCol w:w="1200"/>
        <w:gridCol w:w="832"/>
        <w:gridCol w:w="1300"/>
        <w:gridCol w:w="2510"/>
      </w:tblGrid>
      <w:tr w14:paraId="5EBD4E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034B8F03">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序号</w:t>
            </w:r>
          </w:p>
        </w:tc>
        <w:tc>
          <w:tcPr>
            <w:tcW w:w="1890" w:type="dxa"/>
            <w:gridSpan w:val="2"/>
            <w:tcBorders>
              <w:tl2br w:val="nil"/>
              <w:tr2bl w:val="nil"/>
            </w:tcBorders>
            <w:vAlign w:val="center"/>
          </w:tcPr>
          <w:p w14:paraId="3585EDDE">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建筑名称</w:t>
            </w:r>
          </w:p>
        </w:tc>
        <w:tc>
          <w:tcPr>
            <w:tcW w:w="1200" w:type="dxa"/>
            <w:tcBorders>
              <w:tl2br w:val="nil"/>
              <w:tr2bl w:val="nil"/>
            </w:tcBorders>
            <w:vAlign w:val="center"/>
          </w:tcPr>
          <w:p w14:paraId="1AFFD739">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建筑面积</w:t>
            </w:r>
          </w:p>
          <w:p w14:paraId="3A3C0E26">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（m</w:t>
            </w:r>
            <w:r>
              <w:rPr>
                <w:rFonts w:hint="default" w:ascii="Times New Roman" w:hAnsi="Times New Roman" w:eastAsia="宋体" w:cs="Times New Roman"/>
                <w:color w:val="auto"/>
                <w:spacing w:val="-2"/>
                <w:sz w:val="21"/>
                <w:szCs w:val="21"/>
                <w:highlight w:val="none"/>
                <w:vertAlign w:val="superscript"/>
                <w:lang w:val="en-US" w:eastAsia="zh-CN"/>
              </w:rPr>
              <w:t>3</w:t>
            </w:r>
            <w:r>
              <w:rPr>
                <w:rFonts w:hint="default" w:ascii="Times New Roman" w:hAnsi="Times New Roman" w:eastAsia="宋体" w:cs="Times New Roman"/>
                <w:color w:val="auto"/>
                <w:spacing w:val="-2"/>
                <w:sz w:val="21"/>
                <w:szCs w:val="21"/>
                <w:highlight w:val="none"/>
                <w:vertAlign w:val="baseline"/>
                <w:lang w:val="en-US" w:eastAsia="zh-CN"/>
              </w:rPr>
              <w:t>）</w:t>
            </w:r>
          </w:p>
        </w:tc>
        <w:tc>
          <w:tcPr>
            <w:tcW w:w="832" w:type="dxa"/>
            <w:tcBorders>
              <w:tl2br w:val="nil"/>
              <w:tr2bl w:val="nil"/>
            </w:tcBorders>
            <w:vAlign w:val="center"/>
          </w:tcPr>
          <w:p w14:paraId="50B76779">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数量</w:t>
            </w:r>
          </w:p>
          <w:p w14:paraId="6C2EBBE5">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（个）</w:t>
            </w:r>
          </w:p>
        </w:tc>
        <w:tc>
          <w:tcPr>
            <w:tcW w:w="1300" w:type="dxa"/>
            <w:tcBorders>
              <w:tl2br w:val="nil"/>
              <w:tr2bl w:val="nil"/>
            </w:tcBorders>
            <w:vAlign w:val="center"/>
          </w:tcPr>
          <w:p w14:paraId="27BC0BBC">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建构筑物尺寸（m）</w:t>
            </w:r>
          </w:p>
        </w:tc>
        <w:tc>
          <w:tcPr>
            <w:tcW w:w="2510" w:type="dxa"/>
            <w:tcBorders>
              <w:tl2br w:val="nil"/>
              <w:tr2bl w:val="nil"/>
            </w:tcBorders>
            <w:vAlign w:val="center"/>
          </w:tcPr>
          <w:p w14:paraId="03F41E07">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围护结构</w:t>
            </w:r>
          </w:p>
        </w:tc>
      </w:tr>
      <w:tr w14:paraId="4C6561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vMerge w:val="restart"/>
            <w:tcBorders>
              <w:tl2br w:val="nil"/>
              <w:tr2bl w:val="nil"/>
            </w:tcBorders>
            <w:vAlign w:val="center"/>
          </w:tcPr>
          <w:p w14:paraId="0532D6BF">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995" w:type="dxa"/>
            <w:vMerge w:val="restart"/>
            <w:tcBorders>
              <w:tl2br w:val="nil"/>
              <w:tr2bl w:val="nil"/>
            </w:tcBorders>
            <w:vAlign w:val="center"/>
          </w:tcPr>
          <w:p w14:paraId="1F7557AC">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标准化育繁棚舍</w:t>
            </w:r>
          </w:p>
        </w:tc>
        <w:tc>
          <w:tcPr>
            <w:tcW w:w="895" w:type="dxa"/>
            <w:tcBorders>
              <w:tl2br w:val="nil"/>
              <w:tr2bl w:val="nil"/>
            </w:tcBorders>
            <w:vAlign w:val="center"/>
          </w:tcPr>
          <w:p w14:paraId="35A60A2B">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母牛舍</w:t>
            </w:r>
          </w:p>
        </w:tc>
        <w:tc>
          <w:tcPr>
            <w:tcW w:w="1200" w:type="dxa"/>
            <w:tcBorders>
              <w:tl2br w:val="nil"/>
              <w:tr2bl w:val="nil"/>
            </w:tcBorders>
            <w:vAlign w:val="center"/>
          </w:tcPr>
          <w:p w14:paraId="1277CF31">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10800</w:t>
            </w:r>
          </w:p>
        </w:tc>
        <w:tc>
          <w:tcPr>
            <w:tcW w:w="832" w:type="dxa"/>
            <w:tcBorders>
              <w:tl2br w:val="nil"/>
              <w:tr2bl w:val="nil"/>
            </w:tcBorders>
            <w:vAlign w:val="center"/>
          </w:tcPr>
          <w:p w14:paraId="6A82139E">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12</w:t>
            </w:r>
          </w:p>
        </w:tc>
        <w:tc>
          <w:tcPr>
            <w:tcW w:w="1300" w:type="dxa"/>
            <w:tcBorders>
              <w:tl2br w:val="nil"/>
              <w:tr2bl w:val="nil"/>
            </w:tcBorders>
            <w:vAlign w:val="center"/>
          </w:tcPr>
          <w:p w14:paraId="57B902A0">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90*10*4</w:t>
            </w:r>
          </w:p>
        </w:tc>
        <w:tc>
          <w:tcPr>
            <w:tcW w:w="2510" w:type="dxa"/>
            <w:vMerge w:val="restart"/>
            <w:tcBorders>
              <w:tl2br w:val="nil"/>
              <w:tr2bl w:val="nil"/>
            </w:tcBorders>
            <w:vAlign w:val="center"/>
          </w:tcPr>
          <w:p w14:paraId="67A83637">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rPr>
            </w:pPr>
            <w:r>
              <w:rPr>
                <w:rFonts w:hint="default" w:ascii="Times New Roman" w:hAnsi="Times New Roman" w:eastAsia="宋体" w:cs="Times New Roman"/>
                <w:snapToGrid w:val="0"/>
                <w:color w:val="auto"/>
                <w:spacing w:val="-18"/>
                <w:kern w:val="0"/>
                <w:sz w:val="21"/>
                <w:szCs w:val="21"/>
                <w:highlight w:val="none"/>
                <w:lang w:val="en-US" w:eastAsia="zh-CN" w:bidi="ar-SA"/>
              </w:rPr>
              <w:t>四面敞开；地面采用</w:t>
            </w:r>
            <w:r>
              <w:rPr>
                <w:rFonts w:hint="eastAsia" w:ascii="Times New Roman" w:hAnsi="Times New Roman" w:eastAsia="宋体" w:cs="Times New Roman"/>
                <w:snapToGrid w:val="0"/>
                <w:color w:val="auto"/>
                <w:spacing w:val="-18"/>
                <w:kern w:val="0"/>
                <w:sz w:val="21"/>
                <w:szCs w:val="21"/>
                <w:highlight w:val="none"/>
                <w:lang w:val="en-US" w:eastAsia="zh-CN" w:bidi="ar-SA"/>
              </w:rPr>
              <w:t>一般</w:t>
            </w:r>
            <w:r>
              <w:rPr>
                <w:rFonts w:hint="default" w:ascii="Times New Roman" w:hAnsi="Times New Roman" w:eastAsia="宋体" w:cs="Times New Roman"/>
                <w:snapToGrid w:val="0"/>
                <w:color w:val="auto"/>
                <w:spacing w:val="-18"/>
                <w:kern w:val="0"/>
                <w:sz w:val="21"/>
                <w:szCs w:val="21"/>
                <w:highlight w:val="none"/>
                <w:lang w:val="en-US" w:eastAsia="zh-CN" w:bidi="ar-SA"/>
              </w:rPr>
              <w:t>防渗，上面铺设垫 料，设置顶棚，顶棚边 沿</w:t>
            </w:r>
            <w:r>
              <w:rPr>
                <w:rFonts w:hint="eastAsia" w:ascii="Times New Roman" w:hAnsi="Times New Roman" w:eastAsia="宋体" w:cs="Times New Roman"/>
                <w:snapToGrid w:val="0"/>
                <w:color w:val="auto"/>
                <w:spacing w:val="-18"/>
                <w:kern w:val="0"/>
                <w:sz w:val="21"/>
                <w:szCs w:val="21"/>
                <w:highlight w:val="none"/>
                <w:lang w:val="en-US" w:eastAsia="zh-CN" w:bidi="ar-SA"/>
              </w:rPr>
              <w:t>下方</w:t>
            </w:r>
            <w:r>
              <w:rPr>
                <w:rFonts w:hint="default" w:ascii="Times New Roman" w:hAnsi="Times New Roman" w:eastAsia="宋体" w:cs="Times New Roman"/>
                <w:snapToGrid w:val="0"/>
                <w:color w:val="auto"/>
                <w:spacing w:val="-18"/>
                <w:kern w:val="0"/>
                <w:sz w:val="21"/>
                <w:szCs w:val="21"/>
                <w:highlight w:val="none"/>
                <w:lang w:val="en-US" w:eastAsia="zh-CN" w:bidi="ar-SA"/>
              </w:rPr>
              <w:t>设置雨水收集装置</w:t>
            </w:r>
          </w:p>
        </w:tc>
      </w:tr>
      <w:tr w14:paraId="39FCFE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vMerge w:val="continue"/>
            <w:tcBorders>
              <w:tl2br w:val="nil"/>
              <w:tr2bl w:val="nil"/>
            </w:tcBorders>
            <w:vAlign w:val="center"/>
          </w:tcPr>
          <w:p w14:paraId="1A1394C9">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p>
        </w:tc>
        <w:tc>
          <w:tcPr>
            <w:tcW w:w="995" w:type="dxa"/>
            <w:vMerge w:val="continue"/>
            <w:tcBorders>
              <w:tl2br w:val="nil"/>
              <w:tr2bl w:val="nil"/>
            </w:tcBorders>
            <w:vAlign w:val="center"/>
          </w:tcPr>
          <w:p w14:paraId="22F347E6">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p>
        </w:tc>
        <w:tc>
          <w:tcPr>
            <w:tcW w:w="895" w:type="dxa"/>
            <w:tcBorders>
              <w:tl2br w:val="nil"/>
              <w:tr2bl w:val="nil"/>
            </w:tcBorders>
            <w:vAlign w:val="center"/>
          </w:tcPr>
          <w:p w14:paraId="11DCA996">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牛犊舍</w:t>
            </w:r>
          </w:p>
        </w:tc>
        <w:tc>
          <w:tcPr>
            <w:tcW w:w="1200" w:type="dxa"/>
            <w:tcBorders>
              <w:tl2br w:val="nil"/>
              <w:tr2bl w:val="nil"/>
            </w:tcBorders>
            <w:vAlign w:val="center"/>
          </w:tcPr>
          <w:p w14:paraId="2B252BEE">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2100</w:t>
            </w:r>
          </w:p>
        </w:tc>
        <w:tc>
          <w:tcPr>
            <w:tcW w:w="832" w:type="dxa"/>
            <w:tcBorders>
              <w:tl2br w:val="nil"/>
              <w:tr2bl w:val="nil"/>
            </w:tcBorders>
            <w:vAlign w:val="center"/>
          </w:tcPr>
          <w:p w14:paraId="7AE8E6C6">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3</w:t>
            </w:r>
          </w:p>
        </w:tc>
        <w:tc>
          <w:tcPr>
            <w:tcW w:w="1300" w:type="dxa"/>
            <w:tcBorders>
              <w:tl2br w:val="nil"/>
              <w:tr2bl w:val="nil"/>
            </w:tcBorders>
            <w:vAlign w:val="center"/>
          </w:tcPr>
          <w:p w14:paraId="24383DC3">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70*10*4</w:t>
            </w:r>
          </w:p>
        </w:tc>
        <w:tc>
          <w:tcPr>
            <w:tcW w:w="2510" w:type="dxa"/>
            <w:vMerge w:val="continue"/>
            <w:tcBorders>
              <w:tl2br w:val="nil"/>
              <w:tr2bl w:val="nil"/>
            </w:tcBorders>
            <w:vAlign w:val="center"/>
          </w:tcPr>
          <w:p w14:paraId="2C5F320A">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rPr>
            </w:pPr>
          </w:p>
        </w:tc>
      </w:tr>
      <w:tr w14:paraId="279059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vMerge w:val="continue"/>
            <w:tcBorders>
              <w:tl2br w:val="nil"/>
              <w:tr2bl w:val="nil"/>
            </w:tcBorders>
            <w:vAlign w:val="center"/>
          </w:tcPr>
          <w:p w14:paraId="1AA57949">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p>
        </w:tc>
        <w:tc>
          <w:tcPr>
            <w:tcW w:w="995" w:type="dxa"/>
            <w:vMerge w:val="continue"/>
            <w:tcBorders>
              <w:tl2br w:val="nil"/>
              <w:tr2bl w:val="nil"/>
            </w:tcBorders>
            <w:vAlign w:val="center"/>
          </w:tcPr>
          <w:p w14:paraId="41B7679B">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p>
        </w:tc>
        <w:tc>
          <w:tcPr>
            <w:tcW w:w="895" w:type="dxa"/>
            <w:tcBorders>
              <w:tl2br w:val="nil"/>
              <w:tr2bl w:val="nil"/>
            </w:tcBorders>
            <w:vAlign w:val="center"/>
          </w:tcPr>
          <w:p w14:paraId="170477F1">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综合牛舍</w:t>
            </w:r>
          </w:p>
        </w:tc>
        <w:tc>
          <w:tcPr>
            <w:tcW w:w="1200" w:type="dxa"/>
            <w:tcBorders>
              <w:tl2br w:val="nil"/>
              <w:tr2bl w:val="nil"/>
            </w:tcBorders>
            <w:vAlign w:val="center"/>
          </w:tcPr>
          <w:p w14:paraId="26F3FC54">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16200</w:t>
            </w:r>
          </w:p>
        </w:tc>
        <w:tc>
          <w:tcPr>
            <w:tcW w:w="832" w:type="dxa"/>
            <w:tcBorders>
              <w:tl2br w:val="nil"/>
              <w:tr2bl w:val="nil"/>
            </w:tcBorders>
            <w:vAlign w:val="center"/>
          </w:tcPr>
          <w:p w14:paraId="49276FC8">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18</w:t>
            </w:r>
          </w:p>
        </w:tc>
        <w:tc>
          <w:tcPr>
            <w:tcW w:w="1300" w:type="dxa"/>
            <w:tcBorders>
              <w:tl2br w:val="nil"/>
              <w:tr2bl w:val="nil"/>
            </w:tcBorders>
            <w:vAlign w:val="center"/>
          </w:tcPr>
          <w:p w14:paraId="6596D5DB">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rPr>
            </w:pPr>
            <w:r>
              <w:rPr>
                <w:rFonts w:hint="default" w:ascii="Times New Roman" w:hAnsi="Times New Roman" w:eastAsia="宋体" w:cs="Times New Roman"/>
                <w:color w:val="FF0000"/>
                <w:spacing w:val="-2"/>
                <w:sz w:val="21"/>
                <w:szCs w:val="21"/>
                <w:highlight w:val="none"/>
                <w:vertAlign w:val="baseline"/>
                <w:lang w:val="en-US" w:eastAsia="zh-CN"/>
              </w:rPr>
              <w:t>90*10*4</w:t>
            </w:r>
          </w:p>
        </w:tc>
        <w:tc>
          <w:tcPr>
            <w:tcW w:w="2510" w:type="dxa"/>
            <w:vMerge w:val="continue"/>
            <w:tcBorders>
              <w:tl2br w:val="nil"/>
              <w:tr2bl w:val="nil"/>
            </w:tcBorders>
            <w:vAlign w:val="center"/>
          </w:tcPr>
          <w:p w14:paraId="22F05C28">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rPr>
            </w:pPr>
          </w:p>
        </w:tc>
      </w:tr>
      <w:tr w14:paraId="128406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69" w:hRule="atLeast"/>
          <w:jc w:val="center"/>
        </w:trPr>
        <w:tc>
          <w:tcPr>
            <w:tcW w:w="795" w:type="dxa"/>
            <w:tcBorders>
              <w:tl2br w:val="nil"/>
              <w:tr2bl w:val="nil"/>
            </w:tcBorders>
            <w:vAlign w:val="center"/>
          </w:tcPr>
          <w:p w14:paraId="56CD00B2">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2</w:t>
            </w:r>
          </w:p>
        </w:tc>
        <w:tc>
          <w:tcPr>
            <w:tcW w:w="1890" w:type="dxa"/>
            <w:gridSpan w:val="2"/>
            <w:tcBorders>
              <w:tl2br w:val="nil"/>
              <w:tr2bl w:val="nil"/>
            </w:tcBorders>
            <w:vAlign w:val="center"/>
          </w:tcPr>
          <w:p w14:paraId="5A8C25EC">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rPr>
            </w:pPr>
            <w:r>
              <w:rPr>
                <w:rFonts w:hint="default" w:ascii="Times New Roman" w:hAnsi="Times New Roman" w:eastAsia="宋体" w:cs="Times New Roman"/>
                <w:color w:val="auto"/>
                <w:spacing w:val="-2"/>
                <w:sz w:val="21"/>
                <w:szCs w:val="21"/>
                <w:highlight w:val="none"/>
                <w:vertAlign w:val="baseline"/>
                <w:lang w:val="en-US" w:eastAsia="zh-CN"/>
              </w:rPr>
              <w:t>牛舍运动场</w:t>
            </w:r>
          </w:p>
        </w:tc>
        <w:tc>
          <w:tcPr>
            <w:tcW w:w="1200" w:type="dxa"/>
            <w:tcBorders>
              <w:tl2br w:val="nil"/>
              <w:tr2bl w:val="nil"/>
            </w:tcBorders>
            <w:vAlign w:val="center"/>
          </w:tcPr>
          <w:p w14:paraId="799B8D64">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23100</w:t>
            </w:r>
          </w:p>
        </w:tc>
        <w:tc>
          <w:tcPr>
            <w:tcW w:w="832" w:type="dxa"/>
            <w:tcBorders>
              <w:tl2br w:val="nil"/>
              <w:tr2bl w:val="nil"/>
            </w:tcBorders>
            <w:vAlign w:val="center"/>
          </w:tcPr>
          <w:p w14:paraId="670C04F1">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11</w:t>
            </w:r>
          </w:p>
        </w:tc>
        <w:tc>
          <w:tcPr>
            <w:tcW w:w="1300" w:type="dxa"/>
            <w:tcBorders>
              <w:tl2br w:val="nil"/>
              <w:tr2bl w:val="nil"/>
            </w:tcBorders>
            <w:vAlign w:val="center"/>
          </w:tcPr>
          <w:p w14:paraId="23DB4700">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30*70</w:t>
            </w:r>
          </w:p>
        </w:tc>
        <w:tc>
          <w:tcPr>
            <w:tcW w:w="2510" w:type="dxa"/>
            <w:tcBorders>
              <w:tl2br w:val="nil"/>
              <w:tr2bl w:val="nil"/>
            </w:tcBorders>
            <w:vAlign w:val="center"/>
          </w:tcPr>
          <w:p w14:paraId="1BCC5EE2">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rPr>
            </w:pPr>
            <w:r>
              <w:rPr>
                <w:rFonts w:hint="default" w:ascii="Times New Roman" w:hAnsi="Times New Roman" w:eastAsia="宋体" w:cs="Times New Roman"/>
                <w:snapToGrid w:val="0"/>
                <w:color w:val="auto"/>
                <w:kern w:val="0"/>
                <w:sz w:val="21"/>
                <w:szCs w:val="21"/>
                <w:highlight w:val="none"/>
                <w:lang w:val="en-US" w:eastAsia="zh-CN" w:bidi="ar"/>
              </w:rPr>
              <w:t>四面敞开，没有顶棚；配套标准化育繁棚舍，地面采用</w:t>
            </w:r>
            <w:r>
              <w:rPr>
                <w:rFonts w:hint="eastAsia" w:ascii="Times New Roman" w:hAnsi="Times New Roman" w:eastAsia="宋体" w:cs="Times New Roman"/>
                <w:snapToGrid w:val="0"/>
                <w:color w:val="auto"/>
                <w:kern w:val="0"/>
                <w:sz w:val="21"/>
                <w:szCs w:val="21"/>
                <w:highlight w:val="none"/>
                <w:lang w:val="en-US" w:eastAsia="zh-CN" w:bidi="ar"/>
              </w:rPr>
              <w:t>一般</w:t>
            </w:r>
            <w:r>
              <w:rPr>
                <w:rFonts w:hint="default" w:ascii="Times New Roman" w:hAnsi="Times New Roman" w:eastAsia="宋体" w:cs="Times New Roman"/>
                <w:snapToGrid w:val="0"/>
                <w:color w:val="auto"/>
                <w:kern w:val="0"/>
                <w:sz w:val="21"/>
                <w:szCs w:val="21"/>
                <w:highlight w:val="none"/>
                <w:lang w:val="en-US" w:eastAsia="zh-CN" w:bidi="ar"/>
              </w:rPr>
              <w:t>防渗，上面铺设垫料，周围设置围堰，围堰高度40cm，运动场上面设置挡雨棚</w:t>
            </w:r>
            <w:r>
              <w:rPr>
                <w:rFonts w:hint="eastAsia" w:ascii="Times New Roman" w:hAnsi="Times New Roman" w:eastAsia="宋体" w:cs="Times New Roman"/>
                <w:snapToGrid w:val="0"/>
                <w:color w:val="auto"/>
                <w:kern w:val="0"/>
                <w:sz w:val="21"/>
                <w:szCs w:val="21"/>
                <w:highlight w:val="none"/>
                <w:lang w:val="en-US" w:eastAsia="zh-CN" w:bidi="ar"/>
              </w:rPr>
              <w:t>，四周设置雨水导流沟</w:t>
            </w:r>
          </w:p>
        </w:tc>
      </w:tr>
      <w:tr w14:paraId="05CF07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57D22BC5">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3</w:t>
            </w:r>
          </w:p>
        </w:tc>
        <w:tc>
          <w:tcPr>
            <w:tcW w:w="1890" w:type="dxa"/>
            <w:gridSpan w:val="2"/>
            <w:tcBorders>
              <w:tl2br w:val="nil"/>
              <w:tr2bl w:val="nil"/>
            </w:tcBorders>
            <w:vAlign w:val="center"/>
          </w:tcPr>
          <w:p w14:paraId="1ED650CE">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隔离舍</w:t>
            </w:r>
          </w:p>
        </w:tc>
        <w:tc>
          <w:tcPr>
            <w:tcW w:w="1200" w:type="dxa"/>
            <w:tcBorders>
              <w:tl2br w:val="nil"/>
              <w:tr2bl w:val="nil"/>
            </w:tcBorders>
            <w:vAlign w:val="center"/>
          </w:tcPr>
          <w:p w14:paraId="7DDBA021">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450</w:t>
            </w:r>
          </w:p>
        </w:tc>
        <w:tc>
          <w:tcPr>
            <w:tcW w:w="832" w:type="dxa"/>
            <w:tcBorders>
              <w:tl2br w:val="nil"/>
              <w:tr2bl w:val="nil"/>
            </w:tcBorders>
            <w:vAlign w:val="center"/>
          </w:tcPr>
          <w:p w14:paraId="387A8FE2">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6957F0F1">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18*25*4</w:t>
            </w:r>
          </w:p>
        </w:tc>
        <w:tc>
          <w:tcPr>
            <w:tcW w:w="2510" w:type="dxa"/>
            <w:tcBorders>
              <w:tl2br w:val="nil"/>
              <w:tr2bl w:val="nil"/>
            </w:tcBorders>
            <w:vAlign w:val="center"/>
          </w:tcPr>
          <w:p w14:paraId="57CD1426">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rPr>
            </w:pPr>
            <w:r>
              <w:rPr>
                <w:rFonts w:hint="default" w:ascii="Times New Roman" w:hAnsi="Times New Roman" w:eastAsia="宋体" w:cs="Times New Roman"/>
                <w:snapToGrid w:val="0"/>
                <w:color w:val="auto"/>
                <w:kern w:val="0"/>
                <w:sz w:val="21"/>
                <w:szCs w:val="21"/>
                <w:highlight w:val="none"/>
                <w:lang w:val="en-US" w:eastAsia="zh-CN" w:bidi="ar"/>
              </w:rPr>
              <w:t>地面采用混凝土防渗，设置顶棚，</w:t>
            </w:r>
            <w:r>
              <w:rPr>
                <w:rFonts w:hint="default" w:ascii="Times New Roman" w:hAnsi="Times New Roman" w:eastAsia="宋体" w:cs="Times New Roman"/>
                <w:snapToGrid w:val="0"/>
                <w:color w:val="auto"/>
                <w:spacing w:val="-18"/>
                <w:kern w:val="0"/>
                <w:sz w:val="21"/>
                <w:szCs w:val="21"/>
                <w:highlight w:val="none"/>
                <w:lang w:val="en-US" w:eastAsia="zh-CN" w:bidi="ar-SA"/>
              </w:rPr>
              <w:t>顶棚边 沿</w:t>
            </w:r>
            <w:r>
              <w:rPr>
                <w:rFonts w:hint="eastAsia" w:ascii="Times New Roman" w:hAnsi="Times New Roman" w:eastAsia="宋体" w:cs="Times New Roman"/>
                <w:snapToGrid w:val="0"/>
                <w:color w:val="auto"/>
                <w:spacing w:val="-18"/>
                <w:kern w:val="0"/>
                <w:sz w:val="21"/>
                <w:szCs w:val="21"/>
                <w:highlight w:val="none"/>
                <w:lang w:val="en-US" w:eastAsia="zh-CN" w:bidi="ar-SA"/>
              </w:rPr>
              <w:t>下方</w:t>
            </w:r>
            <w:r>
              <w:rPr>
                <w:rFonts w:hint="default" w:ascii="Times New Roman" w:hAnsi="Times New Roman" w:eastAsia="宋体" w:cs="Times New Roman"/>
                <w:snapToGrid w:val="0"/>
                <w:color w:val="auto"/>
                <w:spacing w:val="-18"/>
                <w:kern w:val="0"/>
                <w:sz w:val="21"/>
                <w:szCs w:val="21"/>
                <w:highlight w:val="none"/>
                <w:lang w:val="en-US" w:eastAsia="zh-CN" w:bidi="ar-SA"/>
              </w:rPr>
              <w:t>设置雨水收集装置</w:t>
            </w:r>
            <w:r>
              <w:rPr>
                <w:rFonts w:hint="eastAsia" w:ascii="Times New Roman" w:hAnsi="Times New Roman" w:eastAsia="宋体" w:cs="Times New Roman"/>
                <w:snapToGrid w:val="0"/>
                <w:color w:val="auto"/>
                <w:spacing w:val="-18"/>
                <w:kern w:val="0"/>
                <w:sz w:val="21"/>
                <w:szCs w:val="21"/>
                <w:highlight w:val="none"/>
                <w:lang w:val="en-US" w:eastAsia="zh-CN" w:bidi="ar-SA"/>
              </w:rPr>
              <w:t>，</w:t>
            </w:r>
            <w:r>
              <w:rPr>
                <w:rFonts w:hint="eastAsia" w:ascii="Times New Roman" w:hAnsi="Times New Roman" w:eastAsia="宋体" w:cs="Times New Roman"/>
                <w:snapToGrid w:val="0"/>
                <w:color w:val="auto"/>
                <w:kern w:val="0"/>
                <w:sz w:val="21"/>
                <w:szCs w:val="21"/>
                <w:highlight w:val="none"/>
                <w:lang w:val="en-US" w:eastAsia="zh-CN" w:bidi="ar"/>
              </w:rPr>
              <w:t>四周设置雨水导流沟</w:t>
            </w:r>
          </w:p>
        </w:tc>
      </w:tr>
      <w:tr w14:paraId="4071CD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45635A31">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4</w:t>
            </w:r>
          </w:p>
        </w:tc>
        <w:tc>
          <w:tcPr>
            <w:tcW w:w="1890" w:type="dxa"/>
            <w:gridSpan w:val="2"/>
            <w:tcBorders>
              <w:tl2br w:val="nil"/>
              <w:tr2bl w:val="nil"/>
            </w:tcBorders>
            <w:vAlign w:val="center"/>
          </w:tcPr>
          <w:p w14:paraId="405E4972">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搅拌车间</w:t>
            </w:r>
          </w:p>
        </w:tc>
        <w:tc>
          <w:tcPr>
            <w:tcW w:w="1200" w:type="dxa"/>
            <w:tcBorders>
              <w:tl2br w:val="nil"/>
              <w:tr2bl w:val="nil"/>
            </w:tcBorders>
            <w:vAlign w:val="center"/>
          </w:tcPr>
          <w:p w14:paraId="73969F45">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500</w:t>
            </w:r>
          </w:p>
        </w:tc>
        <w:tc>
          <w:tcPr>
            <w:tcW w:w="832" w:type="dxa"/>
            <w:tcBorders>
              <w:tl2br w:val="nil"/>
              <w:tr2bl w:val="nil"/>
            </w:tcBorders>
            <w:vAlign w:val="center"/>
          </w:tcPr>
          <w:p w14:paraId="455FF3C5">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678DD9F9">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25*20*5</w:t>
            </w:r>
          </w:p>
        </w:tc>
        <w:tc>
          <w:tcPr>
            <w:tcW w:w="2510" w:type="dxa"/>
            <w:tcBorders>
              <w:tl2br w:val="nil"/>
              <w:tr2bl w:val="nil"/>
            </w:tcBorders>
            <w:vAlign w:val="center"/>
          </w:tcPr>
          <w:p w14:paraId="21D16411">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none"/>
                <w:lang w:val="en-US" w:eastAsia="zh-CN" w:bidi="ar"/>
              </w:rPr>
              <w:t>混凝土基础+钢结构</w:t>
            </w:r>
          </w:p>
        </w:tc>
      </w:tr>
      <w:tr w14:paraId="37A677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03885FC4">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5</w:t>
            </w:r>
          </w:p>
        </w:tc>
        <w:tc>
          <w:tcPr>
            <w:tcW w:w="1890" w:type="dxa"/>
            <w:gridSpan w:val="2"/>
            <w:tcBorders>
              <w:tl2br w:val="nil"/>
              <w:tr2bl w:val="nil"/>
            </w:tcBorders>
            <w:vAlign w:val="center"/>
          </w:tcPr>
          <w:p w14:paraId="3169CED8">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干草棚</w:t>
            </w:r>
          </w:p>
        </w:tc>
        <w:tc>
          <w:tcPr>
            <w:tcW w:w="1200" w:type="dxa"/>
            <w:tcBorders>
              <w:tl2br w:val="nil"/>
              <w:tr2bl w:val="nil"/>
            </w:tcBorders>
            <w:vAlign w:val="center"/>
          </w:tcPr>
          <w:p w14:paraId="45A5BABE">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3200</w:t>
            </w:r>
          </w:p>
        </w:tc>
        <w:tc>
          <w:tcPr>
            <w:tcW w:w="832" w:type="dxa"/>
            <w:tcBorders>
              <w:tl2br w:val="nil"/>
              <w:tr2bl w:val="nil"/>
            </w:tcBorders>
            <w:vAlign w:val="center"/>
          </w:tcPr>
          <w:p w14:paraId="7AEE424D">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47FECE69">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50*64*8</w:t>
            </w:r>
          </w:p>
        </w:tc>
        <w:tc>
          <w:tcPr>
            <w:tcW w:w="2510" w:type="dxa"/>
            <w:tcBorders>
              <w:tl2br w:val="nil"/>
              <w:tr2bl w:val="nil"/>
            </w:tcBorders>
            <w:vAlign w:val="center"/>
          </w:tcPr>
          <w:p w14:paraId="2174B38A">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none"/>
                <w:lang w:val="en-US" w:eastAsia="zh-CN" w:bidi="ar"/>
              </w:rPr>
              <w:t>混凝土基础+钢结构</w:t>
            </w:r>
          </w:p>
        </w:tc>
      </w:tr>
      <w:tr w14:paraId="5757EA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5BA2036B">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6</w:t>
            </w:r>
          </w:p>
        </w:tc>
        <w:tc>
          <w:tcPr>
            <w:tcW w:w="1890" w:type="dxa"/>
            <w:gridSpan w:val="2"/>
            <w:tcBorders>
              <w:tl2br w:val="nil"/>
              <w:tr2bl w:val="nil"/>
            </w:tcBorders>
            <w:vAlign w:val="center"/>
          </w:tcPr>
          <w:p w14:paraId="674E9E09">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仓库</w:t>
            </w:r>
          </w:p>
        </w:tc>
        <w:tc>
          <w:tcPr>
            <w:tcW w:w="1200" w:type="dxa"/>
            <w:tcBorders>
              <w:tl2br w:val="nil"/>
              <w:tr2bl w:val="nil"/>
            </w:tcBorders>
            <w:vAlign w:val="center"/>
          </w:tcPr>
          <w:p w14:paraId="0D2CCEE0">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500</w:t>
            </w:r>
          </w:p>
        </w:tc>
        <w:tc>
          <w:tcPr>
            <w:tcW w:w="832" w:type="dxa"/>
            <w:tcBorders>
              <w:tl2br w:val="nil"/>
              <w:tr2bl w:val="nil"/>
            </w:tcBorders>
            <w:vAlign w:val="center"/>
          </w:tcPr>
          <w:p w14:paraId="6123B02F">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587F40E8">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20*25*8</w:t>
            </w:r>
          </w:p>
        </w:tc>
        <w:tc>
          <w:tcPr>
            <w:tcW w:w="2510" w:type="dxa"/>
            <w:tcBorders>
              <w:tl2br w:val="nil"/>
              <w:tr2bl w:val="nil"/>
            </w:tcBorders>
            <w:vAlign w:val="center"/>
          </w:tcPr>
          <w:p w14:paraId="124D2342">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none"/>
                <w:lang w:val="en-US" w:eastAsia="zh-CN" w:bidi="ar"/>
              </w:rPr>
              <w:t>混凝土基础+钢结构</w:t>
            </w:r>
          </w:p>
        </w:tc>
      </w:tr>
      <w:tr w14:paraId="215672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53D4DFF4">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7</w:t>
            </w:r>
          </w:p>
        </w:tc>
        <w:tc>
          <w:tcPr>
            <w:tcW w:w="1890" w:type="dxa"/>
            <w:gridSpan w:val="2"/>
            <w:tcBorders>
              <w:tl2br w:val="nil"/>
              <w:tr2bl w:val="nil"/>
            </w:tcBorders>
            <w:vAlign w:val="center"/>
          </w:tcPr>
          <w:p w14:paraId="1B18D937">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青贮窖</w:t>
            </w:r>
          </w:p>
        </w:tc>
        <w:tc>
          <w:tcPr>
            <w:tcW w:w="1200" w:type="dxa"/>
            <w:tcBorders>
              <w:tl2br w:val="nil"/>
              <w:tr2bl w:val="nil"/>
            </w:tcBorders>
            <w:vAlign w:val="center"/>
          </w:tcPr>
          <w:p w14:paraId="34A72A64">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2160</w:t>
            </w:r>
          </w:p>
        </w:tc>
        <w:tc>
          <w:tcPr>
            <w:tcW w:w="832" w:type="dxa"/>
            <w:tcBorders>
              <w:tl2br w:val="nil"/>
              <w:tr2bl w:val="nil"/>
            </w:tcBorders>
            <w:vAlign w:val="center"/>
          </w:tcPr>
          <w:p w14:paraId="1D7B83E5">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786D5D0A">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40*54*2</w:t>
            </w:r>
          </w:p>
        </w:tc>
        <w:tc>
          <w:tcPr>
            <w:tcW w:w="2510" w:type="dxa"/>
            <w:tcBorders>
              <w:tl2br w:val="nil"/>
              <w:tr2bl w:val="nil"/>
            </w:tcBorders>
            <w:vAlign w:val="center"/>
          </w:tcPr>
          <w:p w14:paraId="2CEF60BE">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none"/>
                <w:lang w:val="en-US" w:eastAsia="zh-CN" w:bidi="ar"/>
              </w:rPr>
              <w:t>三面+底面混凝土结构</w:t>
            </w:r>
          </w:p>
        </w:tc>
      </w:tr>
      <w:tr w14:paraId="1D5B10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3E46C40D">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8</w:t>
            </w:r>
          </w:p>
        </w:tc>
        <w:tc>
          <w:tcPr>
            <w:tcW w:w="1890" w:type="dxa"/>
            <w:gridSpan w:val="2"/>
            <w:tcBorders>
              <w:tl2br w:val="nil"/>
              <w:tr2bl w:val="nil"/>
            </w:tcBorders>
            <w:vAlign w:val="center"/>
          </w:tcPr>
          <w:p w14:paraId="7FC99DB0">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兽医室</w:t>
            </w:r>
          </w:p>
        </w:tc>
        <w:tc>
          <w:tcPr>
            <w:tcW w:w="1200" w:type="dxa"/>
            <w:tcBorders>
              <w:tl2br w:val="nil"/>
              <w:tr2bl w:val="nil"/>
            </w:tcBorders>
            <w:vAlign w:val="center"/>
          </w:tcPr>
          <w:p w14:paraId="79BE4AFB">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60</w:t>
            </w:r>
          </w:p>
        </w:tc>
        <w:tc>
          <w:tcPr>
            <w:tcW w:w="832" w:type="dxa"/>
            <w:tcBorders>
              <w:tl2br w:val="nil"/>
              <w:tr2bl w:val="nil"/>
            </w:tcBorders>
            <w:vAlign w:val="center"/>
          </w:tcPr>
          <w:p w14:paraId="5C4D6026">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5D4AEEBC">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30*30*3</w:t>
            </w:r>
          </w:p>
        </w:tc>
        <w:tc>
          <w:tcPr>
            <w:tcW w:w="2510" w:type="dxa"/>
            <w:tcBorders>
              <w:tl2br w:val="nil"/>
              <w:tr2bl w:val="nil"/>
            </w:tcBorders>
            <w:vAlign w:val="center"/>
          </w:tcPr>
          <w:p w14:paraId="6862D46F">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none"/>
                <w:lang w:val="en-US" w:eastAsia="zh-CN" w:bidi="ar"/>
              </w:rPr>
              <w:t>混凝土基础+钢结构</w:t>
            </w:r>
          </w:p>
        </w:tc>
      </w:tr>
      <w:tr w14:paraId="5A704A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01DD3D24">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9</w:t>
            </w:r>
          </w:p>
        </w:tc>
        <w:tc>
          <w:tcPr>
            <w:tcW w:w="1890" w:type="dxa"/>
            <w:gridSpan w:val="2"/>
            <w:tcBorders>
              <w:tl2br w:val="nil"/>
              <w:tr2bl w:val="nil"/>
            </w:tcBorders>
            <w:vAlign w:val="center"/>
          </w:tcPr>
          <w:p w14:paraId="13836115">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粪污储存间</w:t>
            </w:r>
          </w:p>
        </w:tc>
        <w:tc>
          <w:tcPr>
            <w:tcW w:w="1200" w:type="dxa"/>
            <w:tcBorders>
              <w:tl2br w:val="nil"/>
              <w:tr2bl w:val="nil"/>
            </w:tcBorders>
            <w:vAlign w:val="center"/>
          </w:tcPr>
          <w:p w14:paraId="4765EC42">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3500</w:t>
            </w:r>
          </w:p>
        </w:tc>
        <w:tc>
          <w:tcPr>
            <w:tcW w:w="832" w:type="dxa"/>
            <w:tcBorders>
              <w:tl2br w:val="nil"/>
              <w:tr2bl w:val="nil"/>
            </w:tcBorders>
            <w:vAlign w:val="center"/>
          </w:tcPr>
          <w:p w14:paraId="58AC6106">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009F2753">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50*70*18</w:t>
            </w:r>
          </w:p>
        </w:tc>
        <w:tc>
          <w:tcPr>
            <w:tcW w:w="2510" w:type="dxa"/>
            <w:tcBorders>
              <w:tl2br w:val="nil"/>
              <w:tr2bl w:val="nil"/>
            </w:tcBorders>
            <w:vAlign w:val="center"/>
          </w:tcPr>
          <w:p w14:paraId="57F50C3E">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none"/>
                <w:lang w:val="en-US" w:eastAsia="zh-CN" w:bidi="ar"/>
              </w:rPr>
              <w:t>混凝土结构</w:t>
            </w:r>
          </w:p>
        </w:tc>
      </w:tr>
      <w:tr w14:paraId="67722C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6CAED1F8">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10</w:t>
            </w:r>
          </w:p>
        </w:tc>
        <w:tc>
          <w:tcPr>
            <w:tcW w:w="1890" w:type="dxa"/>
            <w:gridSpan w:val="2"/>
            <w:tcBorders>
              <w:tl2br w:val="nil"/>
              <w:tr2bl w:val="nil"/>
            </w:tcBorders>
            <w:vAlign w:val="center"/>
          </w:tcPr>
          <w:p w14:paraId="005B1D40">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办公楼</w:t>
            </w:r>
          </w:p>
        </w:tc>
        <w:tc>
          <w:tcPr>
            <w:tcW w:w="1200" w:type="dxa"/>
            <w:tcBorders>
              <w:tl2br w:val="nil"/>
              <w:tr2bl w:val="nil"/>
            </w:tcBorders>
            <w:vAlign w:val="center"/>
          </w:tcPr>
          <w:p w14:paraId="290FC54F">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300</w:t>
            </w:r>
          </w:p>
        </w:tc>
        <w:tc>
          <w:tcPr>
            <w:tcW w:w="832" w:type="dxa"/>
            <w:tcBorders>
              <w:tl2br w:val="nil"/>
              <w:tr2bl w:val="nil"/>
            </w:tcBorders>
            <w:vAlign w:val="center"/>
          </w:tcPr>
          <w:p w14:paraId="5153C15D">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1B26CF99">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15*20*4</w:t>
            </w:r>
          </w:p>
        </w:tc>
        <w:tc>
          <w:tcPr>
            <w:tcW w:w="2510" w:type="dxa"/>
            <w:tcBorders>
              <w:tl2br w:val="nil"/>
              <w:tr2bl w:val="nil"/>
            </w:tcBorders>
            <w:vAlign w:val="center"/>
          </w:tcPr>
          <w:p w14:paraId="56654A03">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none"/>
                <w:lang w:val="en-US" w:eastAsia="zh-CN" w:bidi="ar"/>
              </w:rPr>
              <w:t>砖混结构</w:t>
            </w:r>
          </w:p>
        </w:tc>
      </w:tr>
      <w:tr w14:paraId="6A640C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95" w:type="dxa"/>
            <w:tcBorders>
              <w:tl2br w:val="nil"/>
              <w:tr2bl w:val="nil"/>
            </w:tcBorders>
            <w:vAlign w:val="center"/>
          </w:tcPr>
          <w:p w14:paraId="19E27F66">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11</w:t>
            </w:r>
          </w:p>
        </w:tc>
        <w:tc>
          <w:tcPr>
            <w:tcW w:w="1890" w:type="dxa"/>
            <w:gridSpan w:val="2"/>
            <w:tcBorders>
              <w:tl2br w:val="nil"/>
              <w:tr2bl w:val="nil"/>
            </w:tcBorders>
            <w:vAlign w:val="center"/>
          </w:tcPr>
          <w:p w14:paraId="2246B797">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医废储存间</w:t>
            </w:r>
          </w:p>
        </w:tc>
        <w:tc>
          <w:tcPr>
            <w:tcW w:w="1200" w:type="dxa"/>
            <w:tcBorders>
              <w:tl2br w:val="nil"/>
              <w:tr2bl w:val="nil"/>
            </w:tcBorders>
            <w:vAlign w:val="center"/>
          </w:tcPr>
          <w:p w14:paraId="72C7ADCE">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20</w:t>
            </w:r>
          </w:p>
        </w:tc>
        <w:tc>
          <w:tcPr>
            <w:tcW w:w="832" w:type="dxa"/>
            <w:tcBorders>
              <w:tl2br w:val="nil"/>
              <w:tr2bl w:val="nil"/>
            </w:tcBorders>
            <w:vAlign w:val="center"/>
          </w:tcPr>
          <w:p w14:paraId="0918F922">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2"/>
                <w:sz w:val="21"/>
                <w:szCs w:val="21"/>
                <w:highlight w:val="none"/>
                <w:vertAlign w:val="baseline"/>
                <w:lang w:val="en-US" w:eastAsia="zh-CN"/>
              </w:rPr>
            </w:pPr>
            <w:r>
              <w:rPr>
                <w:rFonts w:hint="default" w:ascii="Times New Roman" w:hAnsi="Times New Roman" w:eastAsia="宋体" w:cs="Times New Roman"/>
                <w:color w:val="auto"/>
                <w:spacing w:val="-2"/>
                <w:sz w:val="21"/>
                <w:szCs w:val="21"/>
                <w:highlight w:val="none"/>
                <w:vertAlign w:val="baseline"/>
                <w:lang w:val="en-US" w:eastAsia="zh-CN"/>
              </w:rPr>
              <w:t>1</w:t>
            </w:r>
          </w:p>
        </w:tc>
        <w:tc>
          <w:tcPr>
            <w:tcW w:w="1300" w:type="dxa"/>
            <w:tcBorders>
              <w:tl2br w:val="nil"/>
              <w:tr2bl w:val="nil"/>
            </w:tcBorders>
            <w:vAlign w:val="center"/>
          </w:tcPr>
          <w:p w14:paraId="60F546BD">
            <w:pPr>
              <w:keepNext w:val="0"/>
              <w:keepLines w:val="0"/>
              <w:pageBreakBefore w:val="0"/>
              <w:widowControl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FF0000"/>
                <w:spacing w:val="-2"/>
                <w:sz w:val="21"/>
                <w:szCs w:val="21"/>
                <w:highlight w:val="none"/>
                <w:vertAlign w:val="baseline"/>
                <w:lang w:val="en-US" w:eastAsia="zh-CN"/>
              </w:rPr>
            </w:pPr>
            <w:r>
              <w:rPr>
                <w:rFonts w:hint="default" w:ascii="Times New Roman" w:hAnsi="Times New Roman" w:eastAsia="宋体" w:cs="Times New Roman"/>
                <w:color w:val="FF0000"/>
                <w:spacing w:val="-2"/>
                <w:sz w:val="21"/>
                <w:szCs w:val="21"/>
                <w:highlight w:val="none"/>
                <w:vertAlign w:val="baseline"/>
                <w:lang w:val="en-US" w:eastAsia="zh-CN"/>
              </w:rPr>
              <w:t>4*5*4</w:t>
            </w:r>
          </w:p>
        </w:tc>
        <w:tc>
          <w:tcPr>
            <w:tcW w:w="2510" w:type="dxa"/>
            <w:tcBorders>
              <w:tl2br w:val="nil"/>
              <w:tr2bl w:val="nil"/>
            </w:tcBorders>
            <w:vAlign w:val="center"/>
          </w:tcPr>
          <w:p w14:paraId="45817777">
            <w:pPr>
              <w:keepNext w:val="0"/>
              <w:keepLines w:val="0"/>
              <w:pageBreakBefore w:val="0"/>
              <w:widowControl/>
              <w:suppressLineNumbers w:val="0"/>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none"/>
                <w:lang w:val="en-US" w:eastAsia="zh-CN" w:bidi="ar"/>
              </w:rPr>
              <w:t>混凝土基础+钢结构</w:t>
            </w:r>
          </w:p>
        </w:tc>
      </w:tr>
    </w:tbl>
    <w:p w14:paraId="2259A891">
      <w:pPr>
        <w:keepNext w:val="0"/>
        <w:keepLines w:val="0"/>
        <w:pageBreakBefore w:val="0"/>
        <w:kinsoku/>
        <w:wordWrap w:val="0"/>
        <w:overflowPunct/>
        <w:topLinePunct/>
        <w:autoSpaceDE/>
        <w:autoSpaceDN/>
        <w:bidi w:val="0"/>
        <w:adjustRightInd w:val="0"/>
        <w:snapToGrid w:val="0"/>
        <w:spacing w:before="33" w:line="214" w:lineRule="auto"/>
        <w:ind w:left="3244"/>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3.1-</w:t>
      </w:r>
      <w:r>
        <w:rPr>
          <w:rFonts w:hint="default" w:ascii="Times New Roman" w:hAnsi="Times New Roman" w:eastAsia="宋体" w:cs="Times New Roman"/>
          <w:b/>
          <w:bCs/>
          <w:color w:val="auto"/>
          <w:spacing w:val="-2"/>
          <w:sz w:val="24"/>
          <w:szCs w:val="24"/>
          <w:highlight w:val="none"/>
          <w:lang w:val="en-US" w:eastAsia="zh-CN"/>
        </w:rPr>
        <w:t>3</w:t>
      </w:r>
      <w:r>
        <w:rPr>
          <w:rFonts w:hint="default" w:ascii="Times New Roman" w:hAnsi="Times New Roman" w:eastAsia="宋体" w:cs="Times New Roman"/>
          <w:b/>
          <w:bCs/>
          <w:color w:val="auto"/>
          <w:spacing w:val="-2"/>
          <w:sz w:val="24"/>
          <w:szCs w:val="24"/>
          <w:highlight w:val="none"/>
        </w:rPr>
        <w:t>主要设备一览表</w:t>
      </w:r>
    </w:p>
    <w:tbl>
      <w:tblPr>
        <w:tblStyle w:val="34"/>
        <w:tblW w:w="8530" w:type="dxa"/>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
      <w:tblGrid>
        <w:gridCol w:w="925"/>
        <w:gridCol w:w="4227"/>
        <w:gridCol w:w="1690"/>
        <w:gridCol w:w="1688"/>
      </w:tblGrid>
      <w:tr w14:paraId="6107F56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50CAACDC">
            <w:pPr>
              <w:keepNext w:val="0"/>
              <w:keepLines w:val="0"/>
              <w:pageBreakBefore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序号</w:t>
            </w:r>
          </w:p>
        </w:tc>
        <w:tc>
          <w:tcPr>
            <w:tcW w:w="4227" w:type="dxa"/>
            <w:tcBorders>
              <w:tl2br w:val="nil"/>
              <w:tr2bl w:val="nil"/>
            </w:tcBorders>
            <w:vAlign w:val="center"/>
          </w:tcPr>
          <w:p w14:paraId="13F3271D">
            <w:pPr>
              <w:keepNext w:val="0"/>
              <w:keepLines w:val="0"/>
              <w:pageBreakBefore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生产设备</w:t>
            </w:r>
          </w:p>
        </w:tc>
        <w:tc>
          <w:tcPr>
            <w:tcW w:w="1690" w:type="dxa"/>
            <w:tcBorders>
              <w:tl2br w:val="nil"/>
              <w:tr2bl w:val="nil"/>
            </w:tcBorders>
            <w:vAlign w:val="center"/>
          </w:tcPr>
          <w:p w14:paraId="357F8949">
            <w:pPr>
              <w:keepNext w:val="0"/>
              <w:keepLines w:val="0"/>
              <w:pageBreakBefore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单位</w:t>
            </w:r>
          </w:p>
        </w:tc>
        <w:tc>
          <w:tcPr>
            <w:tcW w:w="1688" w:type="dxa"/>
            <w:tcBorders>
              <w:tl2br w:val="nil"/>
              <w:tr2bl w:val="nil"/>
            </w:tcBorders>
            <w:vAlign w:val="center"/>
          </w:tcPr>
          <w:p w14:paraId="433EA8EB">
            <w:pPr>
              <w:keepNext w:val="0"/>
              <w:keepLines w:val="0"/>
              <w:pageBreakBefore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数量</w:t>
            </w:r>
          </w:p>
        </w:tc>
      </w:tr>
      <w:tr w14:paraId="40862F76">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05E4D328">
            <w:pPr>
              <w:keepNext w:val="0"/>
              <w:keepLines w:val="0"/>
              <w:pageBreakBefore w:val="0"/>
              <w:kinsoku/>
              <w:wordWrap w:val="0"/>
              <w:overflowPunct/>
              <w:topLinePunct/>
              <w:autoSpaceDE/>
              <w:autoSpaceDN/>
              <w:bidi w:val="0"/>
              <w:adjustRightInd w:val="0"/>
              <w:snapToGrid w:val="0"/>
              <w:spacing w:before="91" w:line="236"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7605" w:type="dxa"/>
            <w:gridSpan w:val="3"/>
            <w:tcBorders>
              <w:tl2br w:val="nil"/>
              <w:tr2bl w:val="nil"/>
            </w:tcBorders>
            <w:vAlign w:val="center"/>
          </w:tcPr>
          <w:p w14:paraId="2D836F4A">
            <w:pPr>
              <w:pStyle w:val="35"/>
              <w:keepNext w:val="0"/>
              <w:keepLines w:val="0"/>
              <w:pageBreakBefore w:val="0"/>
              <w:kinsoku/>
              <w:wordWrap w:val="0"/>
              <w:overflowPunct/>
              <w:topLinePunct/>
              <w:autoSpaceDE/>
              <w:autoSpaceDN/>
              <w:bidi w:val="0"/>
              <w:adjustRightInd w:val="0"/>
              <w:snapToGrid w:val="0"/>
              <w:spacing w:before="60" w:line="221" w:lineRule="auto"/>
              <w:ind w:left="348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养殖区</w:t>
            </w:r>
          </w:p>
        </w:tc>
      </w:tr>
      <w:tr w14:paraId="1D5C2A8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3F272030">
            <w:pPr>
              <w:keepNext w:val="0"/>
              <w:keepLines w:val="0"/>
              <w:pageBreakBefore w:val="0"/>
              <w:kinsoku/>
              <w:wordWrap w:val="0"/>
              <w:overflowPunct/>
              <w:topLinePunct/>
              <w:autoSpaceDE/>
              <w:autoSpaceDN/>
              <w:bidi w:val="0"/>
              <w:adjustRightInd w:val="0"/>
              <w:snapToGrid w:val="0"/>
              <w:spacing w:before="90"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5"/>
                <w:sz w:val="21"/>
                <w:szCs w:val="21"/>
                <w:highlight w:val="none"/>
              </w:rPr>
              <w:t>1.1</w:t>
            </w:r>
          </w:p>
        </w:tc>
        <w:tc>
          <w:tcPr>
            <w:tcW w:w="4227" w:type="dxa"/>
            <w:tcBorders>
              <w:tl2br w:val="nil"/>
              <w:tr2bl w:val="nil"/>
            </w:tcBorders>
            <w:vAlign w:val="center"/>
          </w:tcPr>
          <w:p w14:paraId="2529BCFD">
            <w:pPr>
              <w:pStyle w:val="35"/>
              <w:keepNext w:val="0"/>
              <w:keepLines w:val="0"/>
              <w:pageBreakBefore w:val="0"/>
              <w:kinsoku/>
              <w:wordWrap w:val="0"/>
              <w:overflowPunct/>
              <w:topLinePunct/>
              <w:autoSpaceDE/>
              <w:autoSpaceDN/>
              <w:bidi w:val="0"/>
              <w:adjustRightInd w:val="0"/>
              <w:snapToGrid w:val="0"/>
              <w:spacing w:before="62" w:line="220" w:lineRule="auto"/>
              <w:ind w:left="190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风机</w:t>
            </w:r>
          </w:p>
        </w:tc>
        <w:tc>
          <w:tcPr>
            <w:tcW w:w="1690" w:type="dxa"/>
            <w:tcBorders>
              <w:tl2br w:val="nil"/>
              <w:tr2bl w:val="nil"/>
            </w:tcBorders>
            <w:vAlign w:val="center"/>
          </w:tcPr>
          <w:p w14:paraId="3CB57FCC">
            <w:pPr>
              <w:pStyle w:val="35"/>
              <w:keepNext w:val="0"/>
              <w:keepLines w:val="0"/>
              <w:pageBreakBefore w:val="0"/>
              <w:kinsoku/>
              <w:wordWrap w:val="0"/>
              <w:overflowPunct/>
              <w:topLinePunct/>
              <w:autoSpaceDE/>
              <w:autoSpaceDN/>
              <w:bidi w:val="0"/>
              <w:adjustRightInd w:val="0"/>
              <w:snapToGrid w:val="0"/>
              <w:spacing w:before="62" w:line="221" w:lineRule="auto"/>
              <w:ind w:left="743"/>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个</w:t>
            </w:r>
          </w:p>
        </w:tc>
        <w:tc>
          <w:tcPr>
            <w:tcW w:w="1688" w:type="dxa"/>
            <w:tcBorders>
              <w:tl2br w:val="nil"/>
              <w:tr2bl w:val="nil"/>
            </w:tcBorders>
            <w:vAlign w:val="center"/>
          </w:tcPr>
          <w:p w14:paraId="19AFEC74">
            <w:pPr>
              <w:keepNext w:val="0"/>
              <w:keepLines w:val="0"/>
              <w:pageBreakBefore w:val="0"/>
              <w:kinsoku/>
              <w:wordWrap w:val="0"/>
              <w:overflowPunct/>
              <w:topLinePunct/>
              <w:autoSpaceDE/>
              <w:autoSpaceDN/>
              <w:bidi w:val="0"/>
              <w:adjustRightInd w:val="0"/>
              <w:snapToGrid w:val="0"/>
              <w:spacing w:before="89" w:line="234" w:lineRule="auto"/>
              <w:ind w:left="74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80</w:t>
            </w:r>
          </w:p>
        </w:tc>
      </w:tr>
      <w:tr w14:paraId="5AD0C7E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294E9A3D">
            <w:pPr>
              <w:keepNext w:val="0"/>
              <w:keepLines w:val="0"/>
              <w:pageBreakBefore w:val="0"/>
              <w:kinsoku/>
              <w:wordWrap w:val="0"/>
              <w:overflowPunct/>
              <w:topLinePunct/>
              <w:autoSpaceDE/>
              <w:autoSpaceDN/>
              <w:bidi w:val="0"/>
              <w:adjustRightInd w:val="0"/>
              <w:snapToGrid w:val="0"/>
              <w:spacing w:before="91"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5"/>
                <w:sz w:val="21"/>
                <w:szCs w:val="21"/>
                <w:highlight w:val="none"/>
              </w:rPr>
              <w:t>1.2</w:t>
            </w:r>
          </w:p>
        </w:tc>
        <w:tc>
          <w:tcPr>
            <w:tcW w:w="4227" w:type="dxa"/>
            <w:tcBorders>
              <w:tl2br w:val="nil"/>
              <w:tr2bl w:val="nil"/>
            </w:tcBorders>
            <w:vAlign w:val="center"/>
          </w:tcPr>
          <w:p w14:paraId="7BF6C972">
            <w:pPr>
              <w:pStyle w:val="35"/>
              <w:keepNext w:val="0"/>
              <w:keepLines w:val="0"/>
              <w:pageBreakBefore w:val="0"/>
              <w:kinsoku/>
              <w:wordWrap w:val="0"/>
              <w:overflowPunct/>
              <w:topLinePunct/>
              <w:autoSpaceDE/>
              <w:autoSpaceDN/>
              <w:bidi w:val="0"/>
              <w:adjustRightInd w:val="0"/>
              <w:snapToGrid w:val="0"/>
              <w:spacing w:before="63" w:line="221" w:lineRule="auto"/>
              <w:ind w:left="1695"/>
              <w:textAlignment w:val="baseline"/>
              <w:rPr>
                <w:rFonts w:hint="default" w:ascii="Times New Roman" w:hAnsi="Times New Roman" w:eastAsia="宋体" w:cs="Times New Roman"/>
                <w:color w:val="FF0000"/>
                <w:highlight w:val="none"/>
                <w:lang w:val="en-US" w:eastAsia="zh-CN"/>
              </w:rPr>
            </w:pPr>
            <w:r>
              <w:rPr>
                <w:rFonts w:hint="default" w:ascii="Times New Roman" w:hAnsi="Times New Roman" w:cs="Times New Roman"/>
                <w:color w:val="FF0000"/>
                <w:spacing w:val="-2"/>
                <w:highlight w:val="none"/>
              </w:rPr>
              <w:t>饮水</w:t>
            </w:r>
            <w:r>
              <w:rPr>
                <w:rFonts w:hint="default" w:ascii="Times New Roman" w:hAnsi="Times New Roman" w:cs="Times New Roman"/>
                <w:color w:val="FF0000"/>
                <w:spacing w:val="-2"/>
                <w:highlight w:val="none"/>
                <w:lang w:val="en-US" w:eastAsia="zh-CN"/>
              </w:rPr>
              <w:t>系统</w:t>
            </w:r>
          </w:p>
        </w:tc>
        <w:tc>
          <w:tcPr>
            <w:tcW w:w="1690" w:type="dxa"/>
            <w:tcBorders>
              <w:tl2br w:val="nil"/>
              <w:tr2bl w:val="nil"/>
            </w:tcBorders>
            <w:vAlign w:val="center"/>
          </w:tcPr>
          <w:p w14:paraId="44F45DF3">
            <w:pPr>
              <w:pStyle w:val="35"/>
              <w:keepNext w:val="0"/>
              <w:keepLines w:val="0"/>
              <w:pageBreakBefore w:val="0"/>
              <w:kinsoku/>
              <w:wordWrap w:val="0"/>
              <w:overflowPunct/>
              <w:topLinePunct/>
              <w:autoSpaceDE/>
              <w:autoSpaceDN/>
              <w:bidi w:val="0"/>
              <w:adjustRightInd w:val="0"/>
              <w:snapToGrid w:val="0"/>
              <w:spacing w:before="63" w:line="221" w:lineRule="auto"/>
              <w:ind w:left="743"/>
              <w:textAlignment w:val="baseline"/>
              <w:rPr>
                <w:rFonts w:hint="default" w:ascii="Times New Roman" w:hAnsi="Times New Roman" w:cs="Times New Roman"/>
                <w:color w:val="FF0000"/>
                <w:highlight w:val="none"/>
              </w:rPr>
            </w:pPr>
            <w:r>
              <w:rPr>
                <w:rFonts w:hint="default" w:ascii="Times New Roman" w:hAnsi="Times New Roman" w:cs="Times New Roman"/>
                <w:color w:val="FF0000"/>
                <w:highlight w:val="none"/>
              </w:rPr>
              <w:t>个</w:t>
            </w:r>
          </w:p>
        </w:tc>
        <w:tc>
          <w:tcPr>
            <w:tcW w:w="1688" w:type="dxa"/>
            <w:tcBorders>
              <w:tl2br w:val="nil"/>
              <w:tr2bl w:val="nil"/>
            </w:tcBorders>
            <w:vAlign w:val="center"/>
          </w:tcPr>
          <w:p w14:paraId="3F92A3DC">
            <w:pPr>
              <w:keepNext w:val="0"/>
              <w:keepLines w:val="0"/>
              <w:pageBreakBefore w:val="0"/>
              <w:kinsoku/>
              <w:wordWrap w:val="0"/>
              <w:overflowPunct/>
              <w:topLinePunct/>
              <w:autoSpaceDE/>
              <w:autoSpaceDN/>
              <w:bidi w:val="0"/>
              <w:adjustRightInd w:val="0"/>
              <w:snapToGrid w:val="0"/>
              <w:spacing w:before="91" w:line="234"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2"/>
                <w:sz w:val="21"/>
                <w:szCs w:val="21"/>
                <w:highlight w:val="none"/>
                <w:lang w:val="en-US" w:eastAsia="zh-CN"/>
              </w:rPr>
              <w:t>1</w:t>
            </w:r>
          </w:p>
        </w:tc>
      </w:tr>
      <w:tr w14:paraId="21782EA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68DBF545">
            <w:pPr>
              <w:keepNext w:val="0"/>
              <w:keepLines w:val="0"/>
              <w:pageBreakBefore w:val="0"/>
              <w:kinsoku/>
              <w:wordWrap w:val="0"/>
              <w:overflowPunct/>
              <w:topLinePunct/>
              <w:autoSpaceDE/>
              <w:autoSpaceDN/>
              <w:bidi w:val="0"/>
              <w:adjustRightInd w:val="0"/>
              <w:snapToGrid w:val="0"/>
              <w:spacing w:before="91"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5"/>
                <w:sz w:val="21"/>
                <w:szCs w:val="21"/>
                <w:highlight w:val="none"/>
              </w:rPr>
              <w:t>1.3</w:t>
            </w:r>
          </w:p>
        </w:tc>
        <w:tc>
          <w:tcPr>
            <w:tcW w:w="4227" w:type="dxa"/>
            <w:tcBorders>
              <w:tl2br w:val="nil"/>
              <w:tr2bl w:val="nil"/>
            </w:tcBorders>
            <w:vAlign w:val="center"/>
          </w:tcPr>
          <w:p w14:paraId="71776E3B">
            <w:pPr>
              <w:pStyle w:val="35"/>
              <w:keepNext w:val="0"/>
              <w:keepLines w:val="0"/>
              <w:pageBreakBefore w:val="0"/>
              <w:kinsoku/>
              <w:wordWrap w:val="0"/>
              <w:overflowPunct/>
              <w:topLinePunct/>
              <w:autoSpaceDE/>
              <w:autoSpaceDN/>
              <w:bidi w:val="0"/>
              <w:adjustRightInd w:val="0"/>
              <w:snapToGrid w:val="0"/>
              <w:spacing w:before="64" w:line="221" w:lineRule="auto"/>
              <w:ind w:left="1706"/>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4"/>
                <w:highlight w:val="none"/>
              </w:rPr>
              <w:t>喂料</w:t>
            </w:r>
            <w:r>
              <w:rPr>
                <w:rFonts w:hint="default" w:ascii="Times New Roman" w:hAnsi="Times New Roman" w:cs="Times New Roman"/>
                <w:color w:val="FF0000"/>
                <w:spacing w:val="-2"/>
                <w:highlight w:val="none"/>
                <w:lang w:val="en-US" w:eastAsia="zh-CN"/>
              </w:rPr>
              <w:t>系统</w:t>
            </w:r>
          </w:p>
        </w:tc>
        <w:tc>
          <w:tcPr>
            <w:tcW w:w="1690" w:type="dxa"/>
            <w:tcBorders>
              <w:tl2br w:val="nil"/>
              <w:tr2bl w:val="nil"/>
            </w:tcBorders>
            <w:vAlign w:val="center"/>
          </w:tcPr>
          <w:p w14:paraId="6C691DDC">
            <w:pPr>
              <w:pStyle w:val="35"/>
              <w:keepNext w:val="0"/>
              <w:keepLines w:val="0"/>
              <w:pageBreakBefore w:val="0"/>
              <w:kinsoku/>
              <w:wordWrap w:val="0"/>
              <w:overflowPunct/>
              <w:topLinePunct/>
              <w:autoSpaceDE/>
              <w:autoSpaceDN/>
              <w:bidi w:val="0"/>
              <w:adjustRightInd w:val="0"/>
              <w:snapToGrid w:val="0"/>
              <w:spacing w:before="63" w:line="221" w:lineRule="auto"/>
              <w:ind w:left="743"/>
              <w:textAlignment w:val="baseline"/>
              <w:rPr>
                <w:rFonts w:hint="default" w:ascii="Times New Roman" w:hAnsi="Times New Roman" w:cs="Times New Roman"/>
                <w:color w:val="FF0000"/>
                <w:highlight w:val="none"/>
              </w:rPr>
            </w:pPr>
            <w:r>
              <w:rPr>
                <w:rFonts w:hint="default" w:ascii="Times New Roman" w:hAnsi="Times New Roman" w:cs="Times New Roman"/>
                <w:color w:val="FF0000"/>
                <w:highlight w:val="none"/>
              </w:rPr>
              <w:t>个</w:t>
            </w:r>
          </w:p>
        </w:tc>
        <w:tc>
          <w:tcPr>
            <w:tcW w:w="1688" w:type="dxa"/>
            <w:tcBorders>
              <w:tl2br w:val="nil"/>
              <w:tr2bl w:val="nil"/>
            </w:tcBorders>
            <w:vAlign w:val="center"/>
          </w:tcPr>
          <w:p w14:paraId="2252A274">
            <w:pPr>
              <w:keepNext w:val="0"/>
              <w:keepLines w:val="0"/>
              <w:pageBreakBefore w:val="0"/>
              <w:kinsoku/>
              <w:wordWrap w:val="0"/>
              <w:overflowPunct/>
              <w:topLinePunct/>
              <w:autoSpaceDE/>
              <w:autoSpaceDN/>
              <w:bidi w:val="0"/>
              <w:adjustRightInd w:val="0"/>
              <w:snapToGrid w:val="0"/>
              <w:spacing w:before="91" w:line="234" w:lineRule="auto"/>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w:t>
            </w:r>
          </w:p>
        </w:tc>
      </w:tr>
      <w:tr w14:paraId="1293B0A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02D2F689">
            <w:pPr>
              <w:keepNext w:val="0"/>
              <w:keepLines w:val="0"/>
              <w:pageBreakBefore w:val="0"/>
              <w:kinsoku/>
              <w:wordWrap w:val="0"/>
              <w:overflowPunct/>
              <w:topLinePunct/>
              <w:autoSpaceDE/>
              <w:autoSpaceDN/>
              <w:bidi w:val="0"/>
              <w:adjustRightInd w:val="0"/>
              <w:snapToGrid w:val="0"/>
              <w:spacing w:before="95"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5"/>
                <w:sz w:val="21"/>
                <w:szCs w:val="21"/>
                <w:highlight w:val="none"/>
              </w:rPr>
              <w:t>1.4</w:t>
            </w:r>
          </w:p>
        </w:tc>
        <w:tc>
          <w:tcPr>
            <w:tcW w:w="4227" w:type="dxa"/>
            <w:tcBorders>
              <w:tl2br w:val="nil"/>
              <w:tr2bl w:val="nil"/>
            </w:tcBorders>
            <w:vAlign w:val="center"/>
          </w:tcPr>
          <w:p w14:paraId="5C90E471">
            <w:pPr>
              <w:pStyle w:val="35"/>
              <w:keepNext w:val="0"/>
              <w:keepLines w:val="0"/>
              <w:pageBreakBefore w:val="0"/>
              <w:kinsoku/>
              <w:wordWrap w:val="0"/>
              <w:overflowPunct/>
              <w:topLinePunct/>
              <w:autoSpaceDE/>
              <w:autoSpaceDN/>
              <w:bidi w:val="0"/>
              <w:adjustRightInd w:val="0"/>
              <w:snapToGrid w:val="0"/>
              <w:spacing w:before="67" w:line="220" w:lineRule="auto"/>
              <w:ind w:left="179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装卸机</w:t>
            </w:r>
          </w:p>
        </w:tc>
        <w:tc>
          <w:tcPr>
            <w:tcW w:w="1690" w:type="dxa"/>
            <w:tcBorders>
              <w:tl2br w:val="nil"/>
              <w:tr2bl w:val="nil"/>
            </w:tcBorders>
            <w:vAlign w:val="center"/>
          </w:tcPr>
          <w:p w14:paraId="5CE79DE7">
            <w:pPr>
              <w:pStyle w:val="35"/>
              <w:keepNext w:val="0"/>
              <w:keepLines w:val="0"/>
              <w:pageBreakBefore w:val="0"/>
              <w:kinsoku/>
              <w:wordWrap w:val="0"/>
              <w:overflowPunct/>
              <w:topLinePunct/>
              <w:autoSpaceDE/>
              <w:autoSpaceDN/>
              <w:bidi w:val="0"/>
              <w:adjustRightInd w:val="0"/>
              <w:snapToGrid w:val="0"/>
              <w:spacing w:before="66" w:line="223" w:lineRule="auto"/>
              <w:ind w:left="759"/>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台</w:t>
            </w:r>
          </w:p>
        </w:tc>
        <w:tc>
          <w:tcPr>
            <w:tcW w:w="1688" w:type="dxa"/>
            <w:tcBorders>
              <w:tl2br w:val="nil"/>
              <w:tr2bl w:val="nil"/>
            </w:tcBorders>
            <w:vAlign w:val="center"/>
          </w:tcPr>
          <w:p w14:paraId="5AB3C5BC">
            <w:pPr>
              <w:keepNext w:val="0"/>
              <w:keepLines w:val="0"/>
              <w:pageBreakBefore w:val="0"/>
              <w:kinsoku/>
              <w:wordWrap w:val="0"/>
              <w:overflowPunct/>
              <w:topLinePunct/>
              <w:autoSpaceDE/>
              <w:autoSpaceDN/>
              <w:bidi w:val="0"/>
              <w:adjustRightInd w:val="0"/>
              <w:snapToGrid w:val="0"/>
              <w:spacing w:before="94" w:line="234" w:lineRule="auto"/>
              <w:ind w:left="791"/>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r>
      <w:tr w14:paraId="5CF8DCA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321B4888">
            <w:pPr>
              <w:keepNext w:val="0"/>
              <w:keepLines w:val="0"/>
              <w:pageBreakBefore w:val="0"/>
              <w:kinsoku/>
              <w:wordWrap w:val="0"/>
              <w:overflowPunct/>
              <w:topLinePunct/>
              <w:autoSpaceDE/>
              <w:autoSpaceDN/>
              <w:bidi w:val="0"/>
              <w:adjustRightInd w:val="0"/>
              <w:snapToGrid w:val="0"/>
              <w:spacing w:before="96"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5"/>
                <w:sz w:val="21"/>
                <w:szCs w:val="21"/>
                <w:highlight w:val="none"/>
              </w:rPr>
              <w:t>1.5</w:t>
            </w:r>
          </w:p>
        </w:tc>
        <w:tc>
          <w:tcPr>
            <w:tcW w:w="4227" w:type="dxa"/>
            <w:tcBorders>
              <w:tl2br w:val="nil"/>
              <w:tr2bl w:val="nil"/>
            </w:tcBorders>
            <w:vAlign w:val="center"/>
          </w:tcPr>
          <w:p w14:paraId="7A5AE5CC">
            <w:pPr>
              <w:pStyle w:val="35"/>
              <w:keepNext w:val="0"/>
              <w:keepLines w:val="0"/>
              <w:pageBreakBefore w:val="0"/>
              <w:kinsoku/>
              <w:wordWrap w:val="0"/>
              <w:overflowPunct/>
              <w:topLinePunct/>
              <w:autoSpaceDE/>
              <w:autoSpaceDN/>
              <w:bidi w:val="0"/>
              <w:adjustRightInd w:val="0"/>
              <w:snapToGrid w:val="0"/>
              <w:spacing w:before="68" w:line="220" w:lineRule="auto"/>
              <w:ind w:left="179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转载机</w:t>
            </w:r>
          </w:p>
        </w:tc>
        <w:tc>
          <w:tcPr>
            <w:tcW w:w="1690" w:type="dxa"/>
            <w:tcBorders>
              <w:tl2br w:val="nil"/>
              <w:tr2bl w:val="nil"/>
            </w:tcBorders>
            <w:vAlign w:val="center"/>
          </w:tcPr>
          <w:p w14:paraId="125D020E">
            <w:pPr>
              <w:pStyle w:val="35"/>
              <w:keepNext w:val="0"/>
              <w:keepLines w:val="0"/>
              <w:pageBreakBefore w:val="0"/>
              <w:kinsoku/>
              <w:wordWrap w:val="0"/>
              <w:overflowPunct/>
              <w:topLinePunct/>
              <w:autoSpaceDE/>
              <w:autoSpaceDN/>
              <w:bidi w:val="0"/>
              <w:adjustRightInd w:val="0"/>
              <w:snapToGrid w:val="0"/>
              <w:spacing w:before="68" w:line="223" w:lineRule="auto"/>
              <w:ind w:left="759"/>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台</w:t>
            </w:r>
          </w:p>
        </w:tc>
        <w:tc>
          <w:tcPr>
            <w:tcW w:w="1688" w:type="dxa"/>
            <w:tcBorders>
              <w:tl2br w:val="nil"/>
              <w:tr2bl w:val="nil"/>
            </w:tcBorders>
            <w:vAlign w:val="center"/>
          </w:tcPr>
          <w:p w14:paraId="46A1919A">
            <w:pPr>
              <w:keepNext w:val="0"/>
              <w:keepLines w:val="0"/>
              <w:pageBreakBefore w:val="0"/>
              <w:kinsoku/>
              <w:wordWrap w:val="0"/>
              <w:overflowPunct/>
              <w:topLinePunct/>
              <w:autoSpaceDE/>
              <w:autoSpaceDN/>
              <w:bidi w:val="0"/>
              <w:adjustRightInd w:val="0"/>
              <w:snapToGrid w:val="0"/>
              <w:spacing w:before="96" w:line="236" w:lineRule="auto"/>
              <w:ind w:left="78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r>
      <w:tr w14:paraId="14CEAA2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04748420">
            <w:pPr>
              <w:keepNext w:val="0"/>
              <w:keepLines w:val="0"/>
              <w:pageBreakBefore w:val="0"/>
              <w:kinsoku/>
              <w:wordWrap w:val="0"/>
              <w:overflowPunct/>
              <w:topLinePunct/>
              <w:autoSpaceDE/>
              <w:autoSpaceDN/>
              <w:bidi w:val="0"/>
              <w:adjustRightInd w:val="0"/>
              <w:snapToGrid w:val="0"/>
              <w:spacing w:before="96" w:line="233" w:lineRule="auto"/>
              <w:jc w:val="center"/>
              <w:textAlignment w:val="baseline"/>
              <w:rPr>
                <w:rFonts w:hint="default" w:ascii="Times New Roman" w:hAnsi="Times New Roman" w:eastAsia="宋体" w:cs="Times New Roman"/>
                <w:color w:val="auto"/>
                <w:spacing w:val="-5"/>
                <w:sz w:val="21"/>
                <w:szCs w:val="21"/>
                <w:highlight w:val="none"/>
                <w:lang w:val="en-US" w:eastAsia="zh-CN"/>
              </w:rPr>
            </w:pPr>
            <w:r>
              <w:rPr>
                <w:rFonts w:hint="default" w:ascii="Times New Roman" w:hAnsi="Times New Roman" w:eastAsia="宋体" w:cs="Times New Roman"/>
                <w:color w:val="auto"/>
                <w:spacing w:val="-5"/>
                <w:sz w:val="21"/>
                <w:szCs w:val="21"/>
                <w:highlight w:val="none"/>
                <w:lang w:val="en-US" w:eastAsia="zh-CN"/>
              </w:rPr>
              <w:t>1.6</w:t>
            </w:r>
          </w:p>
        </w:tc>
        <w:tc>
          <w:tcPr>
            <w:tcW w:w="4227" w:type="dxa"/>
            <w:tcBorders>
              <w:tl2br w:val="nil"/>
              <w:tr2bl w:val="nil"/>
            </w:tcBorders>
            <w:vAlign w:val="center"/>
          </w:tcPr>
          <w:p w14:paraId="669F5A36">
            <w:pPr>
              <w:pStyle w:val="35"/>
              <w:keepNext w:val="0"/>
              <w:keepLines w:val="0"/>
              <w:pageBreakBefore w:val="0"/>
              <w:kinsoku/>
              <w:wordWrap w:val="0"/>
              <w:overflowPunct/>
              <w:topLinePunct/>
              <w:autoSpaceDE/>
              <w:autoSpaceDN/>
              <w:bidi w:val="0"/>
              <w:adjustRightInd w:val="0"/>
              <w:snapToGrid w:val="0"/>
              <w:spacing w:before="68" w:line="220" w:lineRule="auto"/>
              <w:jc w:val="center"/>
              <w:textAlignment w:val="baseline"/>
              <w:rPr>
                <w:rFonts w:hint="default" w:ascii="Times New Roman" w:hAnsi="Times New Roman" w:eastAsia="宋体" w:cs="Times New Roman"/>
                <w:color w:val="auto"/>
                <w:spacing w:val="-2"/>
                <w:highlight w:val="none"/>
                <w:lang w:val="en-US" w:eastAsia="zh-CN"/>
              </w:rPr>
            </w:pPr>
            <w:r>
              <w:rPr>
                <w:rFonts w:hint="default" w:ascii="Times New Roman" w:hAnsi="Times New Roman" w:cs="Times New Roman"/>
                <w:color w:val="auto"/>
                <w:spacing w:val="-2"/>
                <w:highlight w:val="none"/>
                <w:lang w:val="en-US" w:eastAsia="zh-CN"/>
              </w:rPr>
              <w:t>冰箱</w:t>
            </w:r>
          </w:p>
        </w:tc>
        <w:tc>
          <w:tcPr>
            <w:tcW w:w="1690" w:type="dxa"/>
            <w:tcBorders>
              <w:tl2br w:val="nil"/>
              <w:tr2bl w:val="nil"/>
            </w:tcBorders>
            <w:vAlign w:val="center"/>
          </w:tcPr>
          <w:p w14:paraId="4932C8CA">
            <w:pPr>
              <w:pStyle w:val="35"/>
              <w:keepNext w:val="0"/>
              <w:keepLines w:val="0"/>
              <w:pageBreakBefore w:val="0"/>
              <w:kinsoku/>
              <w:wordWrap w:val="0"/>
              <w:overflowPunct/>
              <w:topLinePunct/>
              <w:autoSpaceDE/>
              <w:autoSpaceDN/>
              <w:bidi w:val="0"/>
              <w:adjustRightInd w:val="0"/>
              <w:snapToGrid w:val="0"/>
              <w:spacing w:before="68" w:line="223" w:lineRule="auto"/>
              <w:ind w:left="759"/>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台</w:t>
            </w:r>
          </w:p>
        </w:tc>
        <w:tc>
          <w:tcPr>
            <w:tcW w:w="1688" w:type="dxa"/>
            <w:tcBorders>
              <w:tl2br w:val="nil"/>
              <w:tr2bl w:val="nil"/>
            </w:tcBorders>
            <w:vAlign w:val="center"/>
          </w:tcPr>
          <w:p w14:paraId="32A73086">
            <w:pPr>
              <w:keepNext w:val="0"/>
              <w:keepLines w:val="0"/>
              <w:pageBreakBefore w:val="0"/>
              <w:kinsoku/>
              <w:wordWrap w:val="0"/>
              <w:overflowPunct/>
              <w:topLinePunct/>
              <w:autoSpaceDE/>
              <w:autoSpaceDN/>
              <w:bidi w:val="0"/>
              <w:adjustRightInd w:val="0"/>
              <w:snapToGrid w:val="0"/>
              <w:spacing w:before="96" w:line="236" w:lineRule="auto"/>
              <w:ind w:left="787"/>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p>
        </w:tc>
      </w:tr>
      <w:tr w14:paraId="7132057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04" w:hRule="atLeast"/>
          <w:jc w:val="center"/>
        </w:trPr>
        <w:tc>
          <w:tcPr>
            <w:tcW w:w="925" w:type="dxa"/>
            <w:tcBorders>
              <w:tl2br w:val="nil"/>
              <w:tr2bl w:val="nil"/>
            </w:tcBorders>
            <w:vAlign w:val="center"/>
          </w:tcPr>
          <w:p w14:paraId="25662F76">
            <w:pPr>
              <w:keepNext w:val="0"/>
              <w:keepLines w:val="0"/>
              <w:pageBreakBefore w:val="0"/>
              <w:kinsoku/>
              <w:wordWrap w:val="0"/>
              <w:overflowPunct/>
              <w:topLinePunct/>
              <w:autoSpaceDE/>
              <w:autoSpaceDN/>
              <w:bidi w:val="0"/>
              <w:adjustRightInd w:val="0"/>
              <w:snapToGrid w:val="0"/>
              <w:spacing w:before="96" w:line="233" w:lineRule="auto"/>
              <w:jc w:val="center"/>
              <w:textAlignment w:val="baseline"/>
              <w:rPr>
                <w:rFonts w:hint="default" w:ascii="Times New Roman" w:hAnsi="Times New Roman" w:eastAsia="宋体" w:cs="Times New Roman"/>
                <w:color w:val="auto"/>
                <w:spacing w:val="-5"/>
                <w:sz w:val="21"/>
                <w:szCs w:val="21"/>
                <w:highlight w:val="none"/>
                <w:lang w:val="en-US" w:eastAsia="zh-CN"/>
              </w:rPr>
            </w:pPr>
            <w:r>
              <w:rPr>
                <w:rFonts w:hint="default" w:ascii="Times New Roman" w:hAnsi="Times New Roman" w:eastAsia="宋体" w:cs="Times New Roman"/>
                <w:color w:val="auto"/>
                <w:spacing w:val="-5"/>
                <w:sz w:val="21"/>
                <w:szCs w:val="21"/>
                <w:highlight w:val="none"/>
                <w:lang w:val="en-US" w:eastAsia="zh-CN"/>
              </w:rPr>
              <w:t>1.7</w:t>
            </w:r>
          </w:p>
        </w:tc>
        <w:tc>
          <w:tcPr>
            <w:tcW w:w="4227" w:type="dxa"/>
            <w:tcBorders>
              <w:tl2br w:val="nil"/>
              <w:tr2bl w:val="nil"/>
            </w:tcBorders>
            <w:vAlign w:val="center"/>
          </w:tcPr>
          <w:p w14:paraId="54FA9B18">
            <w:pPr>
              <w:pStyle w:val="35"/>
              <w:keepNext w:val="0"/>
              <w:keepLines w:val="0"/>
              <w:pageBreakBefore w:val="0"/>
              <w:kinsoku/>
              <w:wordWrap w:val="0"/>
              <w:overflowPunct/>
              <w:topLinePunct/>
              <w:autoSpaceDE/>
              <w:autoSpaceDN/>
              <w:bidi w:val="0"/>
              <w:adjustRightInd w:val="0"/>
              <w:snapToGrid w:val="0"/>
              <w:spacing w:before="68" w:line="220" w:lineRule="auto"/>
              <w:jc w:val="center"/>
              <w:textAlignment w:val="baseline"/>
              <w:rPr>
                <w:rFonts w:hint="default" w:ascii="Times New Roman" w:hAnsi="Times New Roman" w:eastAsia="宋体" w:cs="Times New Roman"/>
                <w:color w:val="auto"/>
                <w:spacing w:val="-2"/>
                <w:highlight w:val="none"/>
                <w:lang w:val="en-US" w:eastAsia="zh-CN"/>
              </w:rPr>
            </w:pPr>
            <w:r>
              <w:rPr>
                <w:rFonts w:hint="default" w:ascii="Times New Roman" w:hAnsi="Times New Roman" w:cs="Times New Roman"/>
                <w:color w:val="auto"/>
                <w:spacing w:val="-2"/>
                <w:highlight w:val="none"/>
                <w:lang w:val="en-US" w:eastAsia="zh-CN"/>
              </w:rPr>
              <w:t>小型冷冻库</w:t>
            </w:r>
          </w:p>
        </w:tc>
        <w:tc>
          <w:tcPr>
            <w:tcW w:w="1690" w:type="dxa"/>
            <w:tcBorders>
              <w:tl2br w:val="nil"/>
              <w:tr2bl w:val="nil"/>
            </w:tcBorders>
            <w:vAlign w:val="center"/>
          </w:tcPr>
          <w:p w14:paraId="3D047F5D">
            <w:pPr>
              <w:pStyle w:val="35"/>
              <w:keepNext w:val="0"/>
              <w:keepLines w:val="0"/>
              <w:pageBreakBefore w:val="0"/>
              <w:kinsoku/>
              <w:wordWrap w:val="0"/>
              <w:overflowPunct/>
              <w:topLinePunct/>
              <w:autoSpaceDE/>
              <w:autoSpaceDN/>
              <w:bidi w:val="0"/>
              <w:adjustRightInd w:val="0"/>
              <w:snapToGrid w:val="0"/>
              <w:spacing w:before="68" w:line="223" w:lineRule="auto"/>
              <w:ind w:left="759"/>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台</w:t>
            </w:r>
          </w:p>
        </w:tc>
        <w:tc>
          <w:tcPr>
            <w:tcW w:w="1688" w:type="dxa"/>
            <w:tcBorders>
              <w:tl2br w:val="nil"/>
              <w:tr2bl w:val="nil"/>
            </w:tcBorders>
            <w:vAlign w:val="center"/>
          </w:tcPr>
          <w:p w14:paraId="7A640C25">
            <w:pPr>
              <w:keepNext w:val="0"/>
              <w:keepLines w:val="0"/>
              <w:pageBreakBefore w:val="0"/>
              <w:kinsoku/>
              <w:wordWrap w:val="0"/>
              <w:overflowPunct/>
              <w:topLinePunct/>
              <w:autoSpaceDE/>
              <w:autoSpaceDN/>
              <w:bidi w:val="0"/>
              <w:adjustRightInd w:val="0"/>
              <w:snapToGrid w:val="0"/>
              <w:spacing w:before="96" w:line="236" w:lineRule="auto"/>
              <w:ind w:left="787"/>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p>
        </w:tc>
      </w:tr>
      <w:tr w14:paraId="1FF74BA9">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0DE32847">
            <w:pPr>
              <w:keepNext w:val="0"/>
              <w:keepLines w:val="0"/>
              <w:pageBreakBefore w:val="0"/>
              <w:kinsoku/>
              <w:wordWrap w:val="0"/>
              <w:overflowPunct/>
              <w:topLinePunct/>
              <w:autoSpaceDE/>
              <w:autoSpaceDN/>
              <w:bidi w:val="0"/>
              <w:adjustRightInd w:val="0"/>
              <w:snapToGrid w:val="0"/>
              <w:spacing w:before="96" w:line="236"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7605" w:type="dxa"/>
            <w:gridSpan w:val="3"/>
            <w:tcBorders>
              <w:tl2br w:val="nil"/>
              <w:tr2bl w:val="nil"/>
            </w:tcBorders>
            <w:vAlign w:val="center"/>
          </w:tcPr>
          <w:p w14:paraId="7938B251">
            <w:pPr>
              <w:pStyle w:val="35"/>
              <w:keepNext w:val="0"/>
              <w:keepLines w:val="0"/>
              <w:pageBreakBefore w:val="0"/>
              <w:kinsoku/>
              <w:wordWrap w:val="0"/>
              <w:overflowPunct/>
              <w:topLinePunct/>
              <w:autoSpaceDE/>
              <w:autoSpaceDN/>
              <w:bidi w:val="0"/>
              <w:adjustRightInd w:val="0"/>
              <w:snapToGrid w:val="0"/>
              <w:spacing w:before="69" w:line="22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饲料区</w:t>
            </w:r>
          </w:p>
        </w:tc>
      </w:tr>
      <w:tr w14:paraId="42495242">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69380367">
            <w:pPr>
              <w:keepNext w:val="0"/>
              <w:keepLines w:val="0"/>
              <w:pageBreakBefore w:val="0"/>
              <w:kinsoku/>
              <w:wordWrap w:val="0"/>
              <w:overflowPunct/>
              <w:topLinePunct/>
              <w:autoSpaceDE/>
              <w:autoSpaceDN/>
              <w:bidi w:val="0"/>
              <w:adjustRightInd w:val="0"/>
              <w:snapToGrid w:val="0"/>
              <w:spacing w:before="98"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2.1</w:t>
            </w:r>
          </w:p>
        </w:tc>
        <w:tc>
          <w:tcPr>
            <w:tcW w:w="4227" w:type="dxa"/>
            <w:tcBorders>
              <w:tl2br w:val="nil"/>
              <w:tr2bl w:val="nil"/>
            </w:tcBorders>
            <w:vAlign w:val="center"/>
          </w:tcPr>
          <w:p w14:paraId="4DB9372B">
            <w:pPr>
              <w:pStyle w:val="35"/>
              <w:keepNext w:val="0"/>
              <w:keepLines w:val="0"/>
              <w:pageBreakBefore w:val="0"/>
              <w:kinsoku/>
              <w:wordWrap w:val="0"/>
              <w:overflowPunct/>
              <w:topLinePunct/>
              <w:autoSpaceDE/>
              <w:autoSpaceDN/>
              <w:bidi w:val="0"/>
              <w:adjustRightInd w:val="0"/>
              <w:snapToGrid w:val="0"/>
              <w:spacing w:before="70" w:line="220" w:lineRule="auto"/>
              <w:ind w:left="159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铲车翻堆机</w:t>
            </w:r>
          </w:p>
        </w:tc>
        <w:tc>
          <w:tcPr>
            <w:tcW w:w="1690" w:type="dxa"/>
            <w:tcBorders>
              <w:tl2br w:val="nil"/>
              <w:tr2bl w:val="nil"/>
            </w:tcBorders>
            <w:vAlign w:val="center"/>
          </w:tcPr>
          <w:p w14:paraId="5CCCD94F">
            <w:pPr>
              <w:pStyle w:val="35"/>
              <w:keepNext w:val="0"/>
              <w:keepLines w:val="0"/>
              <w:pageBreakBefore w:val="0"/>
              <w:kinsoku/>
              <w:wordWrap w:val="0"/>
              <w:overflowPunct/>
              <w:topLinePunct/>
              <w:autoSpaceDE/>
              <w:autoSpaceDN/>
              <w:bidi w:val="0"/>
              <w:adjustRightInd w:val="0"/>
              <w:snapToGrid w:val="0"/>
              <w:spacing w:before="69" w:line="221" w:lineRule="auto"/>
              <w:ind w:left="743"/>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个</w:t>
            </w:r>
          </w:p>
        </w:tc>
        <w:tc>
          <w:tcPr>
            <w:tcW w:w="1688" w:type="dxa"/>
            <w:tcBorders>
              <w:tl2br w:val="nil"/>
              <w:tr2bl w:val="nil"/>
            </w:tcBorders>
            <w:vAlign w:val="center"/>
          </w:tcPr>
          <w:p w14:paraId="1235D2A1">
            <w:pPr>
              <w:keepNext w:val="0"/>
              <w:keepLines w:val="0"/>
              <w:pageBreakBefore w:val="0"/>
              <w:kinsoku/>
              <w:wordWrap w:val="0"/>
              <w:overflowPunct/>
              <w:topLinePunct/>
              <w:autoSpaceDE/>
              <w:autoSpaceDN/>
              <w:bidi w:val="0"/>
              <w:adjustRightInd w:val="0"/>
              <w:snapToGrid w:val="0"/>
              <w:spacing w:before="97" w:line="234" w:lineRule="auto"/>
              <w:ind w:left="791"/>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6</w:t>
            </w:r>
          </w:p>
        </w:tc>
      </w:tr>
      <w:tr w14:paraId="1B61837E">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4010F7DC">
            <w:pPr>
              <w:keepNext w:val="0"/>
              <w:keepLines w:val="0"/>
              <w:pageBreakBefore w:val="0"/>
              <w:kinsoku/>
              <w:wordWrap w:val="0"/>
              <w:overflowPunct/>
              <w:topLinePunct/>
              <w:autoSpaceDE/>
              <w:autoSpaceDN/>
              <w:bidi w:val="0"/>
              <w:adjustRightInd w:val="0"/>
              <w:snapToGrid w:val="0"/>
              <w:spacing w:before="99"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2.2</w:t>
            </w:r>
          </w:p>
        </w:tc>
        <w:tc>
          <w:tcPr>
            <w:tcW w:w="4227" w:type="dxa"/>
            <w:tcBorders>
              <w:tl2br w:val="nil"/>
              <w:tr2bl w:val="nil"/>
            </w:tcBorders>
            <w:vAlign w:val="center"/>
          </w:tcPr>
          <w:p w14:paraId="02AA4746">
            <w:pPr>
              <w:pStyle w:val="35"/>
              <w:keepNext w:val="0"/>
              <w:keepLines w:val="0"/>
              <w:pageBreakBefore w:val="0"/>
              <w:kinsoku/>
              <w:wordWrap w:val="0"/>
              <w:overflowPunct/>
              <w:topLinePunct/>
              <w:autoSpaceDE/>
              <w:autoSpaceDN/>
              <w:bidi w:val="0"/>
              <w:adjustRightInd w:val="0"/>
              <w:snapToGrid w:val="0"/>
              <w:spacing w:before="35" w:line="221" w:lineRule="auto"/>
              <w:jc w:val="center"/>
              <w:textAlignment w:val="baseline"/>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spacing w:val="-2"/>
                <w:highlight w:val="none"/>
                <w:lang w:val="en-US" w:eastAsia="zh-CN"/>
              </w:rPr>
              <w:t>三轮车</w:t>
            </w:r>
          </w:p>
        </w:tc>
        <w:tc>
          <w:tcPr>
            <w:tcW w:w="1690" w:type="dxa"/>
            <w:tcBorders>
              <w:tl2br w:val="nil"/>
              <w:tr2bl w:val="nil"/>
            </w:tcBorders>
            <w:vAlign w:val="center"/>
          </w:tcPr>
          <w:p w14:paraId="072820E5">
            <w:pPr>
              <w:pStyle w:val="35"/>
              <w:keepNext w:val="0"/>
              <w:keepLines w:val="0"/>
              <w:pageBreakBefore w:val="0"/>
              <w:kinsoku/>
              <w:wordWrap w:val="0"/>
              <w:overflowPunct/>
              <w:topLinePunct/>
              <w:autoSpaceDE/>
              <w:autoSpaceDN/>
              <w:bidi w:val="0"/>
              <w:adjustRightInd w:val="0"/>
              <w:snapToGrid w:val="0"/>
              <w:spacing w:before="68" w:line="221" w:lineRule="auto"/>
              <w:ind w:left="743"/>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个</w:t>
            </w:r>
          </w:p>
        </w:tc>
        <w:tc>
          <w:tcPr>
            <w:tcW w:w="1688" w:type="dxa"/>
            <w:tcBorders>
              <w:tl2br w:val="nil"/>
              <w:tr2bl w:val="nil"/>
            </w:tcBorders>
            <w:vAlign w:val="center"/>
          </w:tcPr>
          <w:p w14:paraId="1D46631B">
            <w:pPr>
              <w:keepNext w:val="0"/>
              <w:keepLines w:val="0"/>
              <w:pageBreakBefore w:val="0"/>
              <w:kinsoku/>
              <w:wordWrap w:val="0"/>
              <w:overflowPunct/>
              <w:topLinePunct/>
              <w:autoSpaceDE/>
              <w:autoSpaceDN/>
              <w:bidi w:val="0"/>
              <w:adjustRightInd w:val="0"/>
              <w:snapToGrid w:val="0"/>
              <w:spacing w:before="99" w:line="234" w:lineRule="auto"/>
              <w:ind w:left="787"/>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8</w:t>
            </w:r>
          </w:p>
        </w:tc>
      </w:tr>
      <w:tr w14:paraId="1C19826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432CA624">
            <w:pPr>
              <w:keepNext w:val="0"/>
              <w:keepLines w:val="0"/>
              <w:pageBreakBefore w:val="0"/>
              <w:kinsoku/>
              <w:wordWrap w:val="0"/>
              <w:overflowPunct/>
              <w:topLinePunct/>
              <w:autoSpaceDE/>
              <w:autoSpaceDN/>
              <w:bidi w:val="0"/>
              <w:adjustRightInd w:val="0"/>
              <w:snapToGrid w:val="0"/>
              <w:spacing w:before="99"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2.3</w:t>
            </w:r>
          </w:p>
        </w:tc>
        <w:tc>
          <w:tcPr>
            <w:tcW w:w="4227" w:type="dxa"/>
            <w:tcBorders>
              <w:tl2br w:val="nil"/>
              <w:tr2bl w:val="nil"/>
            </w:tcBorders>
            <w:vAlign w:val="center"/>
          </w:tcPr>
          <w:p w14:paraId="2B41E399">
            <w:pPr>
              <w:pStyle w:val="35"/>
              <w:keepNext w:val="0"/>
              <w:keepLines w:val="0"/>
              <w:pageBreakBefore w:val="0"/>
              <w:kinsoku/>
              <w:wordWrap w:val="0"/>
              <w:overflowPunct/>
              <w:topLinePunct/>
              <w:autoSpaceDE/>
              <w:autoSpaceDN/>
              <w:bidi w:val="0"/>
              <w:adjustRightInd w:val="0"/>
              <w:snapToGrid w:val="0"/>
              <w:spacing w:before="35" w:line="220" w:lineRule="auto"/>
              <w:ind w:left="179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包夹机</w:t>
            </w:r>
          </w:p>
        </w:tc>
        <w:tc>
          <w:tcPr>
            <w:tcW w:w="1690" w:type="dxa"/>
            <w:tcBorders>
              <w:tl2br w:val="nil"/>
              <w:tr2bl w:val="nil"/>
            </w:tcBorders>
            <w:vAlign w:val="center"/>
          </w:tcPr>
          <w:p w14:paraId="7BF2690D">
            <w:pPr>
              <w:pStyle w:val="35"/>
              <w:keepNext w:val="0"/>
              <w:keepLines w:val="0"/>
              <w:pageBreakBefore w:val="0"/>
              <w:kinsoku/>
              <w:wordWrap w:val="0"/>
              <w:overflowPunct/>
              <w:topLinePunct/>
              <w:autoSpaceDE/>
              <w:autoSpaceDN/>
              <w:bidi w:val="0"/>
              <w:adjustRightInd w:val="0"/>
              <w:snapToGrid w:val="0"/>
              <w:spacing w:before="69" w:line="223" w:lineRule="auto"/>
              <w:ind w:left="759"/>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台</w:t>
            </w:r>
          </w:p>
        </w:tc>
        <w:tc>
          <w:tcPr>
            <w:tcW w:w="1688" w:type="dxa"/>
            <w:tcBorders>
              <w:tl2br w:val="nil"/>
              <w:tr2bl w:val="nil"/>
            </w:tcBorders>
            <w:vAlign w:val="center"/>
          </w:tcPr>
          <w:p w14:paraId="36A12276">
            <w:pPr>
              <w:keepNext w:val="0"/>
              <w:keepLines w:val="0"/>
              <w:pageBreakBefore w:val="0"/>
              <w:kinsoku/>
              <w:wordWrap w:val="0"/>
              <w:overflowPunct/>
              <w:topLinePunct/>
              <w:autoSpaceDE/>
              <w:autoSpaceDN/>
              <w:bidi w:val="0"/>
              <w:adjustRightInd w:val="0"/>
              <w:snapToGrid w:val="0"/>
              <w:spacing w:before="99" w:line="234" w:lineRule="auto"/>
              <w:ind w:left="787"/>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3</w:t>
            </w:r>
          </w:p>
        </w:tc>
      </w:tr>
      <w:tr w14:paraId="5D9F9A2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75D7CDD4">
            <w:pPr>
              <w:keepNext w:val="0"/>
              <w:keepLines w:val="0"/>
              <w:pageBreakBefore w:val="0"/>
              <w:kinsoku/>
              <w:wordWrap w:val="0"/>
              <w:overflowPunct/>
              <w:topLinePunct/>
              <w:autoSpaceDE/>
              <w:autoSpaceDN/>
              <w:bidi w:val="0"/>
              <w:adjustRightInd w:val="0"/>
              <w:snapToGrid w:val="0"/>
              <w:spacing w:before="99"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2.4</w:t>
            </w:r>
          </w:p>
        </w:tc>
        <w:tc>
          <w:tcPr>
            <w:tcW w:w="4227" w:type="dxa"/>
            <w:tcBorders>
              <w:tl2br w:val="nil"/>
              <w:tr2bl w:val="nil"/>
            </w:tcBorders>
            <w:vAlign w:val="center"/>
          </w:tcPr>
          <w:p w14:paraId="4261D3A6">
            <w:pPr>
              <w:pStyle w:val="35"/>
              <w:keepNext w:val="0"/>
              <w:keepLines w:val="0"/>
              <w:pageBreakBefore w:val="0"/>
              <w:kinsoku/>
              <w:wordWrap w:val="0"/>
              <w:overflowPunct/>
              <w:topLinePunct/>
              <w:autoSpaceDE/>
              <w:autoSpaceDN/>
              <w:bidi w:val="0"/>
              <w:adjustRightInd w:val="0"/>
              <w:snapToGrid w:val="0"/>
              <w:spacing w:before="35" w:line="220" w:lineRule="auto"/>
              <w:ind w:left="1545"/>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1"/>
                <w:highlight w:val="none"/>
              </w:rPr>
              <w:t>TMR</w:t>
            </w:r>
            <w:r>
              <w:rPr>
                <w:rFonts w:hint="default" w:ascii="Times New Roman" w:hAnsi="Times New Roman" w:cs="Times New Roman"/>
                <w:color w:val="auto"/>
                <w:spacing w:val="-1"/>
                <w:highlight w:val="none"/>
              </w:rPr>
              <w:t>搅拌机</w:t>
            </w:r>
          </w:p>
        </w:tc>
        <w:tc>
          <w:tcPr>
            <w:tcW w:w="1690" w:type="dxa"/>
            <w:tcBorders>
              <w:tl2br w:val="nil"/>
              <w:tr2bl w:val="nil"/>
            </w:tcBorders>
            <w:vAlign w:val="center"/>
          </w:tcPr>
          <w:p w14:paraId="009B9887">
            <w:pPr>
              <w:pStyle w:val="35"/>
              <w:keepNext w:val="0"/>
              <w:keepLines w:val="0"/>
              <w:pageBreakBefore w:val="0"/>
              <w:kinsoku/>
              <w:wordWrap w:val="0"/>
              <w:overflowPunct/>
              <w:topLinePunct/>
              <w:autoSpaceDE/>
              <w:autoSpaceDN/>
              <w:bidi w:val="0"/>
              <w:adjustRightInd w:val="0"/>
              <w:snapToGrid w:val="0"/>
              <w:spacing w:before="69" w:line="223" w:lineRule="auto"/>
              <w:ind w:left="759"/>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台</w:t>
            </w:r>
          </w:p>
        </w:tc>
        <w:tc>
          <w:tcPr>
            <w:tcW w:w="1688" w:type="dxa"/>
            <w:tcBorders>
              <w:tl2br w:val="nil"/>
              <w:tr2bl w:val="nil"/>
            </w:tcBorders>
            <w:vAlign w:val="center"/>
          </w:tcPr>
          <w:p w14:paraId="4A6B849D">
            <w:pPr>
              <w:keepNext w:val="0"/>
              <w:keepLines w:val="0"/>
              <w:pageBreakBefore w:val="0"/>
              <w:kinsoku/>
              <w:wordWrap w:val="0"/>
              <w:overflowPunct/>
              <w:topLinePunct/>
              <w:autoSpaceDE/>
              <w:autoSpaceDN/>
              <w:bidi w:val="0"/>
              <w:adjustRightInd w:val="0"/>
              <w:snapToGrid w:val="0"/>
              <w:spacing w:before="99" w:line="234" w:lineRule="auto"/>
              <w:ind w:left="78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r>
      <w:tr w14:paraId="6AF97D5F">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175045E0">
            <w:pPr>
              <w:keepNext w:val="0"/>
              <w:keepLines w:val="0"/>
              <w:pageBreakBefore w:val="0"/>
              <w:kinsoku/>
              <w:wordWrap w:val="0"/>
              <w:overflowPunct/>
              <w:topLinePunct/>
              <w:autoSpaceDE/>
              <w:autoSpaceDN/>
              <w:bidi w:val="0"/>
              <w:adjustRightInd w:val="0"/>
              <w:snapToGrid w:val="0"/>
              <w:spacing w:before="99" w:line="233"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2.5</w:t>
            </w:r>
          </w:p>
        </w:tc>
        <w:tc>
          <w:tcPr>
            <w:tcW w:w="4227" w:type="dxa"/>
            <w:tcBorders>
              <w:tl2br w:val="nil"/>
              <w:tr2bl w:val="nil"/>
            </w:tcBorders>
            <w:vAlign w:val="center"/>
          </w:tcPr>
          <w:p w14:paraId="3BB6E65A">
            <w:pPr>
              <w:pStyle w:val="35"/>
              <w:keepNext w:val="0"/>
              <w:keepLines w:val="0"/>
              <w:pageBreakBefore w:val="0"/>
              <w:kinsoku/>
              <w:wordWrap w:val="0"/>
              <w:overflowPunct/>
              <w:topLinePunct/>
              <w:autoSpaceDE/>
              <w:autoSpaceDN/>
              <w:bidi w:val="0"/>
              <w:adjustRightInd w:val="0"/>
              <w:snapToGrid w:val="0"/>
              <w:spacing w:before="35" w:line="221" w:lineRule="auto"/>
              <w:ind w:left="180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投料车</w:t>
            </w:r>
          </w:p>
        </w:tc>
        <w:tc>
          <w:tcPr>
            <w:tcW w:w="1690" w:type="dxa"/>
            <w:tcBorders>
              <w:tl2br w:val="nil"/>
              <w:tr2bl w:val="nil"/>
            </w:tcBorders>
            <w:vAlign w:val="center"/>
          </w:tcPr>
          <w:p w14:paraId="698E9B5A">
            <w:pPr>
              <w:pStyle w:val="35"/>
              <w:keepNext w:val="0"/>
              <w:keepLines w:val="0"/>
              <w:pageBreakBefore w:val="0"/>
              <w:kinsoku/>
              <w:wordWrap w:val="0"/>
              <w:overflowPunct/>
              <w:topLinePunct/>
              <w:autoSpaceDE/>
              <w:autoSpaceDN/>
              <w:bidi w:val="0"/>
              <w:adjustRightInd w:val="0"/>
              <w:snapToGrid w:val="0"/>
              <w:spacing w:before="69" w:line="223" w:lineRule="auto"/>
              <w:ind w:left="759"/>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台</w:t>
            </w:r>
          </w:p>
        </w:tc>
        <w:tc>
          <w:tcPr>
            <w:tcW w:w="1688" w:type="dxa"/>
            <w:tcBorders>
              <w:tl2br w:val="nil"/>
              <w:tr2bl w:val="nil"/>
            </w:tcBorders>
            <w:vAlign w:val="center"/>
          </w:tcPr>
          <w:p w14:paraId="3F76203E">
            <w:pPr>
              <w:keepNext w:val="0"/>
              <w:keepLines w:val="0"/>
              <w:pageBreakBefore w:val="0"/>
              <w:kinsoku/>
              <w:wordWrap w:val="0"/>
              <w:overflowPunct/>
              <w:topLinePunct/>
              <w:autoSpaceDE/>
              <w:autoSpaceDN/>
              <w:bidi w:val="0"/>
              <w:adjustRightInd w:val="0"/>
              <w:snapToGrid w:val="0"/>
              <w:spacing w:before="99" w:line="233" w:lineRule="auto"/>
              <w:ind w:left="787"/>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r>
      <w:tr w14:paraId="71C0B97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0E3A86EC">
            <w:pPr>
              <w:keepNext w:val="0"/>
              <w:keepLines w:val="0"/>
              <w:pageBreakBefore w:val="0"/>
              <w:kinsoku/>
              <w:wordWrap w:val="0"/>
              <w:overflowPunct/>
              <w:topLinePunct/>
              <w:autoSpaceDE/>
              <w:autoSpaceDN/>
              <w:bidi w:val="0"/>
              <w:adjustRightInd w:val="0"/>
              <w:snapToGrid w:val="0"/>
              <w:spacing w:before="99" w:line="233"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w:t>
            </w:r>
          </w:p>
        </w:tc>
        <w:tc>
          <w:tcPr>
            <w:tcW w:w="7605" w:type="dxa"/>
            <w:gridSpan w:val="3"/>
            <w:tcBorders>
              <w:tl2br w:val="nil"/>
              <w:tr2bl w:val="nil"/>
            </w:tcBorders>
            <w:vAlign w:val="center"/>
          </w:tcPr>
          <w:p w14:paraId="5125BCA3">
            <w:pPr>
              <w:keepNext w:val="0"/>
              <w:keepLines w:val="0"/>
              <w:pageBreakBefore w:val="0"/>
              <w:kinsoku/>
              <w:wordWrap w:val="0"/>
              <w:overflowPunct/>
              <w:topLinePunct/>
              <w:autoSpaceDE/>
              <w:autoSpaceDN/>
              <w:bidi w:val="0"/>
              <w:adjustRightInd w:val="0"/>
              <w:snapToGrid w:val="0"/>
              <w:spacing w:before="99" w:line="233"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粪污储存间</w:t>
            </w:r>
          </w:p>
        </w:tc>
      </w:tr>
      <w:tr w14:paraId="1F3A7348">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23" w:hRule="atLeast"/>
          <w:jc w:val="center"/>
        </w:trPr>
        <w:tc>
          <w:tcPr>
            <w:tcW w:w="925" w:type="dxa"/>
            <w:tcBorders>
              <w:tl2br w:val="nil"/>
              <w:tr2bl w:val="nil"/>
            </w:tcBorders>
            <w:vAlign w:val="center"/>
          </w:tcPr>
          <w:p w14:paraId="3EC97942">
            <w:pPr>
              <w:keepNext w:val="0"/>
              <w:keepLines w:val="0"/>
              <w:pageBreakBefore w:val="0"/>
              <w:kinsoku/>
              <w:wordWrap w:val="0"/>
              <w:overflowPunct/>
              <w:topLinePunct/>
              <w:autoSpaceDE/>
              <w:autoSpaceDN/>
              <w:bidi w:val="0"/>
              <w:adjustRightInd w:val="0"/>
              <w:snapToGrid w:val="0"/>
              <w:spacing w:before="99" w:line="233" w:lineRule="auto"/>
              <w:jc w:val="center"/>
              <w:textAlignment w:val="baseline"/>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3.1</w:t>
            </w:r>
          </w:p>
        </w:tc>
        <w:tc>
          <w:tcPr>
            <w:tcW w:w="4227" w:type="dxa"/>
            <w:tcBorders>
              <w:tl2br w:val="nil"/>
              <w:tr2bl w:val="nil"/>
            </w:tcBorders>
            <w:vAlign w:val="center"/>
          </w:tcPr>
          <w:p w14:paraId="4BAD3E94">
            <w:pPr>
              <w:pStyle w:val="35"/>
              <w:keepNext w:val="0"/>
              <w:keepLines w:val="0"/>
              <w:pageBreakBefore w:val="0"/>
              <w:kinsoku/>
              <w:wordWrap w:val="0"/>
              <w:overflowPunct/>
              <w:topLinePunct/>
              <w:autoSpaceDE/>
              <w:autoSpaceDN/>
              <w:bidi w:val="0"/>
              <w:adjustRightInd w:val="0"/>
              <w:snapToGrid w:val="0"/>
              <w:spacing w:before="35" w:line="221" w:lineRule="auto"/>
              <w:ind w:left="1801"/>
              <w:textAlignment w:val="baseline"/>
              <w:rPr>
                <w:rFonts w:hint="default" w:ascii="Times New Roman" w:hAnsi="Times New Roman" w:eastAsia="宋体" w:cs="Times New Roman"/>
                <w:color w:val="auto"/>
                <w:spacing w:val="-2"/>
                <w:highlight w:val="none"/>
                <w:lang w:val="en-US" w:eastAsia="zh-CN"/>
              </w:rPr>
            </w:pPr>
            <w:r>
              <w:rPr>
                <w:rFonts w:hint="default" w:ascii="Times New Roman" w:hAnsi="Times New Roman" w:cs="Times New Roman"/>
                <w:color w:val="auto"/>
                <w:spacing w:val="-2"/>
                <w:highlight w:val="none"/>
                <w:lang w:val="en-US" w:eastAsia="zh-CN"/>
              </w:rPr>
              <w:t>粪污运输车</w:t>
            </w:r>
          </w:p>
        </w:tc>
        <w:tc>
          <w:tcPr>
            <w:tcW w:w="1690" w:type="dxa"/>
            <w:tcBorders>
              <w:tl2br w:val="nil"/>
              <w:tr2bl w:val="nil"/>
            </w:tcBorders>
            <w:vAlign w:val="center"/>
          </w:tcPr>
          <w:p w14:paraId="6BF96191">
            <w:pPr>
              <w:pStyle w:val="35"/>
              <w:keepNext w:val="0"/>
              <w:keepLines w:val="0"/>
              <w:pageBreakBefore w:val="0"/>
              <w:kinsoku/>
              <w:wordWrap w:val="0"/>
              <w:overflowPunct/>
              <w:topLinePunct/>
              <w:autoSpaceDE/>
              <w:autoSpaceDN/>
              <w:bidi w:val="0"/>
              <w:adjustRightInd w:val="0"/>
              <w:snapToGrid w:val="0"/>
              <w:spacing w:before="69" w:line="223" w:lineRule="auto"/>
              <w:ind w:left="759"/>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台</w:t>
            </w:r>
          </w:p>
        </w:tc>
        <w:tc>
          <w:tcPr>
            <w:tcW w:w="1688" w:type="dxa"/>
            <w:tcBorders>
              <w:tl2br w:val="nil"/>
              <w:tr2bl w:val="nil"/>
            </w:tcBorders>
            <w:vAlign w:val="center"/>
          </w:tcPr>
          <w:p w14:paraId="1CA8FE00">
            <w:pPr>
              <w:keepNext w:val="0"/>
              <w:keepLines w:val="0"/>
              <w:pageBreakBefore w:val="0"/>
              <w:kinsoku/>
              <w:wordWrap w:val="0"/>
              <w:overflowPunct/>
              <w:topLinePunct/>
              <w:autoSpaceDE/>
              <w:autoSpaceDN/>
              <w:bidi w:val="0"/>
              <w:adjustRightInd w:val="0"/>
              <w:snapToGrid w:val="0"/>
              <w:spacing w:before="99" w:line="233" w:lineRule="auto"/>
              <w:ind w:left="787"/>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w:t>
            </w:r>
          </w:p>
        </w:tc>
      </w:tr>
    </w:tbl>
    <w:p w14:paraId="564B9B42">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04" w:name="_Toc391"/>
      <w:r>
        <w:rPr>
          <w:rFonts w:hint="default" w:ascii="Times New Roman" w:hAnsi="Times New Roman" w:eastAsia="宋体" w:cs="Times New Roman"/>
          <w:b/>
          <w:bCs/>
          <w:color w:val="auto"/>
          <w:spacing w:val="-2"/>
          <w:sz w:val="24"/>
          <w:szCs w:val="24"/>
          <w:highlight w:val="none"/>
          <w:lang w:val="en-US" w:eastAsia="zh-CN"/>
        </w:rPr>
        <w:t>3.1.3本项目原辅材料</w:t>
      </w:r>
      <w:bookmarkStart w:id="105" w:name="bookmark60"/>
      <w:bookmarkEnd w:id="105"/>
      <w:r>
        <w:rPr>
          <w:rFonts w:hint="default" w:ascii="Times New Roman" w:hAnsi="Times New Roman" w:eastAsia="宋体" w:cs="Times New Roman"/>
          <w:b/>
          <w:bCs/>
          <w:color w:val="auto"/>
          <w:spacing w:val="-2"/>
          <w:sz w:val="24"/>
          <w:szCs w:val="24"/>
          <w:highlight w:val="none"/>
          <w:lang w:val="en-US" w:eastAsia="zh-CN"/>
        </w:rPr>
        <w:t>消耗</w:t>
      </w:r>
      <w:bookmarkEnd w:id="104"/>
    </w:p>
    <w:p w14:paraId="6DF0AB02">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项目饲料直接外购，不在场区进行加工，以袋装形式运输至本厂。本项目消耗情</w:t>
      </w:r>
      <w:r>
        <w:rPr>
          <w:rFonts w:hint="default" w:ascii="Times New Roman" w:hAnsi="Times New Roman" w:eastAsia="宋体" w:cs="Times New Roman"/>
          <w:color w:val="auto"/>
          <w:spacing w:val="-2"/>
          <w:sz w:val="24"/>
          <w:szCs w:val="24"/>
          <w:highlight w:val="none"/>
        </w:rPr>
        <w:t>况和所用原辅材料详见表</w:t>
      </w:r>
      <w:r>
        <w:rPr>
          <w:rFonts w:hint="default" w:ascii="Times New Roman" w:hAnsi="Times New Roman" w:eastAsia="Times New Roman" w:cs="Times New Roman"/>
          <w:color w:val="auto"/>
          <w:spacing w:val="-2"/>
          <w:sz w:val="24"/>
          <w:szCs w:val="24"/>
          <w:highlight w:val="none"/>
        </w:rPr>
        <w:t>3.1-4</w:t>
      </w:r>
      <w:r>
        <w:rPr>
          <w:rFonts w:hint="default" w:ascii="Times New Roman" w:hAnsi="Times New Roman" w:eastAsia="宋体" w:cs="Times New Roman"/>
          <w:color w:val="auto"/>
          <w:spacing w:val="-2"/>
          <w:sz w:val="24"/>
          <w:szCs w:val="24"/>
          <w:highlight w:val="none"/>
        </w:rPr>
        <w:t>。</w:t>
      </w:r>
    </w:p>
    <w:p w14:paraId="29051D82">
      <w:pPr>
        <w:keepNext w:val="0"/>
        <w:keepLines w:val="0"/>
        <w:pageBreakBefore w:val="0"/>
        <w:kinsoku/>
        <w:wordWrap w:val="0"/>
        <w:overflowPunct/>
        <w:topLinePunct/>
        <w:autoSpaceDE/>
        <w:autoSpaceDN/>
        <w:bidi w:val="0"/>
        <w:adjustRightInd w:val="0"/>
        <w:snapToGrid w:val="0"/>
        <w:spacing w:before="1" w:line="213" w:lineRule="auto"/>
        <w:ind w:left="3016"/>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3.1-4</w:t>
      </w:r>
      <w:r>
        <w:rPr>
          <w:rFonts w:hint="default" w:ascii="Times New Roman" w:hAnsi="Times New Roman" w:eastAsia="宋体" w:cs="Times New Roman"/>
          <w:b/>
          <w:bCs/>
          <w:color w:val="auto"/>
          <w:spacing w:val="-2"/>
          <w:sz w:val="24"/>
          <w:szCs w:val="24"/>
          <w:highlight w:val="none"/>
        </w:rPr>
        <w:t>项目原辅材料一览表</w:t>
      </w:r>
    </w:p>
    <w:tbl>
      <w:tblPr>
        <w:tblStyle w:val="34"/>
        <w:tblW w:w="902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2"/>
        <w:gridCol w:w="1518"/>
        <w:gridCol w:w="844"/>
        <w:gridCol w:w="988"/>
        <w:gridCol w:w="4929"/>
      </w:tblGrid>
      <w:tr w14:paraId="746821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top w:val="single" w:color="000000" w:sz="10" w:space="0"/>
              <w:left w:val="nil"/>
            </w:tcBorders>
            <w:vAlign w:val="center"/>
          </w:tcPr>
          <w:p w14:paraId="0017E1D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序号</w:t>
            </w:r>
          </w:p>
        </w:tc>
        <w:tc>
          <w:tcPr>
            <w:tcW w:w="1518" w:type="dxa"/>
            <w:tcBorders>
              <w:top w:val="single" w:color="000000" w:sz="10" w:space="0"/>
            </w:tcBorders>
            <w:vAlign w:val="center"/>
          </w:tcPr>
          <w:p w14:paraId="043146D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指标</w:t>
            </w:r>
          </w:p>
        </w:tc>
        <w:tc>
          <w:tcPr>
            <w:tcW w:w="844" w:type="dxa"/>
            <w:tcBorders>
              <w:top w:val="single" w:color="000000" w:sz="10" w:space="0"/>
            </w:tcBorders>
            <w:vAlign w:val="center"/>
          </w:tcPr>
          <w:p w14:paraId="0CE4386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单位</w:t>
            </w:r>
          </w:p>
        </w:tc>
        <w:tc>
          <w:tcPr>
            <w:tcW w:w="988" w:type="dxa"/>
            <w:tcBorders>
              <w:top w:val="single" w:color="000000" w:sz="10" w:space="0"/>
            </w:tcBorders>
            <w:vAlign w:val="center"/>
          </w:tcPr>
          <w:p w14:paraId="38387FD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数量</w:t>
            </w:r>
          </w:p>
        </w:tc>
        <w:tc>
          <w:tcPr>
            <w:tcW w:w="4929" w:type="dxa"/>
            <w:tcBorders>
              <w:top w:val="single" w:color="000000" w:sz="10" w:space="0"/>
              <w:right w:val="nil"/>
            </w:tcBorders>
            <w:vAlign w:val="center"/>
          </w:tcPr>
          <w:p w14:paraId="6351B8C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备注</w:t>
            </w:r>
          </w:p>
        </w:tc>
      </w:tr>
      <w:tr w14:paraId="002520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vAlign w:val="center"/>
          </w:tcPr>
          <w:p w14:paraId="3D06C41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Times New Roman" w:cs="Times New Roman"/>
                <w:color w:val="FF0000"/>
                <w:sz w:val="21"/>
                <w:szCs w:val="21"/>
                <w:highlight w:val="none"/>
              </w:rPr>
              <w:t>1</w:t>
            </w:r>
          </w:p>
        </w:tc>
        <w:tc>
          <w:tcPr>
            <w:tcW w:w="1518" w:type="dxa"/>
            <w:vAlign w:val="center"/>
          </w:tcPr>
          <w:p w14:paraId="595DDC8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lang w:val="en-US" w:eastAsia="zh-CN"/>
              </w:rPr>
              <w:t>玉米秸秆</w:t>
            </w:r>
          </w:p>
        </w:tc>
        <w:tc>
          <w:tcPr>
            <w:tcW w:w="844" w:type="dxa"/>
            <w:vAlign w:val="center"/>
          </w:tcPr>
          <w:p w14:paraId="0542A5C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highlight w:val="none"/>
                <w:lang w:val="en-US" w:eastAsia="zh-CN"/>
              </w:rPr>
            </w:pPr>
            <w:r>
              <w:rPr>
                <w:rFonts w:hint="default" w:ascii="Times New Roman" w:hAnsi="Times New Roman" w:cs="Times New Roman"/>
                <w:color w:val="FF0000"/>
                <w:highlight w:val="none"/>
                <w:lang w:val="en-US" w:eastAsia="zh-CN"/>
              </w:rPr>
              <w:t>吨</w:t>
            </w:r>
          </w:p>
        </w:tc>
        <w:tc>
          <w:tcPr>
            <w:tcW w:w="988" w:type="dxa"/>
            <w:tcBorders>
              <w:bottom w:val="single" w:color="auto" w:sz="4" w:space="0"/>
            </w:tcBorders>
            <w:vAlign w:val="center"/>
          </w:tcPr>
          <w:p w14:paraId="0F6CA95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10000</w:t>
            </w:r>
          </w:p>
        </w:tc>
        <w:tc>
          <w:tcPr>
            <w:tcW w:w="4929" w:type="dxa"/>
            <w:tcBorders>
              <w:bottom w:val="single" w:color="auto" w:sz="4" w:space="0"/>
              <w:right w:val="nil"/>
            </w:tcBorders>
            <w:vAlign w:val="center"/>
          </w:tcPr>
          <w:p w14:paraId="6737978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2"/>
                <w:highlight w:val="none"/>
                <w:lang w:val="en-US" w:eastAsia="zh-CN"/>
              </w:rPr>
            </w:pPr>
            <w:r>
              <w:rPr>
                <w:rFonts w:hint="default" w:ascii="Times New Roman" w:hAnsi="Times New Roman" w:cs="Times New Roman"/>
                <w:color w:val="FF0000"/>
                <w:spacing w:val="-2"/>
                <w:highlight w:val="none"/>
                <w:lang w:val="en-US" w:eastAsia="zh-CN"/>
              </w:rPr>
              <w:t>青贮饲料，切碎后放入青贮窖</w:t>
            </w:r>
          </w:p>
        </w:tc>
      </w:tr>
      <w:tr w14:paraId="7A35B5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vAlign w:val="center"/>
          </w:tcPr>
          <w:p w14:paraId="25F3B7E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w:t>
            </w:r>
          </w:p>
        </w:tc>
        <w:tc>
          <w:tcPr>
            <w:tcW w:w="1518" w:type="dxa"/>
            <w:vAlign w:val="center"/>
          </w:tcPr>
          <w:p w14:paraId="5728FA0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2"/>
                <w:highlight w:val="none"/>
                <w:lang w:val="en-US" w:eastAsia="zh-CN"/>
              </w:rPr>
            </w:pPr>
            <w:r>
              <w:rPr>
                <w:rFonts w:hint="default" w:ascii="Times New Roman" w:hAnsi="Times New Roman" w:cs="Times New Roman"/>
                <w:color w:val="auto"/>
                <w:spacing w:val="-2"/>
                <w:highlight w:val="none"/>
                <w:lang w:val="en-US" w:eastAsia="zh-CN"/>
              </w:rPr>
              <w:t>精饲料</w:t>
            </w:r>
          </w:p>
        </w:tc>
        <w:tc>
          <w:tcPr>
            <w:tcW w:w="844" w:type="dxa"/>
            <w:vAlign w:val="center"/>
          </w:tcPr>
          <w:p w14:paraId="0445603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6"/>
                <w:highlight w:val="none"/>
                <w:lang w:val="en-US" w:eastAsia="zh-CN"/>
              </w:rPr>
            </w:pPr>
            <w:r>
              <w:rPr>
                <w:rFonts w:hint="default" w:ascii="Times New Roman" w:hAnsi="Times New Roman" w:cs="Times New Roman"/>
                <w:color w:val="auto"/>
                <w:spacing w:val="-6"/>
                <w:highlight w:val="none"/>
                <w:lang w:val="en-US" w:eastAsia="zh-CN"/>
              </w:rPr>
              <w:t>吨</w:t>
            </w:r>
          </w:p>
        </w:tc>
        <w:tc>
          <w:tcPr>
            <w:tcW w:w="988" w:type="dxa"/>
            <w:tcBorders>
              <w:top w:val="single" w:color="auto" w:sz="4" w:space="0"/>
            </w:tcBorders>
            <w:vAlign w:val="center"/>
          </w:tcPr>
          <w:p w14:paraId="511FBD8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4"/>
                <w:sz w:val="21"/>
                <w:szCs w:val="21"/>
                <w:highlight w:val="none"/>
                <w:lang w:val="en-US" w:eastAsia="zh-CN"/>
              </w:rPr>
            </w:pPr>
            <w:r>
              <w:rPr>
                <w:rFonts w:hint="default" w:ascii="Times New Roman" w:hAnsi="Times New Roman" w:eastAsia="宋体" w:cs="Times New Roman"/>
                <w:color w:val="auto"/>
                <w:spacing w:val="-4"/>
                <w:sz w:val="21"/>
                <w:szCs w:val="21"/>
                <w:highlight w:val="none"/>
                <w:lang w:val="en-US" w:eastAsia="zh-CN"/>
              </w:rPr>
              <w:t>10000</w:t>
            </w:r>
          </w:p>
        </w:tc>
        <w:tc>
          <w:tcPr>
            <w:tcW w:w="4929" w:type="dxa"/>
            <w:vMerge w:val="restart"/>
            <w:tcBorders>
              <w:top w:val="single" w:color="auto" w:sz="4" w:space="0"/>
              <w:right w:val="nil"/>
            </w:tcBorders>
            <w:vAlign w:val="center"/>
          </w:tcPr>
          <w:p w14:paraId="3F75DF0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2"/>
                <w:highlight w:val="none"/>
                <w:lang w:val="en-US" w:eastAsia="zh-CN"/>
              </w:rPr>
            </w:pPr>
            <w:r>
              <w:rPr>
                <w:rFonts w:hint="default" w:ascii="Times New Roman" w:hAnsi="Times New Roman" w:cs="Times New Roman"/>
                <w:color w:val="auto"/>
                <w:highlight w:val="none"/>
                <w:lang w:val="en-US" w:eastAsia="zh-CN"/>
              </w:rPr>
              <w:t>外购饲料不在厂区内加工</w:t>
            </w:r>
          </w:p>
        </w:tc>
      </w:tr>
      <w:tr w14:paraId="64B130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vAlign w:val="center"/>
          </w:tcPr>
          <w:p w14:paraId="307CD12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w:t>
            </w:r>
          </w:p>
        </w:tc>
        <w:tc>
          <w:tcPr>
            <w:tcW w:w="1518" w:type="dxa"/>
            <w:vAlign w:val="center"/>
          </w:tcPr>
          <w:p w14:paraId="53F0BC4E">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2"/>
                <w:highlight w:val="none"/>
                <w:lang w:val="en-US" w:eastAsia="zh-CN"/>
              </w:rPr>
            </w:pPr>
            <w:r>
              <w:rPr>
                <w:rFonts w:hint="default" w:ascii="Times New Roman" w:hAnsi="Times New Roman" w:cs="Times New Roman"/>
                <w:color w:val="auto"/>
                <w:spacing w:val="-2"/>
                <w:highlight w:val="none"/>
                <w:lang w:val="en-US" w:eastAsia="zh-CN"/>
              </w:rPr>
              <w:t>草料</w:t>
            </w:r>
          </w:p>
        </w:tc>
        <w:tc>
          <w:tcPr>
            <w:tcW w:w="844" w:type="dxa"/>
            <w:vAlign w:val="center"/>
          </w:tcPr>
          <w:p w14:paraId="3FA810AD">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6"/>
                <w:highlight w:val="none"/>
                <w:lang w:val="en-US" w:eastAsia="zh-CN"/>
              </w:rPr>
            </w:pPr>
            <w:r>
              <w:rPr>
                <w:rFonts w:hint="default" w:ascii="Times New Roman" w:hAnsi="Times New Roman" w:cs="Times New Roman"/>
                <w:color w:val="auto"/>
                <w:spacing w:val="-6"/>
                <w:highlight w:val="none"/>
                <w:lang w:val="en-US" w:eastAsia="zh-CN"/>
              </w:rPr>
              <w:t>吨</w:t>
            </w:r>
          </w:p>
        </w:tc>
        <w:tc>
          <w:tcPr>
            <w:tcW w:w="988" w:type="dxa"/>
            <w:vAlign w:val="center"/>
          </w:tcPr>
          <w:p w14:paraId="6898516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4"/>
                <w:sz w:val="21"/>
                <w:szCs w:val="21"/>
                <w:highlight w:val="none"/>
                <w:lang w:val="en-US" w:eastAsia="zh-CN"/>
              </w:rPr>
            </w:pPr>
            <w:r>
              <w:rPr>
                <w:rFonts w:hint="default" w:ascii="Times New Roman" w:hAnsi="Times New Roman" w:eastAsia="宋体" w:cs="Times New Roman"/>
                <w:color w:val="auto"/>
                <w:spacing w:val="-4"/>
                <w:sz w:val="21"/>
                <w:szCs w:val="21"/>
                <w:highlight w:val="none"/>
                <w:lang w:val="en-US" w:eastAsia="zh-CN"/>
              </w:rPr>
              <w:t>5000</w:t>
            </w:r>
          </w:p>
        </w:tc>
        <w:tc>
          <w:tcPr>
            <w:tcW w:w="4929" w:type="dxa"/>
            <w:vMerge w:val="continue"/>
            <w:tcBorders>
              <w:right w:val="nil"/>
            </w:tcBorders>
            <w:vAlign w:val="center"/>
          </w:tcPr>
          <w:p w14:paraId="345325E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2"/>
                <w:highlight w:val="none"/>
                <w:lang w:val="en-US" w:eastAsia="zh-CN"/>
              </w:rPr>
            </w:pPr>
          </w:p>
        </w:tc>
      </w:tr>
      <w:tr w14:paraId="08C8FE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shd w:val="clear" w:color="auto" w:fill="auto"/>
            <w:vAlign w:val="center"/>
          </w:tcPr>
          <w:p w14:paraId="13868F1E">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w:t>
            </w:r>
          </w:p>
        </w:tc>
        <w:tc>
          <w:tcPr>
            <w:tcW w:w="1518" w:type="dxa"/>
            <w:vAlign w:val="center"/>
          </w:tcPr>
          <w:p w14:paraId="4A099AE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pacing w:val="-2"/>
                <w:highlight w:val="none"/>
                <w:lang w:val="en-US" w:eastAsia="zh-CN"/>
              </w:rPr>
            </w:pPr>
            <w:r>
              <w:rPr>
                <w:rFonts w:hint="default" w:ascii="Times New Roman" w:hAnsi="Times New Roman" w:eastAsia="宋体" w:cs="Times New Roman"/>
                <w:color w:val="auto"/>
                <w:sz w:val="21"/>
                <w:szCs w:val="21"/>
                <w:highlight w:val="none"/>
              </w:rPr>
              <w:t>干撒式发酵床发酵菌剂</w:t>
            </w:r>
          </w:p>
        </w:tc>
        <w:tc>
          <w:tcPr>
            <w:tcW w:w="844" w:type="dxa"/>
            <w:vAlign w:val="center"/>
          </w:tcPr>
          <w:p w14:paraId="24C900F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pacing w:val="-6"/>
                <w:highlight w:val="none"/>
                <w:lang w:val="en-US" w:eastAsia="zh-CN"/>
              </w:rPr>
            </w:pPr>
            <w:r>
              <w:rPr>
                <w:rFonts w:hint="default" w:ascii="Times New Roman" w:hAnsi="Times New Roman" w:cs="Times New Roman"/>
                <w:color w:val="auto"/>
                <w:spacing w:val="-6"/>
                <w:highlight w:val="none"/>
                <w:lang w:val="en-US" w:eastAsia="zh-CN"/>
              </w:rPr>
              <w:t>吨</w:t>
            </w:r>
          </w:p>
        </w:tc>
        <w:tc>
          <w:tcPr>
            <w:tcW w:w="988" w:type="dxa"/>
            <w:vAlign w:val="center"/>
          </w:tcPr>
          <w:p w14:paraId="4BD175A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4"/>
                <w:sz w:val="21"/>
                <w:szCs w:val="21"/>
                <w:highlight w:val="none"/>
                <w:lang w:val="en-US" w:eastAsia="zh-CN"/>
              </w:rPr>
            </w:pPr>
            <w:r>
              <w:rPr>
                <w:rFonts w:hint="default" w:ascii="Times New Roman" w:hAnsi="Times New Roman" w:eastAsia="宋体" w:cs="Times New Roman"/>
                <w:color w:val="auto"/>
                <w:spacing w:val="-4"/>
                <w:sz w:val="21"/>
                <w:szCs w:val="21"/>
                <w:highlight w:val="none"/>
                <w:lang w:val="en-US" w:eastAsia="zh-CN"/>
              </w:rPr>
              <w:t>10</w:t>
            </w:r>
          </w:p>
        </w:tc>
        <w:tc>
          <w:tcPr>
            <w:tcW w:w="4929" w:type="dxa"/>
            <w:tcBorders>
              <w:right w:val="nil"/>
            </w:tcBorders>
            <w:vAlign w:val="center"/>
          </w:tcPr>
          <w:p w14:paraId="7D02016D">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1"/>
                <w:highlight w:val="none"/>
                <w:lang w:eastAsia="zh-CN"/>
              </w:rPr>
            </w:pPr>
            <w:r>
              <w:rPr>
                <w:rFonts w:hint="default" w:ascii="Times New Roman" w:hAnsi="Times New Roman" w:eastAsia="宋体" w:cs="Times New Roman"/>
                <w:color w:val="auto"/>
                <w:sz w:val="21"/>
                <w:szCs w:val="21"/>
                <w:highlight w:val="none"/>
              </w:rPr>
              <w:t>外购</w:t>
            </w:r>
            <w:r>
              <w:rPr>
                <w:rFonts w:hint="default" w:ascii="Times New Roman" w:hAnsi="Times New Roman" w:cs="Times New Roman"/>
                <w:color w:val="auto"/>
                <w:sz w:val="21"/>
                <w:szCs w:val="21"/>
                <w:highlight w:val="none"/>
                <w:lang w:eastAsia="zh-CN"/>
              </w:rPr>
              <w:t>；</w:t>
            </w:r>
            <w:r>
              <w:rPr>
                <w:rFonts w:hint="default" w:ascii="Times New Roman" w:hAnsi="Times New Roman" w:cs="Times New Roman"/>
                <w:color w:val="FF0000"/>
                <w:sz w:val="21"/>
                <w:szCs w:val="21"/>
                <w:highlight w:val="none"/>
                <w:lang w:val="en-US" w:eastAsia="zh-CN"/>
              </w:rPr>
              <w:t>制作用量管理台账</w:t>
            </w:r>
          </w:p>
        </w:tc>
      </w:tr>
      <w:tr w14:paraId="5E31BB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shd w:val="clear" w:color="auto" w:fill="auto"/>
            <w:vAlign w:val="center"/>
          </w:tcPr>
          <w:p w14:paraId="34023648">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5</w:t>
            </w:r>
          </w:p>
        </w:tc>
        <w:tc>
          <w:tcPr>
            <w:tcW w:w="1518" w:type="dxa"/>
            <w:shd w:val="clear" w:color="auto" w:fill="auto"/>
            <w:vAlign w:val="center"/>
          </w:tcPr>
          <w:p w14:paraId="6D8011AC">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4"/>
                <w:highlight w:val="none"/>
              </w:rPr>
              <w:t>除臭剂</w:t>
            </w:r>
          </w:p>
        </w:tc>
        <w:tc>
          <w:tcPr>
            <w:tcW w:w="844" w:type="dxa"/>
            <w:shd w:val="clear" w:color="auto" w:fill="auto"/>
            <w:vAlign w:val="center"/>
          </w:tcPr>
          <w:p w14:paraId="733199B5">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6"/>
                <w:highlight w:val="none"/>
              </w:rPr>
              <w:t>吨</w:t>
            </w:r>
          </w:p>
        </w:tc>
        <w:tc>
          <w:tcPr>
            <w:tcW w:w="988" w:type="dxa"/>
            <w:shd w:val="clear" w:color="auto" w:fill="auto"/>
            <w:vAlign w:val="center"/>
          </w:tcPr>
          <w:p w14:paraId="2F1F6C44">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w:t>
            </w:r>
          </w:p>
        </w:tc>
        <w:tc>
          <w:tcPr>
            <w:tcW w:w="4929" w:type="dxa"/>
            <w:tcBorders>
              <w:right w:val="nil"/>
            </w:tcBorders>
            <w:shd w:val="clear" w:color="auto" w:fill="auto"/>
            <w:vAlign w:val="center"/>
          </w:tcPr>
          <w:p w14:paraId="11B76022">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176" w:righ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3"/>
                <w:highlight w:val="none"/>
              </w:rPr>
              <w:t>外购微生物型除臭剂原液，稀释</w:t>
            </w:r>
            <w:r>
              <w:rPr>
                <w:rFonts w:hint="default" w:ascii="Times New Roman" w:hAnsi="Times New Roman" w:eastAsia="Times New Roman" w:cs="Times New Roman"/>
                <w:color w:val="auto"/>
                <w:spacing w:val="-3"/>
                <w:highlight w:val="none"/>
              </w:rPr>
              <w:t>100</w:t>
            </w:r>
            <w:r>
              <w:rPr>
                <w:rFonts w:hint="default" w:ascii="Times New Roman" w:hAnsi="Times New Roman" w:cs="Times New Roman"/>
                <w:color w:val="auto"/>
                <w:spacing w:val="-3"/>
                <w:highlight w:val="none"/>
              </w:rPr>
              <w:t>倍后喷洒，用</w:t>
            </w:r>
            <w:r>
              <w:rPr>
                <w:rFonts w:hint="default" w:ascii="Times New Roman" w:hAnsi="Times New Roman" w:cs="Times New Roman"/>
                <w:color w:val="auto"/>
                <w:spacing w:val="-2"/>
                <w:highlight w:val="none"/>
              </w:rPr>
              <w:t>于牛舍、</w:t>
            </w:r>
            <w:r>
              <w:rPr>
                <w:rFonts w:hint="default" w:ascii="Times New Roman" w:hAnsi="Times New Roman" w:cs="Times New Roman"/>
                <w:color w:val="auto"/>
                <w:spacing w:val="-2"/>
                <w:highlight w:val="none"/>
                <w:lang w:eastAsia="zh-CN"/>
              </w:rPr>
              <w:t>粪污储存间</w:t>
            </w:r>
            <w:r>
              <w:rPr>
                <w:rFonts w:hint="default" w:ascii="Times New Roman" w:hAnsi="Times New Roman" w:cs="Times New Roman"/>
                <w:color w:val="auto"/>
                <w:spacing w:val="-2"/>
                <w:highlight w:val="none"/>
              </w:rPr>
              <w:t>除臭。为桶装，存放于办公楼。</w:t>
            </w:r>
          </w:p>
        </w:tc>
      </w:tr>
      <w:tr w14:paraId="27C365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shd w:val="clear" w:color="auto" w:fill="auto"/>
            <w:vAlign w:val="center"/>
          </w:tcPr>
          <w:p w14:paraId="4976017A">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6</w:t>
            </w:r>
          </w:p>
        </w:tc>
        <w:tc>
          <w:tcPr>
            <w:tcW w:w="1518" w:type="dxa"/>
            <w:shd w:val="clear" w:color="auto" w:fill="auto"/>
            <w:vAlign w:val="center"/>
          </w:tcPr>
          <w:p w14:paraId="32CFF8CA">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cs="Times New Roman"/>
                <w:color w:val="auto"/>
                <w:spacing w:val="-2"/>
                <w:highlight w:val="none"/>
              </w:rPr>
              <w:t>消毒剂</w:t>
            </w:r>
            <w:r>
              <w:rPr>
                <w:rFonts w:hint="default" w:ascii="Times New Roman" w:hAnsi="Times New Roman" w:cs="Times New Roman"/>
                <w:color w:val="auto"/>
                <w:spacing w:val="-3"/>
                <w:highlight w:val="none"/>
              </w:rPr>
              <w:t>（</w:t>
            </w:r>
            <w:r>
              <w:rPr>
                <w:rFonts w:hint="default" w:ascii="Times New Roman" w:hAnsi="Times New Roman" w:eastAsia="宋体" w:cs="Times New Roman"/>
                <w:color w:val="auto"/>
                <w:sz w:val="21"/>
                <w:szCs w:val="21"/>
                <w:highlight w:val="none"/>
              </w:rPr>
              <w:t>过氧乙酸</w:t>
            </w:r>
            <w:r>
              <w:rPr>
                <w:rFonts w:hint="default" w:ascii="Times New Roman" w:hAnsi="Times New Roman" w:cs="Times New Roman"/>
                <w:color w:val="auto"/>
                <w:spacing w:val="-3"/>
                <w:highlight w:val="none"/>
              </w:rPr>
              <w:t>）</w:t>
            </w:r>
          </w:p>
        </w:tc>
        <w:tc>
          <w:tcPr>
            <w:tcW w:w="844" w:type="dxa"/>
            <w:shd w:val="clear" w:color="auto" w:fill="auto"/>
            <w:vAlign w:val="center"/>
          </w:tcPr>
          <w:p w14:paraId="5AAE0A23">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6"/>
                <w:highlight w:val="none"/>
              </w:rPr>
              <w:t>吨</w:t>
            </w:r>
            <w:r>
              <w:rPr>
                <w:rFonts w:hint="default" w:ascii="Times New Roman" w:hAnsi="Times New Roman" w:eastAsia="Times New Roman" w:cs="Times New Roman"/>
                <w:color w:val="auto"/>
                <w:spacing w:val="-6"/>
                <w:highlight w:val="none"/>
              </w:rPr>
              <w:t>/</w:t>
            </w:r>
            <w:r>
              <w:rPr>
                <w:rFonts w:hint="default" w:ascii="Times New Roman" w:hAnsi="Times New Roman" w:cs="Times New Roman"/>
                <w:color w:val="auto"/>
                <w:spacing w:val="-6"/>
                <w:highlight w:val="none"/>
              </w:rPr>
              <w:t>年</w:t>
            </w:r>
          </w:p>
        </w:tc>
        <w:tc>
          <w:tcPr>
            <w:tcW w:w="988" w:type="dxa"/>
            <w:shd w:val="clear" w:color="auto" w:fill="auto"/>
            <w:vAlign w:val="center"/>
          </w:tcPr>
          <w:p w14:paraId="68A1CF90">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pacing w:val="-5"/>
                <w:sz w:val="21"/>
                <w:szCs w:val="21"/>
                <w:highlight w:val="none"/>
                <w:lang w:val="en-US" w:eastAsia="zh-CN"/>
              </w:rPr>
              <w:t>1</w:t>
            </w:r>
          </w:p>
        </w:tc>
        <w:tc>
          <w:tcPr>
            <w:tcW w:w="4929" w:type="dxa"/>
            <w:tcBorders>
              <w:right w:val="nil"/>
            </w:tcBorders>
            <w:shd w:val="clear" w:color="auto" w:fill="auto"/>
            <w:vAlign w:val="center"/>
          </w:tcPr>
          <w:p w14:paraId="48A66B96">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cs="Times New Roman"/>
                <w:color w:val="auto"/>
                <w:spacing w:val="-1"/>
                <w:highlight w:val="none"/>
              </w:rPr>
              <w:t>外购，为桶装，用于饲养人员消毒</w:t>
            </w:r>
            <w:r>
              <w:rPr>
                <w:rFonts w:hint="default" w:ascii="Times New Roman" w:hAnsi="Times New Roman" w:cs="Times New Roman"/>
                <w:color w:val="auto"/>
                <w:spacing w:val="-1"/>
                <w:highlight w:val="none"/>
                <w:lang w:eastAsia="zh-CN"/>
              </w:rPr>
              <w:t>；</w:t>
            </w:r>
            <w:r>
              <w:rPr>
                <w:rFonts w:hint="default" w:ascii="Times New Roman" w:hAnsi="Times New Roman" w:cs="Times New Roman"/>
                <w:color w:val="FF0000"/>
                <w:sz w:val="21"/>
                <w:szCs w:val="21"/>
                <w:highlight w:val="none"/>
                <w:lang w:val="en-US" w:eastAsia="zh-CN"/>
              </w:rPr>
              <w:t>制作用量管理台账</w:t>
            </w:r>
          </w:p>
        </w:tc>
      </w:tr>
      <w:tr w14:paraId="4E3CB4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shd w:val="clear" w:color="auto" w:fill="auto"/>
            <w:vAlign w:val="center"/>
          </w:tcPr>
          <w:p w14:paraId="6D994542">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7</w:t>
            </w:r>
          </w:p>
        </w:tc>
        <w:tc>
          <w:tcPr>
            <w:tcW w:w="1518" w:type="dxa"/>
            <w:shd w:val="clear" w:color="auto" w:fill="auto"/>
            <w:vAlign w:val="center"/>
          </w:tcPr>
          <w:p w14:paraId="7E8F5895">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2"/>
                <w:highlight w:val="none"/>
              </w:rPr>
              <w:t>疫苗</w:t>
            </w:r>
          </w:p>
        </w:tc>
        <w:tc>
          <w:tcPr>
            <w:tcW w:w="844" w:type="dxa"/>
            <w:shd w:val="clear" w:color="auto" w:fill="auto"/>
            <w:vAlign w:val="center"/>
          </w:tcPr>
          <w:p w14:paraId="5C4AA2C0">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highlight w:val="none"/>
              </w:rPr>
              <w:t>只</w:t>
            </w:r>
          </w:p>
        </w:tc>
        <w:tc>
          <w:tcPr>
            <w:tcW w:w="988" w:type="dxa"/>
            <w:shd w:val="clear" w:color="auto" w:fill="auto"/>
            <w:vAlign w:val="center"/>
          </w:tcPr>
          <w:p w14:paraId="7FEEC706">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pacing w:val="-2"/>
                <w:sz w:val="21"/>
                <w:szCs w:val="21"/>
                <w:highlight w:val="none"/>
                <w:lang w:val="en-US" w:eastAsia="zh-CN"/>
              </w:rPr>
              <w:t>5000</w:t>
            </w:r>
          </w:p>
        </w:tc>
        <w:tc>
          <w:tcPr>
            <w:tcW w:w="4929" w:type="dxa"/>
            <w:tcBorders>
              <w:right w:val="nil"/>
            </w:tcBorders>
            <w:shd w:val="clear" w:color="auto" w:fill="auto"/>
            <w:vAlign w:val="center"/>
          </w:tcPr>
          <w:p w14:paraId="18309018">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3"/>
                <w:highlight w:val="none"/>
              </w:rPr>
              <w:t>外购</w:t>
            </w:r>
          </w:p>
        </w:tc>
      </w:tr>
      <w:tr w14:paraId="41F019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3" w:hRule="atLeast"/>
          <w:jc w:val="center"/>
        </w:trPr>
        <w:tc>
          <w:tcPr>
            <w:tcW w:w="742" w:type="dxa"/>
            <w:tcBorders>
              <w:left w:val="nil"/>
            </w:tcBorders>
            <w:shd w:val="clear" w:color="auto" w:fill="auto"/>
            <w:vAlign w:val="center"/>
          </w:tcPr>
          <w:p w14:paraId="109B3DD3">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8</w:t>
            </w:r>
          </w:p>
        </w:tc>
        <w:tc>
          <w:tcPr>
            <w:tcW w:w="1518" w:type="dxa"/>
            <w:shd w:val="clear" w:color="auto" w:fill="auto"/>
            <w:vAlign w:val="center"/>
          </w:tcPr>
          <w:p w14:paraId="4D3B65A2">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cs="Times New Roman"/>
                <w:snapToGrid w:val="0"/>
                <w:color w:val="auto"/>
                <w:kern w:val="0"/>
                <w:sz w:val="21"/>
                <w:szCs w:val="21"/>
                <w:highlight w:val="none"/>
                <w:lang w:val="en-US" w:eastAsia="zh-CN" w:bidi="ar-SA"/>
              </w:rPr>
              <w:t>水</w:t>
            </w:r>
          </w:p>
        </w:tc>
        <w:tc>
          <w:tcPr>
            <w:tcW w:w="844" w:type="dxa"/>
            <w:shd w:val="clear" w:color="auto" w:fill="auto"/>
            <w:vAlign w:val="center"/>
          </w:tcPr>
          <w:p w14:paraId="1338E2EE">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cs="Times New Roman"/>
                <w:snapToGrid w:val="0"/>
                <w:color w:val="auto"/>
                <w:kern w:val="0"/>
                <w:sz w:val="21"/>
                <w:szCs w:val="21"/>
                <w:highlight w:val="none"/>
                <w:lang w:val="en-US" w:eastAsia="zh-CN" w:bidi="ar-SA"/>
              </w:rPr>
              <w:t>吨</w:t>
            </w:r>
          </w:p>
        </w:tc>
        <w:tc>
          <w:tcPr>
            <w:tcW w:w="988" w:type="dxa"/>
            <w:shd w:val="clear" w:color="auto" w:fill="auto"/>
            <w:vAlign w:val="center"/>
          </w:tcPr>
          <w:p w14:paraId="293A9297">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kern w:val="0"/>
                <w:sz w:val="21"/>
                <w:szCs w:val="21"/>
                <w:highlight w:val="none"/>
                <w:lang w:val="en-US" w:eastAsia="zh-CN" w:bidi="ar-SA"/>
              </w:rPr>
              <w:t>108734</w:t>
            </w:r>
          </w:p>
        </w:tc>
        <w:tc>
          <w:tcPr>
            <w:tcW w:w="4929" w:type="dxa"/>
            <w:tcBorders>
              <w:right w:val="nil"/>
            </w:tcBorders>
            <w:shd w:val="clear" w:color="auto" w:fill="auto"/>
            <w:vAlign w:val="center"/>
          </w:tcPr>
          <w:p w14:paraId="0AF138B1">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cs="Times New Roman"/>
                <w:snapToGrid w:val="0"/>
                <w:color w:val="auto"/>
                <w:kern w:val="0"/>
                <w:sz w:val="21"/>
                <w:szCs w:val="21"/>
                <w:highlight w:val="none"/>
                <w:lang w:val="en-US" w:eastAsia="zh-CN" w:bidi="ar-SA"/>
              </w:rPr>
              <w:t>厂区3眼井水提供</w:t>
            </w:r>
          </w:p>
        </w:tc>
      </w:tr>
      <w:tr w14:paraId="49CD55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742" w:type="dxa"/>
            <w:tcBorders>
              <w:left w:val="nil"/>
            </w:tcBorders>
            <w:shd w:val="clear" w:color="auto" w:fill="auto"/>
            <w:vAlign w:val="center"/>
          </w:tcPr>
          <w:p w14:paraId="61CFDE63">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9</w:t>
            </w:r>
          </w:p>
        </w:tc>
        <w:tc>
          <w:tcPr>
            <w:tcW w:w="1518" w:type="dxa"/>
            <w:shd w:val="clear" w:color="auto" w:fill="auto"/>
            <w:vAlign w:val="center"/>
          </w:tcPr>
          <w:p w14:paraId="3F889CF2">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highlight w:val="none"/>
              </w:rPr>
              <w:t>电</w:t>
            </w:r>
          </w:p>
        </w:tc>
        <w:tc>
          <w:tcPr>
            <w:tcW w:w="844" w:type="dxa"/>
            <w:shd w:val="clear" w:color="auto" w:fill="auto"/>
            <w:vAlign w:val="center"/>
          </w:tcPr>
          <w:p w14:paraId="13CAF39B">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z w:val="21"/>
                <w:szCs w:val="21"/>
                <w:highlight w:val="none"/>
              </w:rPr>
              <w:t>kW·h/a</w:t>
            </w:r>
          </w:p>
        </w:tc>
        <w:tc>
          <w:tcPr>
            <w:tcW w:w="988" w:type="dxa"/>
            <w:shd w:val="clear" w:color="auto" w:fill="auto"/>
            <w:vAlign w:val="center"/>
          </w:tcPr>
          <w:p w14:paraId="743CA927">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snapToGrid w:val="0"/>
                <w:color w:val="auto"/>
                <w:kern w:val="0"/>
                <w:sz w:val="21"/>
                <w:szCs w:val="21"/>
                <w:highlight w:val="none"/>
                <w:lang w:val="en-US" w:eastAsia="zh-CN" w:bidi="ar-SA"/>
              </w:rPr>
            </w:pPr>
            <w:r>
              <w:rPr>
                <w:rFonts w:hint="default" w:ascii="Times New Roman" w:hAnsi="Times New Roman" w:eastAsia="Times New Roman" w:cs="Times New Roman"/>
                <w:color w:val="auto"/>
                <w:spacing w:val="-5"/>
                <w:sz w:val="21"/>
                <w:szCs w:val="21"/>
                <w:highlight w:val="none"/>
              </w:rPr>
              <w:t>1500</w:t>
            </w:r>
          </w:p>
        </w:tc>
        <w:tc>
          <w:tcPr>
            <w:tcW w:w="4929" w:type="dxa"/>
            <w:tcBorders>
              <w:right w:val="nil"/>
            </w:tcBorders>
            <w:shd w:val="clear" w:color="auto" w:fill="auto"/>
            <w:vAlign w:val="center"/>
          </w:tcPr>
          <w:p w14:paraId="34863170">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5"/>
                <w:highlight w:val="none"/>
              </w:rPr>
              <w:t>由区域电网供给</w:t>
            </w:r>
          </w:p>
        </w:tc>
      </w:tr>
      <w:tr w14:paraId="0FB401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shd w:val="clear" w:color="auto" w:fill="auto"/>
            <w:vAlign w:val="center"/>
          </w:tcPr>
          <w:p w14:paraId="093CF9A5">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snapToGrid w:val="0"/>
                <w:color w:val="FF0000"/>
                <w:kern w:val="0"/>
                <w:sz w:val="21"/>
                <w:szCs w:val="21"/>
                <w:highlight w:val="none"/>
                <w:lang w:val="en-US" w:eastAsia="zh-CN" w:bidi="ar-SA"/>
              </w:rPr>
              <w:t>10</w:t>
            </w:r>
          </w:p>
        </w:tc>
        <w:tc>
          <w:tcPr>
            <w:tcW w:w="1518" w:type="dxa"/>
            <w:shd w:val="clear" w:color="auto" w:fill="auto"/>
            <w:vAlign w:val="center"/>
          </w:tcPr>
          <w:p w14:paraId="127F6C8A">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highlight w:val="none"/>
                <w:lang w:val="en-US" w:eastAsia="zh-CN"/>
              </w:rPr>
            </w:pPr>
            <w:r>
              <w:rPr>
                <w:rFonts w:hint="default" w:ascii="Times New Roman" w:hAnsi="Times New Roman" w:cs="Times New Roman"/>
                <w:color w:val="FF0000"/>
                <w:highlight w:val="none"/>
                <w:lang w:val="en-US" w:eastAsia="zh-CN"/>
              </w:rPr>
              <w:t>发酵床垫料</w:t>
            </w:r>
          </w:p>
        </w:tc>
        <w:tc>
          <w:tcPr>
            <w:tcW w:w="844" w:type="dxa"/>
            <w:shd w:val="clear" w:color="auto" w:fill="auto"/>
            <w:vAlign w:val="center"/>
          </w:tcPr>
          <w:p w14:paraId="660823D0">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t</w:t>
            </w:r>
            <w:r>
              <w:rPr>
                <w:rFonts w:hint="default" w:ascii="Times New Roman" w:hAnsi="Times New Roman" w:eastAsia="宋体" w:cs="Times New Roman"/>
                <w:color w:val="FF0000"/>
                <w:sz w:val="21"/>
                <w:szCs w:val="21"/>
                <w:highlight w:val="none"/>
              </w:rPr>
              <w:t>/a</w:t>
            </w:r>
          </w:p>
        </w:tc>
        <w:tc>
          <w:tcPr>
            <w:tcW w:w="988" w:type="dxa"/>
            <w:shd w:val="clear" w:color="auto" w:fill="auto"/>
            <w:vAlign w:val="center"/>
          </w:tcPr>
          <w:p w14:paraId="0D54D907">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pacing w:val="-5"/>
                <w:sz w:val="21"/>
                <w:szCs w:val="21"/>
                <w:highlight w:val="none"/>
                <w:lang w:val="en-US" w:eastAsia="zh-CN"/>
              </w:rPr>
            </w:pPr>
            <w:r>
              <w:rPr>
                <w:rFonts w:hint="default" w:ascii="Times New Roman" w:hAnsi="Times New Roman" w:eastAsia="宋体" w:cs="Times New Roman"/>
                <w:color w:val="FF0000"/>
                <w:spacing w:val="-5"/>
                <w:sz w:val="21"/>
                <w:szCs w:val="21"/>
                <w:highlight w:val="none"/>
                <w:lang w:val="en-US" w:eastAsia="zh-CN"/>
              </w:rPr>
              <w:t>2790</w:t>
            </w:r>
          </w:p>
        </w:tc>
        <w:tc>
          <w:tcPr>
            <w:tcW w:w="4929" w:type="dxa"/>
            <w:tcBorders>
              <w:right w:val="nil"/>
            </w:tcBorders>
            <w:shd w:val="clear" w:color="auto" w:fill="auto"/>
            <w:vAlign w:val="center"/>
          </w:tcPr>
          <w:p w14:paraId="4D6893B1">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pacing w:val="-5"/>
                <w:highlight w:val="none"/>
                <w:lang w:val="en-US" w:eastAsia="zh-CN"/>
              </w:rPr>
            </w:pPr>
            <w:r>
              <w:rPr>
                <w:rFonts w:hint="default" w:ascii="Times New Roman" w:hAnsi="Times New Roman" w:eastAsia="宋体" w:cs="Times New Roman"/>
                <w:color w:val="FF0000"/>
                <w:sz w:val="21"/>
                <w:szCs w:val="21"/>
                <w:highlight w:val="none"/>
              </w:rPr>
              <w:t>外购</w:t>
            </w:r>
            <w:r>
              <w:rPr>
                <w:rFonts w:hint="default" w:ascii="Times New Roman" w:hAnsi="Times New Roman" w:cs="Times New Roman"/>
                <w:color w:val="FF0000"/>
                <w:sz w:val="21"/>
                <w:szCs w:val="21"/>
                <w:highlight w:val="none"/>
                <w:lang w:eastAsia="zh-CN"/>
              </w:rPr>
              <w:t>；</w:t>
            </w:r>
            <w:r>
              <w:rPr>
                <w:rFonts w:hint="default" w:ascii="Times New Roman" w:hAnsi="Times New Roman" w:cs="Times New Roman"/>
                <w:color w:val="FF0000"/>
                <w:sz w:val="21"/>
                <w:szCs w:val="21"/>
                <w:highlight w:val="none"/>
                <w:lang w:val="en-US" w:eastAsia="zh-CN"/>
              </w:rPr>
              <w:t>制作用量管理台账</w:t>
            </w:r>
          </w:p>
        </w:tc>
      </w:tr>
      <w:tr w14:paraId="50D36C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42" w:type="dxa"/>
            <w:tcBorders>
              <w:left w:val="nil"/>
            </w:tcBorders>
            <w:shd w:val="clear" w:color="auto" w:fill="auto"/>
            <w:vAlign w:val="center"/>
          </w:tcPr>
          <w:p w14:paraId="451348B2">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11</w:t>
            </w:r>
          </w:p>
        </w:tc>
        <w:tc>
          <w:tcPr>
            <w:tcW w:w="1518" w:type="dxa"/>
            <w:shd w:val="clear" w:color="auto" w:fill="auto"/>
            <w:vAlign w:val="center"/>
          </w:tcPr>
          <w:p w14:paraId="4110F439">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EM菌剂</w:t>
            </w:r>
          </w:p>
        </w:tc>
        <w:tc>
          <w:tcPr>
            <w:tcW w:w="844" w:type="dxa"/>
            <w:shd w:val="clear" w:color="auto" w:fill="auto"/>
            <w:vAlign w:val="center"/>
          </w:tcPr>
          <w:p w14:paraId="4351B38F">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t/a</w:t>
            </w:r>
          </w:p>
        </w:tc>
        <w:tc>
          <w:tcPr>
            <w:tcW w:w="988" w:type="dxa"/>
            <w:shd w:val="clear" w:color="auto" w:fill="auto"/>
            <w:vAlign w:val="center"/>
          </w:tcPr>
          <w:p w14:paraId="5CFE0ACB">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w:t>
            </w:r>
          </w:p>
        </w:tc>
        <w:tc>
          <w:tcPr>
            <w:tcW w:w="4929" w:type="dxa"/>
            <w:tcBorders>
              <w:right w:val="nil"/>
            </w:tcBorders>
            <w:shd w:val="clear" w:color="auto" w:fill="auto"/>
            <w:vAlign w:val="center"/>
          </w:tcPr>
          <w:p w14:paraId="765E0D6A">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有益菌</w:t>
            </w:r>
            <w:r>
              <w:rPr>
                <w:rFonts w:hint="default" w:ascii="Times New Roman" w:hAnsi="Times New Roman" w:cs="Times New Roman"/>
                <w:color w:val="auto"/>
                <w:sz w:val="21"/>
                <w:szCs w:val="21"/>
                <w:highlight w:val="none"/>
                <w:lang w:val="en-US" w:eastAsia="zh-CN"/>
              </w:rPr>
              <w:t>混合饲料喂牛</w:t>
            </w:r>
          </w:p>
        </w:tc>
      </w:tr>
    </w:tbl>
    <w:p w14:paraId="2C60182C">
      <w:pPr>
        <w:keepNext w:val="0"/>
        <w:keepLines w:val="0"/>
        <w:pageBreakBefore w:val="0"/>
        <w:kinsoku/>
        <w:wordWrap w:val="0"/>
        <w:overflowPunct/>
        <w:topLinePunct/>
        <w:autoSpaceDE/>
        <w:autoSpaceDN/>
        <w:bidi w:val="0"/>
        <w:adjustRightInd w:val="0"/>
        <w:snapToGrid w:val="0"/>
        <w:spacing w:before="1" w:line="213" w:lineRule="auto"/>
        <w:ind w:left="3016"/>
        <w:textAlignment w:val="baseline"/>
        <w:rPr>
          <w:rFonts w:hint="default" w:ascii="Times New Roman" w:hAnsi="Times New Roman" w:eastAsia="宋体" w:cs="Times New Roman"/>
          <w:b/>
          <w:bCs/>
          <w:color w:val="auto"/>
          <w:spacing w:val="-2"/>
          <w:sz w:val="24"/>
          <w:szCs w:val="24"/>
          <w:highlight w:val="none"/>
        </w:rPr>
      </w:pPr>
      <w:r>
        <w:rPr>
          <w:rFonts w:hint="default" w:ascii="Times New Roman" w:hAnsi="Times New Roman" w:eastAsia="宋体" w:cs="Times New Roman"/>
          <w:b/>
          <w:bCs/>
          <w:color w:val="auto"/>
          <w:spacing w:val="-2"/>
          <w:sz w:val="24"/>
          <w:szCs w:val="24"/>
          <w:highlight w:val="none"/>
          <w:lang w:val="en-US" w:eastAsia="zh-CN"/>
        </w:rPr>
        <w:t>表 3.1-5 原辅材料理化性质一览表</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1343"/>
        <w:gridCol w:w="4118"/>
        <w:gridCol w:w="2325"/>
      </w:tblGrid>
      <w:tr w14:paraId="1EE78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41" w:type="dxa"/>
            <w:tcBorders>
              <w:top w:val="single" w:color="auto" w:sz="12" w:space="0"/>
              <w:left w:val="nil"/>
              <w:bottom w:val="single" w:color="auto" w:sz="8" w:space="0"/>
              <w:right w:val="single" w:color="auto" w:sz="8" w:space="0"/>
            </w:tcBorders>
            <w:vAlign w:val="center"/>
          </w:tcPr>
          <w:p w14:paraId="77BE36D4">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eastAsiaTheme="minorEastAsia"/>
                <w:b w:val="0"/>
                <w:bCs w:val="0"/>
                <w:color w:val="FF0000"/>
                <w:spacing w:val="-1"/>
                <w:sz w:val="21"/>
                <w:szCs w:val="21"/>
                <w:highlight w:val="none"/>
                <w:vertAlign w:val="baseline"/>
                <w:lang w:val="en-US" w:eastAsia="zh-CN"/>
              </w:rPr>
            </w:pPr>
            <w:r>
              <w:rPr>
                <w:rFonts w:hint="default" w:ascii="Times New Roman" w:hAnsi="Times New Roman" w:cs="Times New Roman" w:eastAsiaTheme="minorEastAsia"/>
                <w:b w:val="0"/>
                <w:bCs w:val="0"/>
                <w:color w:val="FF0000"/>
                <w:spacing w:val="-1"/>
                <w:sz w:val="21"/>
                <w:szCs w:val="21"/>
                <w:highlight w:val="none"/>
                <w:vertAlign w:val="baseline"/>
                <w:lang w:val="en-US" w:eastAsia="zh-CN"/>
              </w:rPr>
              <w:t>序号</w:t>
            </w:r>
          </w:p>
        </w:tc>
        <w:tc>
          <w:tcPr>
            <w:tcW w:w="1343" w:type="dxa"/>
            <w:tcBorders>
              <w:top w:val="single" w:color="auto" w:sz="12" w:space="0"/>
              <w:left w:val="single" w:color="auto" w:sz="8" w:space="0"/>
              <w:bottom w:val="single" w:color="auto" w:sz="8" w:space="0"/>
              <w:right w:val="single" w:color="auto" w:sz="8" w:space="0"/>
            </w:tcBorders>
            <w:vAlign w:val="center"/>
          </w:tcPr>
          <w:p w14:paraId="576CA6D9">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eastAsiaTheme="minorEastAsia"/>
                <w:b w:val="0"/>
                <w:bCs w:val="0"/>
                <w:color w:val="FF0000"/>
                <w:spacing w:val="-1"/>
                <w:sz w:val="21"/>
                <w:szCs w:val="21"/>
                <w:highlight w:val="none"/>
                <w:vertAlign w:val="baseline"/>
                <w:lang w:val="en-US" w:eastAsia="zh-CN"/>
              </w:rPr>
            </w:pPr>
            <w:r>
              <w:rPr>
                <w:rFonts w:hint="default" w:ascii="Times New Roman" w:hAnsi="Times New Roman" w:cs="Times New Roman" w:eastAsiaTheme="minorEastAsia"/>
                <w:b w:val="0"/>
                <w:bCs w:val="0"/>
                <w:color w:val="FF0000"/>
                <w:spacing w:val="-1"/>
                <w:sz w:val="21"/>
                <w:szCs w:val="21"/>
                <w:highlight w:val="none"/>
                <w:vertAlign w:val="baseline"/>
                <w:lang w:val="en-US" w:eastAsia="zh-CN"/>
              </w:rPr>
              <w:t>物质名称</w:t>
            </w:r>
          </w:p>
        </w:tc>
        <w:tc>
          <w:tcPr>
            <w:tcW w:w="4118" w:type="dxa"/>
            <w:tcBorders>
              <w:top w:val="single" w:color="auto" w:sz="12" w:space="0"/>
              <w:left w:val="single" w:color="auto" w:sz="8" w:space="0"/>
              <w:bottom w:val="single" w:color="auto" w:sz="8" w:space="0"/>
              <w:right w:val="single" w:color="auto" w:sz="4" w:space="0"/>
            </w:tcBorders>
            <w:vAlign w:val="center"/>
          </w:tcPr>
          <w:p w14:paraId="10A271AE">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eastAsiaTheme="minorEastAsia"/>
                <w:b w:val="0"/>
                <w:bCs w:val="0"/>
                <w:color w:val="FF0000"/>
                <w:spacing w:val="-1"/>
                <w:sz w:val="21"/>
                <w:szCs w:val="21"/>
                <w:highlight w:val="none"/>
                <w:vertAlign w:val="baseline"/>
                <w:lang w:val="en-US" w:eastAsia="zh-CN"/>
              </w:rPr>
            </w:pPr>
            <w:r>
              <w:rPr>
                <w:rFonts w:hint="default" w:ascii="Times New Roman" w:hAnsi="Times New Roman" w:cs="Times New Roman" w:eastAsiaTheme="minorEastAsia"/>
                <w:b w:val="0"/>
                <w:bCs w:val="0"/>
                <w:color w:val="FF0000"/>
                <w:spacing w:val="-1"/>
                <w:sz w:val="21"/>
                <w:szCs w:val="21"/>
                <w:highlight w:val="none"/>
                <w:vertAlign w:val="baseline"/>
                <w:lang w:val="en-US" w:eastAsia="zh-CN"/>
              </w:rPr>
              <w:t>性质及危害</w:t>
            </w:r>
          </w:p>
        </w:tc>
        <w:tc>
          <w:tcPr>
            <w:tcW w:w="2325" w:type="dxa"/>
            <w:tcBorders>
              <w:top w:val="single" w:color="auto" w:sz="12" w:space="0"/>
              <w:left w:val="single" w:color="auto" w:sz="4" w:space="0"/>
              <w:bottom w:val="single" w:color="auto" w:sz="8" w:space="0"/>
              <w:right w:val="nil"/>
            </w:tcBorders>
            <w:vAlign w:val="center"/>
          </w:tcPr>
          <w:p w14:paraId="34E6F143">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eastAsiaTheme="minorEastAsia"/>
                <w:b w:val="0"/>
                <w:bCs w:val="0"/>
                <w:color w:val="FF0000"/>
                <w:spacing w:val="-1"/>
                <w:sz w:val="21"/>
                <w:szCs w:val="21"/>
                <w:highlight w:val="none"/>
                <w:vertAlign w:val="baseline"/>
                <w:lang w:val="en-US" w:eastAsia="zh-CN"/>
              </w:rPr>
            </w:pPr>
            <w:r>
              <w:rPr>
                <w:rFonts w:hint="default" w:ascii="Times New Roman" w:hAnsi="Times New Roman" w:cs="Times New Roman" w:eastAsiaTheme="minorEastAsia"/>
                <w:b w:val="0"/>
                <w:bCs w:val="0"/>
                <w:color w:val="FF0000"/>
                <w:spacing w:val="-1"/>
                <w:sz w:val="21"/>
                <w:szCs w:val="21"/>
                <w:highlight w:val="none"/>
                <w:vertAlign w:val="baseline"/>
                <w:lang w:val="en-US" w:eastAsia="zh-CN"/>
              </w:rPr>
              <w:t>备注</w:t>
            </w:r>
          </w:p>
        </w:tc>
      </w:tr>
      <w:tr w14:paraId="6284B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41" w:type="dxa"/>
            <w:tcBorders>
              <w:top w:val="single" w:color="auto" w:sz="8" w:space="0"/>
              <w:left w:val="nil"/>
              <w:bottom w:val="single" w:color="auto" w:sz="8" w:space="0"/>
              <w:right w:val="single" w:color="auto" w:sz="8" w:space="0"/>
            </w:tcBorders>
            <w:vAlign w:val="center"/>
          </w:tcPr>
          <w:p w14:paraId="574CD47A">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b w:val="0"/>
                <w:bCs w:val="0"/>
                <w:color w:val="FF0000"/>
                <w:spacing w:val="-1"/>
                <w:sz w:val="21"/>
                <w:szCs w:val="21"/>
                <w:highlight w:val="none"/>
                <w:vertAlign w:val="baseline"/>
                <w:lang w:val="en-US" w:eastAsia="zh-CN"/>
              </w:rPr>
            </w:pPr>
            <w:r>
              <w:rPr>
                <w:rFonts w:hint="default" w:ascii="Times New Roman" w:hAnsi="Times New Roman" w:eastAsia="宋体" w:cs="Times New Roman"/>
                <w:b w:val="0"/>
                <w:bCs w:val="0"/>
                <w:color w:val="FF0000"/>
                <w:spacing w:val="-1"/>
                <w:sz w:val="21"/>
                <w:szCs w:val="21"/>
                <w:highlight w:val="none"/>
                <w:vertAlign w:val="baseline"/>
                <w:lang w:val="en-US" w:eastAsia="zh-CN"/>
              </w:rPr>
              <w:t>1</w:t>
            </w:r>
          </w:p>
        </w:tc>
        <w:tc>
          <w:tcPr>
            <w:tcW w:w="1343" w:type="dxa"/>
            <w:tcBorders>
              <w:top w:val="single" w:color="auto" w:sz="8" w:space="0"/>
              <w:left w:val="single" w:color="auto" w:sz="8" w:space="0"/>
              <w:bottom w:val="single" w:color="auto" w:sz="8" w:space="0"/>
              <w:right w:val="single" w:color="auto" w:sz="8" w:space="0"/>
            </w:tcBorders>
            <w:vAlign w:val="center"/>
          </w:tcPr>
          <w:p w14:paraId="07BD6EEB">
            <w:pPr>
              <w:keepNext w:val="0"/>
              <w:keepLines w:val="0"/>
              <w:pageBreakBefore w:val="0"/>
              <w:widowControl/>
              <w:suppressLineNumbers w:val="0"/>
              <w:kinsoku/>
              <w:wordWrap w:val="0"/>
              <w:overflowPunct/>
              <w:topLinePunct/>
              <w:autoSpaceDE/>
              <w:autoSpaceDN/>
              <w:bidi w:val="0"/>
              <w:jc w:val="center"/>
              <w:rPr>
                <w:rFonts w:hint="default" w:ascii="Times New Roman" w:hAnsi="Times New Roman" w:eastAsia="宋体" w:cs="Times New Roman"/>
                <w:b w:val="0"/>
                <w:bCs w:val="0"/>
                <w:color w:val="FF0000"/>
                <w:spacing w:val="-1"/>
                <w:sz w:val="21"/>
                <w:szCs w:val="21"/>
                <w:highlight w:val="none"/>
                <w:vertAlign w:val="baseline"/>
              </w:rPr>
            </w:pPr>
            <w:r>
              <w:rPr>
                <w:rFonts w:hint="default" w:ascii="Times New Roman" w:hAnsi="Times New Roman" w:eastAsia="宋体" w:cs="Times New Roman"/>
                <w:snapToGrid w:val="0"/>
                <w:color w:val="FF0000"/>
                <w:kern w:val="0"/>
                <w:sz w:val="21"/>
                <w:szCs w:val="21"/>
                <w:highlight w:val="none"/>
                <w:lang w:val="en-US" w:eastAsia="zh-CN" w:bidi="ar"/>
              </w:rPr>
              <w:t>除臭剂</w:t>
            </w:r>
          </w:p>
        </w:tc>
        <w:tc>
          <w:tcPr>
            <w:tcW w:w="4118" w:type="dxa"/>
            <w:tcBorders>
              <w:top w:val="single" w:color="auto" w:sz="8" w:space="0"/>
              <w:left w:val="single" w:color="auto" w:sz="8" w:space="0"/>
              <w:bottom w:val="single" w:color="auto" w:sz="8" w:space="0"/>
              <w:right w:val="single" w:color="auto" w:sz="4" w:space="0"/>
            </w:tcBorders>
            <w:vAlign w:val="center"/>
          </w:tcPr>
          <w:p w14:paraId="1D27803A">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FF0000"/>
                <w:spacing w:val="-1"/>
                <w:sz w:val="21"/>
                <w:szCs w:val="21"/>
                <w:highlight w:val="none"/>
                <w:vertAlign w:val="baseline"/>
              </w:rPr>
            </w:pPr>
            <w:r>
              <w:rPr>
                <w:rFonts w:hint="default" w:ascii="Times New Roman" w:hAnsi="Times New Roman" w:eastAsia="宋体" w:cs="Times New Roman"/>
                <w:snapToGrid w:val="0"/>
                <w:color w:val="FF0000"/>
                <w:kern w:val="0"/>
                <w:sz w:val="21"/>
                <w:szCs w:val="21"/>
                <w:highlight w:val="none"/>
                <w:lang w:val="en-US" w:eastAsia="zh-CN" w:bidi="ar"/>
              </w:rPr>
              <w:t>主要以乳酸菌、酵母菌、光合细菌等有益菌群以及代谢产物组成。除臭剂是以优良微生物菌种为基础，采用复合微生物技术，经现代发酵工艺精制而成的一种新型的复合型活性微生物菌剂。各功能菌株利用有机污染物进行增殖、代谢，消除氨气等有害臭气产生，抑制有害生物的活动，转变有机物腐烂分解过程，产生二氧化碳、乙醇等产物，做到从根上消除恶臭气体，并可持续性除臭目的。具有安全、无腐蚀性，可氧化分解多种有毒有害污染物、净化水质、改善环境，不会在使用过程中留下二次污染的优点。</w:t>
            </w:r>
          </w:p>
        </w:tc>
        <w:tc>
          <w:tcPr>
            <w:tcW w:w="2325" w:type="dxa"/>
            <w:tcBorders>
              <w:top w:val="single" w:color="auto" w:sz="8" w:space="0"/>
              <w:left w:val="single" w:color="auto" w:sz="4" w:space="0"/>
              <w:bottom w:val="single" w:color="auto" w:sz="8" w:space="0"/>
              <w:right w:val="nil"/>
            </w:tcBorders>
            <w:vAlign w:val="center"/>
          </w:tcPr>
          <w:p w14:paraId="09E25C66">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FF0000"/>
                <w:kern w:val="0"/>
                <w:sz w:val="21"/>
                <w:szCs w:val="21"/>
                <w:highlight w:val="none"/>
                <w:lang w:val="en-US" w:eastAsia="zh-CN" w:bidi="ar"/>
              </w:rPr>
            </w:pPr>
            <w:r>
              <w:rPr>
                <w:rFonts w:hint="default" w:ascii="Times New Roman" w:hAnsi="Times New Roman" w:eastAsia="宋体" w:cs="Times New Roman"/>
                <w:snapToGrid w:val="0"/>
                <w:color w:val="FF0000"/>
                <w:kern w:val="0"/>
                <w:sz w:val="21"/>
                <w:szCs w:val="21"/>
                <w:highlight w:val="none"/>
                <w:lang w:val="en-US" w:eastAsia="zh-CN" w:bidi="ar"/>
              </w:rPr>
              <w:t>外购</w:t>
            </w:r>
            <w:r>
              <w:rPr>
                <w:rFonts w:hint="eastAsia" w:ascii="Times New Roman" w:hAnsi="Times New Roman" w:eastAsia="宋体" w:cs="Times New Roman"/>
                <w:snapToGrid w:val="0"/>
                <w:color w:val="FF0000"/>
                <w:kern w:val="0"/>
                <w:sz w:val="21"/>
                <w:szCs w:val="21"/>
                <w:highlight w:val="none"/>
                <w:lang w:val="en-US" w:eastAsia="zh-CN" w:bidi="ar"/>
              </w:rPr>
              <w:t>微生物除臭剂</w:t>
            </w:r>
          </w:p>
        </w:tc>
      </w:tr>
      <w:tr w14:paraId="73C58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41" w:type="dxa"/>
            <w:tcBorders>
              <w:top w:val="single" w:color="auto" w:sz="8" w:space="0"/>
              <w:left w:val="nil"/>
              <w:bottom w:val="single" w:color="auto" w:sz="12" w:space="0"/>
              <w:right w:val="single" w:color="auto" w:sz="8" w:space="0"/>
            </w:tcBorders>
            <w:vAlign w:val="center"/>
          </w:tcPr>
          <w:p w14:paraId="483F14D5">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b w:val="0"/>
                <w:bCs w:val="0"/>
                <w:color w:val="FF0000"/>
                <w:spacing w:val="-1"/>
                <w:sz w:val="21"/>
                <w:szCs w:val="21"/>
                <w:highlight w:val="none"/>
                <w:vertAlign w:val="baseline"/>
                <w:lang w:val="en-US" w:eastAsia="zh-CN"/>
              </w:rPr>
            </w:pPr>
            <w:r>
              <w:rPr>
                <w:rFonts w:hint="default" w:ascii="Times New Roman" w:hAnsi="Times New Roman" w:eastAsia="宋体" w:cs="Times New Roman"/>
                <w:b w:val="0"/>
                <w:bCs w:val="0"/>
                <w:color w:val="FF0000"/>
                <w:spacing w:val="-1"/>
                <w:sz w:val="21"/>
                <w:szCs w:val="21"/>
                <w:highlight w:val="none"/>
                <w:vertAlign w:val="baseline"/>
                <w:lang w:val="en-US" w:eastAsia="zh-CN"/>
              </w:rPr>
              <w:t>2</w:t>
            </w:r>
          </w:p>
        </w:tc>
        <w:tc>
          <w:tcPr>
            <w:tcW w:w="1343" w:type="dxa"/>
            <w:tcBorders>
              <w:top w:val="single" w:color="auto" w:sz="8" w:space="0"/>
              <w:left w:val="single" w:color="auto" w:sz="8" w:space="0"/>
              <w:bottom w:val="single" w:color="auto" w:sz="12" w:space="0"/>
              <w:right w:val="single" w:color="auto" w:sz="8" w:space="0"/>
            </w:tcBorders>
            <w:vAlign w:val="center"/>
          </w:tcPr>
          <w:p w14:paraId="7B432872">
            <w:pPr>
              <w:keepNext w:val="0"/>
              <w:keepLines w:val="0"/>
              <w:pageBreakBefore w:val="0"/>
              <w:widowControl/>
              <w:suppressLineNumbers w:val="0"/>
              <w:kinsoku/>
              <w:wordWrap w:val="0"/>
              <w:overflowPunct/>
              <w:topLinePunct/>
              <w:autoSpaceDE/>
              <w:autoSpaceDN/>
              <w:bidi w:val="0"/>
              <w:jc w:val="center"/>
              <w:rPr>
                <w:rFonts w:hint="default" w:ascii="Times New Roman" w:hAnsi="Times New Roman" w:eastAsia="宋体" w:cs="Times New Roman"/>
                <w:snapToGrid w:val="0"/>
                <w:color w:val="FF0000"/>
                <w:kern w:val="0"/>
                <w:sz w:val="21"/>
                <w:szCs w:val="21"/>
                <w:highlight w:val="none"/>
                <w:lang w:val="en-US" w:eastAsia="zh-CN" w:bidi="ar"/>
              </w:rPr>
            </w:pPr>
            <w:r>
              <w:rPr>
                <w:rFonts w:hint="default" w:ascii="Times New Roman" w:hAnsi="Times New Roman" w:eastAsia="宋体" w:cs="Times New Roman"/>
                <w:snapToGrid w:val="0"/>
                <w:color w:val="FF0000"/>
                <w:kern w:val="0"/>
                <w:sz w:val="21"/>
                <w:szCs w:val="21"/>
                <w:highlight w:val="none"/>
                <w:lang w:val="en-US" w:eastAsia="zh-CN" w:bidi="ar"/>
              </w:rPr>
              <w:t>干撒式发酵床发酵菌剂</w:t>
            </w:r>
          </w:p>
        </w:tc>
        <w:tc>
          <w:tcPr>
            <w:tcW w:w="4118" w:type="dxa"/>
            <w:tcBorders>
              <w:top w:val="single" w:color="auto" w:sz="8" w:space="0"/>
              <w:left w:val="single" w:color="auto" w:sz="8" w:space="0"/>
              <w:bottom w:val="single" w:color="auto" w:sz="12" w:space="0"/>
              <w:right w:val="single" w:color="auto" w:sz="4" w:space="0"/>
            </w:tcBorders>
            <w:vAlign w:val="center"/>
          </w:tcPr>
          <w:p w14:paraId="6EC3D0CC">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FF0000"/>
                <w:kern w:val="0"/>
                <w:sz w:val="21"/>
                <w:szCs w:val="21"/>
                <w:highlight w:val="none"/>
                <w:lang w:val="en-US" w:eastAsia="zh-CN" w:bidi="ar"/>
              </w:rPr>
            </w:pPr>
            <w:r>
              <w:rPr>
                <w:rFonts w:hint="default" w:ascii="Times New Roman" w:hAnsi="Times New Roman" w:eastAsia="宋体" w:cs="Times New Roman"/>
                <w:snapToGrid w:val="0"/>
                <w:color w:val="FF0000"/>
                <w:kern w:val="0"/>
                <w:sz w:val="21"/>
                <w:szCs w:val="21"/>
                <w:highlight w:val="none"/>
                <w:lang w:val="en-US" w:eastAsia="zh-CN" w:bidi="ar"/>
              </w:rPr>
              <w:t>干撒式发酵床发酵菌剂主要由真菌、细菌、放线菌等具有特定功能的有益菌株和相关酶类复配而成；</w:t>
            </w:r>
          </w:p>
          <w:p w14:paraId="74776705">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FF0000"/>
                <w:kern w:val="0"/>
                <w:sz w:val="21"/>
                <w:szCs w:val="21"/>
                <w:highlight w:val="none"/>
                <w:lang w:val="en-US" w:eastAsia="zh-CN" w:bidi="ar"/>
              </w:rPr>
            </w:pPr>
            <w:r>
              <w:rPr>
                <w:rFonts w:hint="default" w:ascii="Times New Roman" w:hAnsi="Times New Roman" w:eastAsia="宋体" w:cs="Times New Roman"/>
                <w:snapToGrid w:val="0"/>
                <w:color w:val="FF0000"/>
                <w:kern w:val="0"/>
                <w:sz w:val="21"/>
                <w:szCs w:val="21"/>
                <w:highlight w:val="none"/>
                <w:lang w:val="en-US" w:eastAsia="zh-CN" w:bidi="ar"/>
              </w:rPr>
              <w:t>菌剂中的乳酸菌含量高，能够在较宽的pH范围（4~10）和高盐高渗环境中存活。在没有动物粪尿时，菌剂处于休眠状态；有粪尿进入时，菌剂会迅速激活。</w:t>
            </w:r>
          </w:p>
          <w:p w14:paraId="5D89C8A1">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FF0000"/>
                <w:kern w:val="0"/>
                <w:sz w:val="21"/>
                <w:szCs w:val="21"/>
                <w:highlight w:val="none"/>
                <w:lang w:val="en-US" w:eastAsia="zh-CN" w:bidi="ar"/>
              </w:rPr>
            </w:pPr>
            <w:r>
              <w:rPr>
                <w:rFonts w:hint="default" w:ascii="Times New Roman" w:hAnsi="Times New Roman" w:eastAsia="宋体" w:cs="Times New Roman"/>
                <w:snapToGrid w:val="0"/>
                <w:color w:val="FF0000"/>
                <w:kern w:val="0"/>
                <w:sz w:val="21"/>
                <w:szCs w:val="21"/>
                <w:highlight w:val="none"/>
                <w:lang w:val="en-US" w:eastAsia="zh-CN" w:bidi="ar"/>
              </w:rPr>
              <w:t>菌剂中的微生物繁殖速度快，与有害细菌（如大肠杆菌）有极强的竞争势态。它们能够高效脱氮脱氨，减少垫料中氮的积累，并同化吸收氨氮，减少氨味和臭气。</w:t>
            </w:r>
          </w:p>
          <w:p w14:paraId="564088B4">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FF0000"/>
                <w:kern w:val="0"/>
                <w:sz w:val="21"/>
                <w:szCs w:val="21"/>
                <w:highlight w:val="none"/>
                <w:lang w:val="en-US" w:eastAsia="zh-CN" w:bidi="ar"/>
              </w:rPr>
            </w:pPr>
            <w:r>
              <w:rPr>
                <w:rFonts w:hint="default" w:ascii="Times New Roman" w:hAnsi="Times New Roman" w:eastAsia="宋体" w:cs="Times New Roman"/>
                <w:snapToGrid w:val="0"/>
                <w:color w:val="FF0000"/>
                <w:kern w:val="0"/>
                <w:sz w:val="21"/>
                <w:szCs w:val="21"/>
                <w:highlight w:val="none"/>
                <w:lang w:val="en-US" w:eastAsia="zh-CN" w:bidi="ar"/>
              </w:rPr>
              <w:t>菌剂能够最大限度地提高垫料的碳氮比，改善发酵环境，解决氮源出路问题</w:t>
            </w:r>
          </w:p>
        </w:tc>
        <w:tc>
          <w:tcPr>
            <w:tcW w:w="2325" w:type="dxa"/>
            <w:tcBorders>
              <w:top w:val="single" w:color="auto" w:sz="8" w:space="0"/>
              <w:left w:val="single" w:color="auto" w:sz="4" w:space="0"/>
              <w:bottom w:val="single" w:color="auto" w:sz="12" w:space="0"/>
              <w:right w:val="nil"/>
            </w:tcBorders>
            <w:vAlign w:val="center"/>
          </w:tcPr>
          <w:p w14:paraId="3DE6110E">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snapToGrid w:val="0"/>
                <w:color w:val="FF0000"/>
                <w:kern w:val="0"/>
                <w:sz w:val="21"/>
                <w:szCs w:val="21"/>
                <w:highlight w:val="none"/>
                <w:lang w:val="en-US" w:eastAsia="zh-CN" w:bidi="ar"/>
              </w:rPr>
            </w:pPr>
            <w:r>
              <w:rPr>
                <w:rFonts w:hint="default" w:ascii="Times New Roman" w:hAnsi="Times New Roman" w:eastAsia="宋体" w:cs="Times New Roman"/>
                <w:snapToGrid w:val="0"/>
                <w:color w:val="FF0000"/>
                <w:kern w:val="0"/>
                <w:sz w:val="21"/>
                <w:szCs w:val="21"/>
                <w:highlight w:val="none"/>
                <w:lang w:val="en-US" w:eastAsia="zh-CN" w:bidi="ar"/>
              </w:rPr>
              <w:t>根据建设单位</w:t>
            </w:r>
            <w:r>
              <w:rPr>
                <w:rFonts w:hint="eastAsia" w:ascii="Times New Roman" w:hAnsi="Times New Roman" w:eastAsia="宋体" w:cs="Times New Roman"/>
                <w:snapToGrid w:val="0"/>
                <w:color w:val="FF0000"/>
                <w:kern w:val="0"/>
                <w:sz w:val="21"/>
                <w:szCs w:val="21"/>
                <w:highlight w:val="none"/>
                <w:lang w:val="en-US" w:eastAsia="zh-CN" w:bidi="ar"/>
              </w:rPr>
              <w:t>提供</w:t>
            </w:r>
            <w:r>
              <w:rPr>
                <w:rFonts w:hint="default" w:ascii="Times New Roman" w:hAnsi="Times New Roman" w:eastAsia="宋体" w:cs="Times New Roman"/>
                <w:snapToGrid w:val="0"/>
                <w:color w:val="FF0000"/>
                <w:kern w:val="0"/>
                <w:sz w:val="21"/>
                <w:szCs w:val="21"/>
                <w:highlight w:val="none"/>
                <w:lang w:val="en-US" w:eastAsia="zh-CN" w:bidi="ar"/>
              </w:rPr>
              <w:t>信息，建设单位使用金宝贝干撒式发酵床处理工艺，设计单位于2008年申请专利，专利号（200810188225.X）</w:t>
            </w:r>
          </w:p>
        </w:tc>
      </w:tr>
    </w:tbl>
    <w:p w14:paraId="56B2FB3E">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FF0000"/>
          <w:spacing w:val="-2"/>
          <w:sz w:val="24"/>
          <w:szCs w:val="24"/>
          <w:highlight w:val="none"/>
          <w:lang w:val="en-US" w:eastAsia="zh-CN"/>
        </w:rPr>
      </w:pPr>
      <w:bookmarkStart w:id="106" w:name="_Toc6490"/>
      <w:r>
        <w:rPr>
          <w:rFonts w:hint="default" w:ascii="Times New Roman" w:hAnsi="Times New Roman" w:eastAsia="宋体" w:cs="Times New Roman"/>
          <w:b/>
          <w:bCs/>
          <w:color w:val="FF0000"/>
          <w:spacing w:val="-2"/>
          <w:sz w:val="24"/>
          <w:szCs w:val="24"/>
          <w:highlight w:val="none"/>
          <w:lang w:val="en-US" w:eastAsia="zh-CN"/>
        </w:rPr>
        <w:t>3.1.4干撒式发酵床垫运行方案</w:t>
      </w:r>
      <w:bookmarkEnd w:id="106"/>
    </w:p>
    <w:p w14:paraId="102E1B0F">
      <w:pPr>
        <w:keepNext w:val="0"/>
        <w:keepLines w:val="0"/>
        <w:pageBreakBefore w:val="0"/>
        <w:widowControl/>
        <w:kinsoku/>
        <w:wordWrap w:val="0"/>
        <w:overflowPunct/>
        <w:topLinePunct/>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color w:val="FF0000"/>
          <w:spacing w:val="0"/>
          <w:sz w:val="24"/>
          <w:szCs w:val="24"/>
          <w:highlight w:val="none"/>
          <w:lang w:val="en-US" w:eastAsia="zh-CN"/>
        </w:rPr>
      </w:pPr>
      <w:r>
        <w:rPr>
          <w:rFonts w:hint="default" w:ascii="Times New Roman" w:hAnsi="Times New Roman" w:eastAsia="宋体" w:cs="Times New Roman"/>
          <w:color w:val="FF0000"/>
          <w:spacing w:val="0"/>
          <w:sz w:val="24"/>
          <w:szCs w:val="24"/>
          <w:highlight w:val="none"/>
          <w:lang w:val="en-US" w:eastAsia="zh-CN"/>
        </w:rPr>
        <w:t>项目在牛舍与运动场铺设干撒式发酵床垫料，年使用发酵床垫2790t，每年整体更换一次，更换下来的发酵床暂存至粪污储存间，委托有机肥公司清运外售制作有机肥。</w:t>
      </w:r>
    </w:p>
    <w:p w14:paraId="52C14759">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07" w:name="_Toc25911"/>
      <w:r>
        <w:rPr>
          <w:rFonts w:hint="default" w:ascii="Times New Roman" w:hAnsi="Times New Roman" w:eastAsia="宋体" w:cs="Times New Roman"/>
          <w:b/>
          <w:bCs/>
          <w:color w:val="auto"/>
          <w:spacing w:val="-2"/>
          <w:sz w:val="24"/>
          <w:szCs w:val="24"/>
          <w:highlight w:val="none"/>
          <w:lang w:val="en-US" w:eastAsia="zh-CN"/>
        </w:rPr>
        <w:t>3.1.5产品方案</w:t>
      </w:r>
      <w:bookmarkEnd w:id="107"/>
    </w:p>
    <w:p w14:paraId="365C8096">
      <w:pPr>
        <w:keepNext w:val="0"/>
        <w:keepLines w:val="0"/>
        <w:pageBreakBefore w:val="0"/>
        <w:widowControl/>
        <w:kinsoku/>
        <w:wordWrap w:val="0"/>
        <w:overflowPunct/>
        <w:topLinePunct/>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color w:val="FF0000"/>
          <w:spacing w:val="0"/>
          <w:sz w:val="24"/>
          <w:szCs w:val="24"/>
          <w:highlight w:val="none"/>
        </w:rPr>
      </w:pPr>
      <w:bookmarkStart w:id="108" w:name="_Hlk479542188"/>
      <w:r>
        <w:rPr>
          <w:rFonts w:hint="default" w:ascii="Times New Roman" w:hAnsi="Times New Roman" w:eastAsia="宋体" w:cs="Times New Roman"/>
          <w:color w:val="FF0000"/>
          <w:spacing w:val="0"/>
          <w:sz w:val="24"/>
          <w:szCs w:val="24"/>
          <w:highlight w:val="none"/>
        </w:rPr>
        <w:t>本项目建成后，厂内年存栏母牛</w:t>
      </w:r>
      <w:r>
        <w:rPr>
          <w:rFonts w:hint="default" w:ascii="Times New Roman" w:hAnsi="Times New Roman" w:eastAsia="宋体" w:cs="Times New Roman"/>
          <w:color w:val="FF0000"/>
          <w:spacing w:val="0"/>
          <w:sz w:val="24"/>
          <w:szCs w:val="24"/>
          <w:highlight w:val="none"/>
          <w:lang w:val="en-US" w:eastAsia="zh-CN"/>
        </w:rPr>
        <w:t>2000</w:t>
      </w:r>
      <w:r>
        <w:rPr>
          <w:rFonts w:hint="default" w:ascii="Times New Roman" w:hAnsi="Times New Roman" w:eastAsia="宋体" w:cs="Times New Roman"/>
          <w:color w:val="FF0000"/>
          <w:spacing w:val="0"/>
          <w:sz w:val="24"/>
          <w:szCs w:val="24"/>
          <w:highlight w:val="none"/>
        </w:rPr>
        <w:t>头、</w:t>
      </w:r>
      <w:r>
        <w:rPr>
          <w:rFonts w:hint="default" w:ascii="Times New Roman" w:hAnsi="Times New Roman" w:eastAsia="宋体" w:cs="Times New Roman"/>
          <w:color w:val="FF0000"/>
          <w:spacing w:val="0"/>
          <w:sz w:val="24"/>
          <w:szCs w:val="24"/>
          <w:highlight w:val="none"/>
          <w:lang w:val="en-US" w:eastAsia="zh-CN"/>
        </w:rPr>
        <w:t>育肥牛</w:t>
      </w:r>
      <w:r>
        <w:rPr>
          <w:rFonts w:hint="eastAsia" w:ascii="Times New Roman" w:hAnsi="Times New Roman" w:eastAsia="宋体" w:cs="Times New Roman"/>
          <w:color w:val="FF0000"/>
          <w:spacing w:val="0"/>
          <w:sz w:val="24"/>
          <w:szCs w:val="24"/>
          <w:highlight w:val="none"/>
          <w:lang w:val="en-US" w:eastAsia="zh-CN"/>
        </w:rPr>
        <w:t>2</w:t>
      </w:r>
      <w:r>
        <w:rPr>
          <w:rFonts w:hint="default" w:ascii="Times New Roman" w:hAnsi="Times New Roman" w:eastAsia="宋体" w:cs="Times New Roman"/>
          <w:color w:val="FF0000"/>
          <w:spacing w:val="0"/>
          <w:sz w:val="24"/>
          <w:szCs w:val="24"/>
          <w:highlight w:val="none"/>
          <w:lang w:val="en-US" w:eastAsia="zh-CN"/>
        </w:rPr>
        <w:t>000</w:t>
      </w:r>
      <w:r>
        <w:rPr>
          <w:rFonts w:hint="default" w:ascii="Times New Roman" w:hAnsi="Times New Roman" w:eastAsia="宋体" w:cs="Times New Roman"/>
          <w:color w:val="FF0000"/>
          <w:spacing w:val="0"/>
          <w:sz w:val="24"/>
          <w:szCs w:val="24"/>
          <w:highlight w:val="none"/>
        </w:rPr>
        <w:t xml:space="preserve">头，母牛妊娠期约280天，年产牛犊 </w:t>
      </w:r>
      <w:r>
        <w:rPr>
          <w:rFonts w:hint="default" w:ascii="Times New Roman" w:hAnsi="Times New Roman" w:eastAsia="宋体" w:cs="Times New Roman"/>
          <w:color w:val="FF0000"/>
          <w:spacing w:val="0"/>
          <w:sz w:val="24"/>
          <w:szCs w:val="24"/>
          <w:highlight w:val="none"/>
          <w:lang w:val="en-US" w:eastAsia="zh-CN"/>
        </w:rPr>
        <w:t>1000</w:t>
      </w:r>
      <w:r>
        <w:rPr>
          <w:rFonts w:hint="default" w:ascii="Times New Roman" w:hAnsi="Times New Roman" w:eastAsia="宋体" w:cs="Times New Roman"/>
          <w:color w:val="FF0000"/>
          <w:spacing w:val="0"/>
          <w:sz w:val="24"/>
          <w:szCs w:val="24"/>
          <w:highlight w:val="none"/>
        </w:rPr>
        <w:t>头，年出商品牛</w:t>
      </w:r>
      <w:r>
        <w:rPr>
          <w:rFonts w:hint="default" w:ascii="Times New Roman" w:hAnsi="Times New Roman" w:eastAsia="宋体" w:cs="Times New Roman"/>
          <w:color w:val="FF0000"/>
          <w:spacing w:val="0"/>
          <w:sz w:val="24"/>
          <w:szCs w:val="24"/>
          <w:highlight w:val="none"/>
          <w:lang w:val="en-US" w:eastAsia="zh-CN"/>
        </w:rPr>
        <w:t>1000</w:t>
      </w:r>
      <w:r>
        <w:rPr>
          <w:rFonts w:hint="default" w:ascii="Times New Roman" w:hAnsi="Times New Roman" w:eastAsia="宋体" w:cs="Times New Roman"/>
          <w:color w:val="FF0000"/>
          <w:spacing w:val="0"/>
          <w:sz w:val="24"/>
          <w:szCs w:val="24"/>
          <w:highlight w:val="none"/>
        </w:rPr>
        <w:t>头。</w:t>
      </w:r>
    </w:p>
    <w:p w14:paraId="1547AAF7">
      <w:pPr>
        <w:keepNext w:val="0"/>
        <w:keepLines w:val="0"/>
        <w:pageBreakBefore w:val="0"/>
        <w:widowControl/>
        <w:kinsoku/>
        <w:wordWrap w:val="0"/>
        <w:overflowPunct/>
        <w:topLinePunct/>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color w:val="FF0000"/>
          <w:spacing w:val="0"/>
          <w:sz w:val="24"/>
          <w:szCs w:val="24"/>
          <w:highlight w:val="none"/>
          <w:lang w:val="en-US" w:eastAsia="zh-CN"/>
        </w:rPr>
      </w:pPr>
      <w:r>
        <w:rPr>
          <w:rFonts w:hint="default" w:ascii="Times New Roman" w:hAnsi="Times New Roman" w:eastAsia="宋体" w:cs="Times New Roman"/>
          <w:color w:val="FF0000"/>
          <w:spacing w:val="0"/>
          <w:sz w:val="24"/>
          <w:szCs w:val="24"/>
          <w:highlight w:val="none"/>
          <w:lang w:val="en-US" w:eastAsia="zh-CN"/>
        </w:rPr>
        <w:t>养殖结构与养殖周期如下：</w:t>
      </w:r>
      <w:r>
        <w:rPr>
          <w:rFonts w:hint="default" w:ascii="Times New Roman" w:hAnsi="Times New Roman" w:eastAsia="宋体" w:cs="Times New Roman"/>
          <w:snapToGrid w:val="0"/>
          <w:color w:val="FF0000"/>
          <w:kern w:val="0"/>
          <w:sz w:val="24"/>
          <w:szCs w:val="24"/>
          <w:highlight w:val="none"/>
          <w:lang w:val="en-US" w:eastAsia="zh-CN" w:bidi="ar"/>
        </w:rPr>
        <w:t>青年牛在18月龄时开始采用人工配种的方式开始第一次配种，直到生育第5胎后，完成最后一个产牛周期，并被淘汰。</w:t>
      </w:r>
      <w:r>
        <w:rPr>
          <w:rFonts w:hint="default" w:ascii="Times New Roman" w:hAnsi="Times New Roman" w:eastAsia="宋体" w:cs="Times New Roman"/>
          <w:color w:val="FF0000"/>
          <w:spacing w:val="0"/>
          <w:sz w:val="24"/>
          <w:szCs w:val="24"/>
          <w:highlight w:val="none"/>
        </w:rPr>
        <w:t>小牛犊育肥周期36个月，牛达到1200斤以上即可达到出栏标准</w:t>
      </w:r>
    </w:p>
    <w:p w14:paraId="5B7238D5">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rFonts w:hint="default" w:ascii="Times New Roman" w:hAnsi="Times New Roman" w:eastAsia="宋体" w:cs="Times New Roman"/>
          <w:b/>
          <w:bCs w:val="0"/>
          <w:color w:val="auto"/>
          <w:sz w:val="24"/>
          <w:highlight w:val="none"/>
        </w:rPr>
      </w:pPr>
      <w:r>
        <w:rPr>
          <w:rFonts w:hint="default" w:ascii="Times New Roman" w:hAnsi="Times New Roman" w:eastAsia="宋体" w:cs="Times New Roman"/>
          <w:b/>
          <w:bCs w:val="0"/>
          <w:color w:val="auto"/>
          <w:sz w:val="24"/>
          <w:highlight w:val="none"/>
        </w:rPr>
        <w:t>表3</w:t>
      </w:r>
      <w:r>
        <w:rPr>
          <w:rFonts w:hint="default" w:ascii="Times New Roman" w:hAnsi="Times New Roman" w:eastAsia="宋体" w:cs="Times New Roman"/>
          <w:b/>
          <w:bCs w:val="0"/>
          <w:color w:val="auto"/>
          <w:sz w:val="24"/>
          <w:highlight w:val="none"/>
          <w:lang w:val="en-US" w:eastAsia="zh-CN"/>
        </w:rPr>
        <w:t>.1</w:t>
      </w:r>
      <w:r>
        <w:rPr>
          <w:rFonts w:hint="default" w:ascii="Times New Roman" w:hAnsi="Times New Roman" w:eastAsia="宋体" w:cs="Times New Roman"/>
          <w:b/>
          <w:bCs w:val="0"/>
          <w:color w:val="auto"/>
          <w:sz w:val="24"/>
          <w:highlight w:val="none"/>
        </w:rPr>
        <w:t>-</w:t>
      </w:r>
      <w:r>
        <w:rPr>
          <w:rFonts w:hint="default" w:ascii="Times New Roman" w:hAnsi="Times New Roman" w:eastAsia="宋体" w:cs="Times New Roman"/>
          <w:b/>
          <w:bCs w:val="0"/>
          <w:color w:val="auto"/>
          <w:sz w:val="24"/>
          <w:highlight w:val="none"/>
          <w:lang w:val="en-US" w:eastAsia="zh-CN"/>
        </w:rPr>
        <w:t xml:space="preserve">6 </w:t>
      </w:r>
      <w:r>
        <w:rPr>
          <w:rFonts w:hint="default" w:ascii="Times New Roman" w:hAnsi="Times New Roman" w:eastAsia="宋体" w:cs="Times New Roman"/>
          <w:b/>
          <w:bCs w:val="0"/>
          <w:color w:val="auto"/>
          <w:sz w:val="24"/>
          <w:highlight w:val="none"/>
        </w:rPr>
        <w:t>主要产品方案一览表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684"/>
        <w:gridCol w:w="2102"/>
        <w:gridCol w:w="1940"/>
        <w:gridCol w:w="2585"/>
      </w:tblGrid>
      <w:tr w14:paraId="53007C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tblHeader/>
          <w:jc w:val="center"/>
        </w:trPr>
        <w:tc>
          <w:tcPr>
            <w:tcW w:w="1013" w:type="pct"/>
            <w:vAlign w:val="center"/>
          </w:tcPr>
          <w:p w14:paraId="5DBE278C">
            <w:pPr>
              <w:pageBreakBefore w:val="0"/>
              <w:wordWrap/>
              <w:topLinePunct w:val="0"/>
              <w:bidi w:val="0"/>
              <w:adjustRightInd/>
              <w:snapToGrid/>
              <w:spacing w:line="240" w:lineRule="auto"/>
              <w:jc w:val="center"/>
              <w:rPr>
                <w:rFonts w:hint="default" w:ascii="Times New Roman" w:hAnsi="Times New Roman" w:eastAsia="宋体" w:cs="Times New Roman"/>
                <w:b/>
                <w:bCs/>
                <w:color w:val="auto"/>
                <w:szCs w:val="21"/>
                <w:highlight w:val="none"/>
                <w:lang w:eastAsia="zh-CN"/>
              </w:rPr>
            </w:pPr>
            <w:r>
              <w:rPr>
                <w:rFonts w:hint="default" w:ascii="Times New Roman" w:hAnsi="Times New Roman" w:eastAsia="宋体" w:cs="Times New Roman"/>
                <w:b/>
                <w:bCs/>
                <w:color w:val="auto"/>
                <w:szCs w:val="21"/>
                <w:highlight w:val="none"/>
                <w:lang w:val="en-US" w:eastAsia="zh-CN"/>
              </w:rPr>
              <w:t>序号</w:t>
            </w:r>
          </w:p>
        </w:tc>
        <w:tc>
          <w:tcPr>
            <w:tcW w:w="1264" w:type="pct"/>
            <w:vAlign w:val="center"/>
          </w:tcPr>
          <w:p w14:paraId="7448CE87">
            <w:pPr>
              <w:pageBreakBefore w:val="0"/>
              <w:wordWrap/>
              <w:topLinePunct w:val="0"/>
              <w:bidi w:val="0"/>
              <w:adjustRightInd/>
              <w:snapToGrid/>
              <w:spacing w:line="240" w:lineRule="auto"/>
              <w:jc w:val="center"/>
              <w:rPr>
                <w:rFonts w:hint="default" w:ascii="Times New Roman" w:hAnsi="Times New Roman" w:eastAsia="宋体" w:cs="Times New Roman"/>
                <w:b/>
                <w:bCs/>
                <w:color w:val="auto"/>
                <w:szCs w:val="21"/>
                <w:highlight w:val="none"/>
                <w:lang w:eastAsia="zh-CN"/>
              </w:rPr>
            </w:pPr>
            <w:r>
              <w:rPr>
                <w:rFonts w:hint="default" w:ascii="Times New Roman" w:hAnsi="Times New Roman" w:eastAsia="宋体" w:cs="Times New Roman"/>
                <w:b/>
                <w:bCs/>
                <w:color w:val="auto"/>
                <w:szCs w:val="21"/>
                <w:highlight w:val="none"/>
                <w:lang w:val="en-US" w:eastAsia="zh-CN"/>
              </w:rPr>
              <w:t>项目</w:t>
            </w:r>
          </w:p>
        </w:tc>
        <w:tc>
          <w:tcPr>
            <w:tcW w:w="1167" w:type="pct"/>
            <w:vAlign w:val="center"/>
          </w:tcPr>
          <w:p w14:paraId="6E639A58">
            <w:pPr>
              <w:pageBreakBefore w:val="0"/>
              <w:wordWrap/>
              <w:topLinePunct w:val="0"/>
              <w:bidi w:val="0"/>
              <w:adjustRightInd/>
              <w:snapToGrid/>
              <w:spacing w:line="240" w:lineRule="auto"/>
              <w:jc w:val="center"/>
              <w:rPr>
                <w:rFonts w:hint="default" w:ascii="Times New Roman" w:hAnsi="Times New Roman" w:eastAsia="宋体" w:cs="Times New Roman"/>
                <w:b/>
                <w:bCs/>
                <w:color w:val="auto"/>
                <w:szCs w:val="21"/>
                <w:highlight w:val="none"/>
                <w:lang w:eastAsia="zh-CN"/>
              </w:rPr>
            </w:pPr>
            <w:r>
              <w:rPr>
                <w:rFonts w:hint="default" w:ascii="Times New Roman" w:hAnsi="Times New Roman" w:eastAsia="宋体" w:cs="Times New Roman"/>
                <w:b/>
                <w:bCs/>
                <w:color w:val="auto"/>
                <w:szCs w:val="21"/>
                <w:highlight w:val="none"/>
                <w:lang w:val="en-US" w:eastAsia="zh-CN"/>
              </w:rPr>
              <w:t>单位</w:t>
            </w:r>
          </w:p>
        </w:tc>
        <w:tc>
          <w:tcPr>
            <w:tcW w:w="1555" w:type="pct"/>
            <w:vAlign w:val="center"/>
          </w:tcPr>
          <w:p w14:paraId="6EE89B94">
            <w:pPr>
              <w:pageBreakBefore w:val="0"/>
              <w:wordWrap/>
              <w:topLinePunct w:val="0"/>
              <w:bidi w:val="0"/>
              <w:adjustRightInd/>
              <w:snapToGrid/>
              <w:spacing w:line="240" w:lineRule="auto"/>
              <w:jc w:val="center"/>
              <w:rPr>
                <w:rFonts w:hint="default" w:ascii="Times New Roman" w:hAnsi="Times New Roman" w:eastAsia="宋体" w:cs="Times New Roman"/>
                <w:b/>
                <w:bCs/>
                <w:color w:val="auto"/>
                <w:szCs w:val="21"/>
                <w:highlight w:val="none"/>
                <w:lang w:eastAsia="zh-CN"/>
              </w:rPr>
            </w:pPr>
            <w:r>
              <w:rPr>
                <w:rFonts w:hint="default" w:ascii="Times New Roman" w:hAnsi="Times New Roman" w:eastAsia="宋体" w:cs="Times New Roman"/>
                <w:b/>
                <w:bCs/>
                <w:color w:val="auto"/>
                <w:szCs w:val="21"/>
                <w:highlight w:val="none"/>
                <w:lang w:val="en-US" w:eastAsia="zh-CN"/>
              </w:rPr>
              <w:t>规模</w:t>
            </w:r>
          </w:p>
        </w:tc>
      </w:tr>
      <w:tr w14:paraId="3B8B7A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55" w:hRule="atLeast"/>
          <w:jc w:val="center"/>
        </w:trPr>
        <w:tc>
          <w:tcPr>
            <w:tcW w:w="1013" w:type="pct"/>
            <w:vAlign w:val="center"/>
          </w:tcPr>
          <w:p w14:paraId="2B6B2FCC">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1</w:t>
            </w:r>
          </w:p>
        </w:tc>
        <w:tc>
          <w:tcPr>
            <w:tcW w:w="1264" w:type="pct"/>
            <w:vAlign w:val="center"/>
          </w:tcPr>
          <w:p w14:paraId="2880C4D3">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rPr>
            </w:pPr>
            <w:r>
              <w:rPr>
                <w:rFonts w:hint="default" w:ascii="Times New Roman" w:hAnsi="Times New Roman" w:eastAsia="宋体" w:cs="Times New Roman"/>
                <w:color w:val="auto"/>
                <w:szCs w:val="21"/>
                <w:highlight w:val="none"/>
                <w:lang w:val="en-US" w:eastAsia="zh-CN"/>
              </w:rPr>
              <w:t>出栏：商品牛</w:t>
            </w:r>
          </w:p>
        </w:tc>
        <w:tc>
          <w:tcPr>
            <w:tcW w:w="1167" w:type="pct"/>
            <w:vAlign w:val="center"/>
          </w:tcPr>
          <w:p w14:paraId="2B1A2864">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rPr>
              <w:t>头/a</w:t>
            </w:r>
          </w:p>
        </w:tc>
        <w:tc>
          <w:tcPr>
            <w:tcW w:w="1555" w:type="pct"/>
            <w:vAlign w:val="center"/>
          </w:tcPr>
          <w:p w14:paraId="78EFFACB">
            <w:pPr>
              <w:pageBreakBefore w:val="0"/>
              <w:wordWrap/>
              <w:topLinePunct w:val="0"/>
              <w:bidi w:val="0"/>
              <w:adjustRightInd/>
              <w:snapToGrid/>
              <w:spacing w:line="240" w:lineRule="auto"/>
              <w:jc w:val="center"/>
              <w:rPr>
                <w:rFonts w:hint="default" w:ascii="Times New Roman" w:hAnsi="Times New Roman" w:eastAsia="宋体" w:cs="Times New Roman"/>
                <w:color w:val="FF0000"/>
                <w:szCs w:val="21"/>
                <w:highlight w:val="none"/>
                <w:lang w:val="en-US" w:eastAsia="zh-CN"/>
              </w:rPr>
            </w:pPr>
            <w:r>
              <w:rPr>
                <w:rFonts w:hint="default" w:ascii="Times New Roman" w:hAnsi="Times New Roman" w:eastAsia="宋体" w:cs="Times New Roman"/>
                <w:color w:val="FF0000"/>
                <w:szCs w:val="21"/>
                <w:highlight w:val="none"/>
                <w:lang w:val="en-US" w:eastAsia="zh-CN"/>
              </w:rPr>
              <w:t>1000</w:t>
            </w:r>
          </w:p>
        </w:tc>
      </w:tr>
      <w:tr w14:paraId="0750EC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55" w:hRule="atLeast"/>
          <w:jc w:val="center"/>
        </w:trPr>
        <w:tc>
          <w:tcPr>
            <w:tcW w:w="1013" w:type="pct"/>
            <w:vAlign w:val="center"/>
          </w:tcPr>
          <w:p w14:paraId="51D3E28B">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2</w:t>
            </w:r>
          </w:p>
        </w:tc>
        <w:tc>
          <w:tcPr>
            <w:tcW w:w="1264" w:type="pct"/>
            <w:vAlign w:val="center"/>
          </w:tcPr>
          <w:p w14:paraId="2262F7E0">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存栏：母牛</w:t>
            </w:r>
          </w:p>
        </w:tc>
        <w:tc>
          <w:tcPr>
            <w:tcW w:w="1167" w:type="pct"/>
            <w:vAlign w:val="center"/>
          </w:tcPr>
          <w:p w14:paraId="10A1975B">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rPr>
              <w:t>头/a</w:t>
            </w:r>
          </w:p>
        </w:tc>
        <w:tc>
          <w:tcPr>
            <w:tcW w:w="1555" w:type="pct"/>
            <w:vAlign w:val="center"/>
          </w:tcPr>
          <w:p w14:paraId="160D98E2">
            <w:pPr>
              <w:pageBreakBefore w:val="0"/>
              <w:wordWrap/>
              <w:topLinePunct w:val="0"/>
              <w:bidi w:val="0"/>
              <w:adjustRightInd/>
              <w:snapToGrid/>
              <w:spacing w:line="240" w:lineRule="auto"/>
              <w:jc w:val="center"/>
              <w:rPr>
                <w:rFonts w:hint="default" w:ascii="Times New Roman" w:hAnsi="Times New Roman" w:eastAsia="宋体" w:cs="Times New Roman"/>
                <w:color w:val="FF0000"/>
                <w:szCs w:val="21"/>
                <w:highlight w:val="none"/>
                <w:lang w:val="en-US" w:eastAsia="zh-CN"/>
              </w:rPr>
            </w:pPr>
            <w:r>
              <w:rPr>
                <w:rFonts w:hint="default" w:ascii="Times New Roman" w:hAnsi="Times New Roman" w:eastAsia="宋体" w:cs="Times New Roman"/>
                <w:color w:val="FF0000"/>
                <w:szCs w:val="21"/>
                <w:highlight w:val="none"/>
                <w:lang w:val="en-US" w:eastAsia="zh-CN"/>
              </w:rPr>
              <w:t>2000</w:t>
            </w:r>
          </w:p>
        </w:tc>
      </w:tr>
      <w:tr w14:paraId="273D3C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55" w:hRule="atLeast"/>
          <w:jc w:val="center"/>
        </w:trPr>
        <w:tc>
          <w:tcPr>
            <w:tcW w:w="1013" w:type="pct"/>
            <w:vAlign w:val="center"/>
          </w:tcPr>
          <w:p w14:paraId="2E67FE80">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3</w:t>
            </w:r>
          </w:p>
        </w:tc>
        <w:tc>
          <w:tcPr>
            <w:tcW w:w="1264" w:type="pct"/>
            <w:vAlign w:val="center"/>
          </w:tcPr>
          <w:p w14:paraId="49AE1AB6">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存栏：育肥牛</w:t>
            </w:r>
          </w:p>
        </w:tc>
        <w:tc>
          <w:tcPr>
            <w:tcW w:w="1167" w:type="pct"/>
            <w:vAlign w:val="center"/>
          </w:tcPr>
          <w:p w14:paraId="58D04757">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rPr>
              <w:t>头/a</w:t>
            </w:r>
          </w:p>
        </w:tc>
        <w:tc>
          <w:tcPr>
            <w:tcW w:w="1555" w:type="pct"/>
            <w:vAlign w:val="center"/>
          </w:tcPr>
          <w:p w14:paraId="47090DA3">
            <w:pPr>
              <w:pageBreakBefore w:val="0"/>
              <w:wordWrap/>
              <w:topLinePunct w:val="0"/>
              <w:bidi w:val="0"/>
              <w:adjustRightInd/>
              <w:snapToGrid/>
              <w:spacing w:line="240" w:lineRule="auto"/>
              <w:jc w:val="center"/>
              <w:rPr>
                <w:rFonts w:hint="default" w:ascii="Times New Roman" w:hAnsi="Times New Roman" w:eastAsia="宋体" w:cs="Times New Roman"/>
                <w:color w:val="FF0000"/>
                <w:szCs w:val="21"/>
                <w:highlight w:val="none"/>
                <w:lang w:val="en-US" w:eastAsia="zh-CN"/>
              </w:rPr>
            </w:pPr>
            <w:r>
              <w:rPr>
                <w:rFonts w:hint="eastAsia" w:ascii="Times New Roman" w:hAnsi="Times New Roman" w:eastAsia="宋体" w:cs="Times New Roman"/>
                <w:color w:val="FF0000"/>
                <w:szCs w:val="21"/>
                <w:highlight w:val="none"/>
                <w:lang w:val="en-US" w:eastAsia="zh-CN"/>
              </w:rPr>
              <w:t>2</w:t>
            </w:r>
            <w:r>
              <w:rPr>
                <w:rFonts w:hint="default" w:ascii="Times New Roman" w:hAnsi="Times New Roman" w:eastAsia="宋体" w:cs="Times New Roman"/>
                <w:color w:val="FF0000"/>
                <w:szCs w:val="21"/>
                <w:highlight w:val="none"/>
                <w:lang w:val="en-US" w:eastAsia="zh-CN"/>
              </w:rPr>
              <w:t>000</w:t>
            </w:r>
          </w:p>
        </w:tc>
      </w:tr>
      <w:tr w14:paraId="3EA2D3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55" w:hRule="atLeast"/>
          <w:jc w:val="center"/>
        </w:trPr>
        <w:tc>
          <w:tcPr>
            <w:tcW w:w="1013" w:type="pct"/>
            <w:vAlign w:val="center"/>
          </w:tcPr>
          <w:p w14:paraId="14F4FF24">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4</w:t>
            </w:r>
          </w:p>
        </w:tc>
        <w:tc>
          <w:tcPr>
            <w:tcW w:w="1264" w:type="pct"/>
            <w:vAlign w:val="center"/>
          </w:tcPr>
          <w:p w14:paraId="71662C32">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存栏：牛犊</w:t>
            </w:r>
          </w:p>
        </w:tc>
        <w:tc>
          <w:tcPr>
            <w:tcW w:w="1167" w:type="pct"/>
            <w:vAlign w:val="center"/>
          </w:tcPr>
          <w:p w14:paraId="46A7D378">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头/a</w:t>
            </w:r>
          </w:p>
        </w:tc>
        <w:tc>
          <w:tcPr>
            <w:tcW w:w="1555" w:type="pct"/>
            <w:vAlign w:val="center"/>
          </w:tcPr>
          <w:p w14:paraId="6B3ED532">
            <w:pPr>
              <w:pageBreakBefore w:val="0"/>
              <w:wordWrap/>
              <w:topLinePunct w:val="0"/>
              <w:bidi w:val="0"/>
              <w:adjustRightInd/>
              <w:snapToGrid/>
              <w:spacing w:line="240" w:lineRule="auto"/>
              <w:jc w:val="center"/>
              <w:rPr>
                <w:rFonts w:hint="default" w:ascii="Times New Roman" w:hAnsi="Times New Roman" w:eastAsia="宋体" w:cs="Times New Roman"/>
                <w:color w:val="FF0000"/>
                <w:szCs w:val="21"/>
                <w:highlight w:val="none"/>
                <w:lang w:val="en-US" w:eastAsia="zh-CN"/>
              </w:rPr>
            </w:pPr>
            <w:r>
              <w:rPr>
                <w:rFonts w:hint="default" w:ascii="Times New Roman" w:hAnsi="Times New Roman" w:eastAsia="宋体" w:cs="Times New Roman"/>
                <w:color w:val="FF0000"/>
                <w:szCs w:val="21"/>
                <w:highlight w:val="none"/>
                <w:lang w:val="en-US" w:eastAsia="zh-CN"/>
              </w:rPr>
              <w:t>1000</w:t>
            </w:r>
          </w:p>
        </w:tc>
      </w:tr>
      <w:tr w14:paraId="36B4A7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55" w:hRule="atLeast"/>
          <w:jc w:val="center"/>
        </w:trPr>
        <w:tc>
          <w:tcPr>
            <w:tcW w:w="1013" w:type="pct"/>
            <w:vAlign w:val="center"/>
          </w:tcPr>
          <w:p w14:paraId="6A93F262">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5</w:t>
            </w:r>
          </w:p>
        </w:tc>
        <w:tc>
          <w:tcPr>
            <w:tcW w:w="1264" w:type="pct"/>
            <w:vAlign w:val="center"/>
          </w:tcPr>
          <w:p w14:paraId="34C1BBA4">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FF0000"/>
                <w:szCs w:val="21"/>
                <w:highlight w:val="none"/>
                <w:lang w:val="en-US" w:eastAsia="zh-CN"/>
              </w:rPr>
              <w:t>垫料</w:t>
            </w:r>
          </w:p>
        </w:tc>
        <w:tc>
          <w:tcPr>
            <w:tcW w:w="1167" w:type="pct"/>
            <w:vAlign w:val="center"/>
          </w:tcPr>
          <w:p w14:paraId="34EFE005">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555" w:type="pct"/>
            <w:vAlign w:val="center"/>
          </w:tcPr>
          <w:p w14:paraId="30ED78E9">
            <w:pPr>
              <w:pageBreakBefore w:val="0"/>
              <w:wordWrap/>
              <w:topLinePunct w:val="0"/>
              <w:bidi w:val="0"/>
              <w:adjustRightInd/>
              <w:snapToGrid/>
              <w:spacing w:line="240" w:lineRule="auto"/>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10182.4</w:t>
            </w:r>
          </w:p>
        </w:tc>
      </w:tr>
      <w:bookmarkEnd w:id="108"/>
    </w:tbl>
    <w:p w14:paraId="2BF44D84">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09" w:name="_Toc16784"/>
      <w:r>
        <w:rPr>
          <w:rFonts w:hint="default" w:ascii="Times New Roman" w:hAnsi="Times New Roman" w:eastAsia="宋体" w:cs="Times New Roman"/>
          <w:b/>
          <w:bCs/>
          <w:color w:val="auto"/>
          <w:spacing w:val="-2"/>
          <w:sz w:val="24"/>
          <w:szCs w:val="24"/>
          <w:highlight w:val="none"/>
          <w:lang w:val="en-US" w:eastAsia="zh-CN"/>
        </w:rPr>
        <w:t>3.1.6公用工程</w:t>
      </w:r>
      <w:bookmarkEnd w:id="109"/>
    </w:p>
    <w:p w14:paraId="38F9EC29">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3.1.</w:t>
      </w:r>
      <w:r>
        <w:rPr>
          <w:rFonts w:hint="default"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Times New Roman" w:cs="Times New Roman"/>
          <w:b/>
          <w:bCs/>
          <w:color w:val="auto"/>
          <w:spacing w:val="-1"/>
          <w:sz w:val="24"/>
          <w:szCs w:val="24"/>
          <w:highlight w:val="none"/>
        </w:rPr>
        <w:t>1</w:t>
      </w:r>
      <w:r>
        <w:rPr>
          <w:rFonts w:hint="default" w:ascii="Times New Roman" w:hAnsi="Times New Roman" w:eastAsia="宋体" w:cs="Times New Roman"/>
          <w:b/>
          <w:bCs/>
          <w:color w:val="auto"/>
          <w:spacing w:val="-1"/>
          <w:sz w:val="24"/>
          <w:szCs w:val="24"/>
          <w:highlight w:val="none"/>
        </w:rPr>
        <w:t>给</w:t>
      </w:r>
      <w:r>
        <w:rPr>
          <w:rFonts w:hint="default" w:ascii="Times New Roman" w:hAnsi="Times New Roman" w:eastAsia="宋体" w:cs="Times New Roman"/>
          <w:b/>
          <w:bCs/>
          <w:color w:val="auto"/>
          <w:spacing w:val="-1"/>
          <w:sz w:val="24"/>
          <w:szCs w:val="24"/>
          <w:highlight w:val="none"/>
          <w:lang w:val="en-US" w:eastAsia="zh-CN"/>
        </w:rPr>
        <w:t>排</w:t>
      </w:r>
      <w:r>
        <w:rPr>
          <w:rFonts w:hint="default" w:ascii="Times New Roman" w:hAnsi="Times New Roman" w:eastAsia="宋体" w:cs="Times New Roman"/>
          <w:b/>
          <w:bCs/>
          <w:color w:val="auto"/>
          <w:spacing w:val="-1"/>
          <w:sz w:val="24"/>
          <w:szCs w:val="24"/>
          <w:highlight w:val="none"/>
        </w:rPr>
        <w:t>水</w:t>
      </w:r>
    </w:p>
    <w:p w14:paraId="582BAAA1">
      <w:pPr>
        <w:keepNext w:val="0"/>
        <w:keepLines w:val="0"/>
        <w:pageBreakBefore w:val="0"/>
        <w:widowControl/>
        <w:numPr>
          <w:ilvl w:val="0"/>
          <w:numId w:val="2"/>
        </w:numPr>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给水</w:t>
      </w:r>
    </w:p>
    <w:p w14:paraId="31886412">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0" w:rightChars="0" w:firstLine="464" w:firstLineChars="200"/>
        <w:textAlignment w:val="baseline"/>
        <w:rPr>
          <w:rFonts w:hint="default" w:ascii="Times New Roman" w:hAnsi="Times New Roman" w:eastAsia="宋体" w:cs="Times New Roman"/>
          <w:color w:val="auto"/>
          <w:spacing w:val="-4"/>
          <w:sz w:val="24"/>
          <w:szCs w:val="24"/>
          <w:highlight w:val="none"/>
          <w:lang w:eastAsia="zh-CN"/>
        </w:rPr>
      </w:pPr>
      <w:r>
        <w:rPr>
          <w:rFonts w:hint="default" w:ascii="Times New Roman" w:hAnsi="Times New Roman" w:eastAsia="宋体" w:cs="Times New Roman"/>
          <w:color w:val="auto"/>
          <w:spacing w:val="-4"/>
          <w:sz w:val="24"/>
          <w:szCs w:val="24"/>
          <w:highlight w:val="none"/>
        </w:rPr>
        <w:t>项目利用现有的</w:t>
      </w:r>
      <w:r>
        <w:rPr>
          <w:rFonts w:hint="default" w:ascii="Times New Roman" w:hAnsi="Times New Roman" w:eastAsia="宋体" w:cs="Times New Roman"/>
          <w:color w:val="auto"/>
          <w:spacing w:val="-4"/>
          <w:sz w:val="24"/>
          <w:szCs w:val="24"/>
          <w:highlight w:val="none"/>
          <w:lang w:val="en-US" w:eastAsia="zh-CN"/>
        </w:rPr>
        <w:t>3眼</w:t>
      </w:r>
      <w:r>
        <w:rPr>
          <w:rFonts w:hint="default" w:ascii="Times New Roman" w:hAnsi="Times New Roman" w:eastAsia="宋体" w:cs="Times New Roman"/>
          <w:color w:val="auto"/>
          <w:spacing w:val="-4"/>
          <w:sz w:val="24"/>
          <w:szCs w:val="24"/>
          <w:highlight w:val="none"/>
        </w:rPr>
        <w:t>水井，涌水量</w:t>
      </w:r>
      <w:r>
        <w:rPr>
          <w:rFonts w:hint="default" w:ascii="Times New Roman" w:hAnsi="Times New Roman" w:eastAsia="Times New Roman" w:cs="Times New Roman"/>
          <w:color w:val="auto"/>
          <w:spacing w:val="-4"/>
          <w:sz w:val="24"/>
          <w:szCs w:val="24"/>
          <w:highlight w:val="none"/>
        </w:rPr>
        <w:t>50m</w:t>
      </w:r>
      <w:r>
        <w:rPr>
          <w:rFonts w:hint="default" w:ascii="Times New Roman" w:hAnsi="Times New Roman" w:eastAsia="Times New Roman" w:cs="Times New Roman"/>
          <w:color w:val="auto"/>
          <w:spacing w:val="-4"/>
          <w:position w:val="10"/>
          <w:sz w:val="16"/>
          <w:szCs w:val="16"/>
          <w:highlight w:val="none"/>
        </w:rPr>
        <w:t>3</w:t>
      </w:r>
      <w:r>
        <w:rPr>
          <w:rFonts w:hint="default" w:ascii="Times New Roman" w:hAnsi="Times New Roman" w:eastAsia="Times New Roman" w:cs="Times New Roman"/>
          <w:color w:val="auto"/>
          <w:spacing w:val="-4"/>
          <w:sz w:val="24"/>
          <w:szCs w:val="24"/>
          <w:highlight w:val="none"/>
        </w:rPr>
        <w:t>/h</w:t>
      </w:r>
      <w:r>
        <w:rPr>
          <w:rFonts w:hint="default" w:ascii="Times New Roman" w:hAnsi="Times New Roman" w:eastAsia="宋体" w:cs="Times New Roman"/>
          <w:color w:val="auto"/>
          <w:spacing w:val="-4"/>
          <w:sz w:val="24"/>
          <w:szCs w:val="24"/>
          <w:highlight w:val="none"/>
        </w:rPr>
        <w:t>作为本项目水源</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lang w:val="en-US" w:eastAsia="zh-CN"/>
        </w:rPr>
        <w:t>水井供水水质良好、水量稳定，为养殖场提供养殖饮用水、牛舍冲洗用及生活饮用水，满足项目运营期的用水要求。</w:t>
      </w:r>
    </w:p>
    <w:p w14:paraId="4DBD7480">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项目用水主要包括牛饮用水、生活用水等。产</w:t>
      </w:r>
      <w:r>
        <w:rPr>
          <w:rFonts w:hint="default" w:ascii="Times New Roman" w:hAnsi="Times New Roman" w:eastAsia="宋体" w:cs="Times New Roman"/>
          <w:color w:val="auto"/>
          <w:spacing w:val="-3"/>
          <w:sz w:val="24"/>
          <w:szCs w:val="24"/>
          <w:highlight w:val="none"/>
        </w:rPr>
        <w:t>生情况如下：</w:t>
      </w:r>
    </w:p>
    <w:p w14:paraId="20464855">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1</w:t>
      </w:r>
      <w:r>
        <w:rPr>
          <w:rFonts w:hint="default" w:ascii="Times New Roman" w:hAnsi="Times New Roman" w:eastAsia="宋体" w:cs="Times New Roman"/>
          <w:color w:val="auto"/>
          <w:spacing w:val="-7"/>
          <w:sz w:val="24"/>
          <w:szCs w:val="24"/>
          <w:highlight w:val="none"/>
        </w:rPr>
        <w:t>）牛饮用水情况：</w:t>
      </w:r>
    </w:p>
    <w:p w14:paraId="4783638C">
      <w:pPr>
        <w:keepNext w:val="0"/>
        <w:keepLines w:val="0"/>
        <w:pageBreakBefore w:val="0"/>
        <w:widowControl/>
        <w:kinsoku/>
        <w:wordWrap w:val="0"/>
        <w:overflowPunct/>
        <w:topLinePunct/>
        <w:autoSpaceDE/>
        <w:autoSpaceDN/>
        <w:bidi w:val="0"/>
        <w:adjustRightInd w:val="0"/>
        <w:snapToGrid w:val="0"/>
        <w:spacing w:line="360" w:lineRule="auto"/>
        <w:ind w:left="0" w:right="0" w:firstLine="488" w:firstLineChars="200"/>
        <w:textAlignment w:val="baseline"/>
        <w:rPr>
          <w:rFonts w:hint="default" w:ascii="Times New Roman" w:hAnsi="Times New Roman" w:eastAsia="宋体" w:cs="Times New Roman"/>
          <w:color w:val="auto"/>
          <w:spacing w:val="1"/>
          <w:sz w:val="24"/>
          <w:szCs w:val="24"/>
          <w:highlight w:val="none"/>
          <w:lang w:val="en-US" w:eastAsia="zh-CN"/>
        </w:rPr>
      </w:pPr>
      <w:r>
        <w:rPr>
          <w:rFonts w:hint="default" w:ascii="Times New Roman" w:hAnsi="Times New Roman" w:eastAsia="宋体" w:cs="Times New Roman"/>
          <w:color w:val="auto"/>
          <w:spacing w:val="2"/>
          <w:sz w:val="24"/>
          <w:szCs w:val="24"/>
          <w:highlight w:val="none"/>
        </w:rPr>
        <w:t>根据黑龙江省《用水定额》（</w:t>
      </w:r>
      <w:r>
        <w:rPr>
          <w:rFonts w:hint="default" w:ascii="Times New Roman" w:hAnsi="Times New Roman" w:eastAsia="Times New Roman" w:cs="Times New Roman"/>
          <w:color w:val="auto"/>
          <w:sz w:val="24"/>
          <w:szCs w:val="24"/>
          <w:highlight w:val="none"/>
        </w:rPr>
        <w:t>DB</w:t>
      </w:r>
      <w:r>
        <w:rPr>
          <w:rFonts w:hint="default" w:ascii="Times New Roman" w:hAnsi="Times New Roman" w:eastAsia="Times New Roman" w:cs="Times New Roman"/>
          <w:color w:val="auto"/>
          <w:spacing w:val="2"/>
          <w:sz w:val="24"/>
          <w:szCs w:val="24"/>
          <w:highlight w:val="none"/>
        </w:rPr>
        <w:t>23/T727-2021</w:t>
      </w:r>
      <w:r>
        <w:rPr>
          <w:rFonts w:hint="default" w:ascii="Times New Roman" w:hAnsi="Times New Roman" w:eastAsia="宋体" w:cs="Times New Roman"/>
          <w:color w:val="auto"/>
          <w:spacing w:val="2"/>
          <w:sz w:val="24"/>
          <w:szCs w:val="24"/>
          <w:highlight w:val="none"/>
        </w:rPr>
        <w:t>）规定的用水</w:t>
      </w:r>
      <w:r>
        <w:rPr>
          <w:rFonts w:hint="default" w:ascii="Times New Roman" w:hAnsi="Times New Roman" w:eastAsia="宋体" w:cs="Times New Roman"/>
          <w:color w:val="auto"/>
          <w:spacing w:val="1"/>
          <w:sz w:val="24"/>
          <w:szCs w:val="24"/>
          <w:highlight w:val="none"/>
        </w:rPr>
        <w:t>量</w:t>
      </w:r>
      <w:r>
        <w:rPr>
          <w:rFonts w:hint="default" w:ascii="Times New Roman" w:hAnsi="Times New Roman" w:eastAsia="宋体" w:cs="Times New Roman"/>
          <w:color w:val="auto"/>
          <w:spacing w:val="1"/>
          <w:sz w:val="24"/>
          <w:szCs w:val="24"/>
          <w:highlight w:val="none"/>
          <w:lang w:eastAsia="zh-CN"/>
        </w:rPr>
        <w:t>，</w:t>
      </w:r>
      <w:r>
        <w:rPr>
          <w:rFonts w:hint="default" w:ascii="Times New Roman" w:hAnsi="Times New Roman" w:eastAsia="宋体" w:cs="Times New Roman"/>
          <w:color w:val="auto"/>
          <w:spacing w:val="1"/>
          <w:sz w:val="24"/>
          <w:szCs w:val="24"/>
          <w:highlight w:val="none"/>
          <w:lang w:val="en-US" w:eastAsia="zh-CN"/>
        </w:rPr>
        <w:t>肉牛用水量为60L /（头•d），肉牛总饮水量108000m</w:t>
      </w:r>
      <w:r>
        <w:rPr>
          <w:rFonts w:hint="default" w:ascii="Times New Roman" w:hAnsi="Times New Roman" w:eastAsia="宋体" w:cs="Times New Roman"/>
          <w:color w:val="auto"/>
          <w:spacing w:val="1"/>
          <w:sz w:val="24"/>
          <w:szCs w:val="24"/>
          <w:highlight w:val="none"/>
          <w:vertAlign w:val="superscript"/>
          <w:lang w:val="en-US" w:eastAsia="zh-CN"/>
        </w:rPr>
        <w:t>3</w:t>
      </w:r>
      <w:r>
        <w:rPr>
          <w:rFonts w:hint="default" w:ascii="Times New Roman" w:hAnsi="Times New Roman" w:eastAsia="宋体" w:cs="Times New Roman"/>
          <w:color w:val="auto"/>
          <w:spacing w:val="1"/>
          <w:sz w:val="24"/>
          <w:szCs w:val="24"/>
          <w:highlight w:val="none"/>
          <w:lang w:val="en-US" w:eastAsia="zh-CN"/>
        </w:rPr>
        <w:t>/a。</w:t>
      </w:r>
    </w:p>
    <w:p w14:paraId="08B1B32E">
      <w:pPr>
        <w:keepNext w:val="0"/>
        <w:keepLines w:val="0"/>
        <w:pageBreakBefore w:val="0"/>
        <w:kinsoku/>
        <w:wordWrap w:val="0"/>
        <w:overflowPunct/>
        <w:topLinePunct/>
        <w:autoSpaceDE/>
        <w:autoSpaceDN/>
        <w:bidi w:val="0"/>
        <w:adjustRightInd w:val="0"/>
        <w:snapToGrid w:val="0"/>
        <w:spacing w:line="89" w:lineRule="auto"/>
        <w:textAlignment w:val="baseline"/>
        <w:rPr>
          <w:rFonts w:hint="default" w:ascii="Times New Roman" w:hAnsi="Times New Roman" w:cs="Times New Roman"/>
          <w:color w:val="auto"/>
          <w:sz w:val="2"/>
          <w:highlight w:val="none"/>
        </w:rPr>
      </w:pPr>
    </w:p>
    <w:p w14:paraId="7ED66185">
      <w:pPr>
        <w:keepNext w:val="0"/>
        <w:keepLines w:val="0"/>
        <w:pageBreakBefore w:val="0"/>
        <w:widowControl/>
        <w:kinsoku/>
        <w:wordWrap w:val="0"/>
        <w:overflowPunct/>
        <w:topLinePunct/>
        <w:autoSpaceDE/>
        <w:autoSpaceDN/>
        <w:bidi w:val="0"/>
        <w:adjustRightInd w:val="0"/>
        <w:snapToGrid w:val="0"/>
        <w:spacing w:line="360" w:lineRule="auto"/>
        <w:ind w:left="0" w:right="0" w:firstLine="44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0"/>
          <w:sz w:val="24"/>
          <w:szCs w:val="24"/>
          <w:highlight w:val="none"/>
        </w:rPr>
        <w:t>（</w:t>
      </w:r>
      <w:r>
        <w:rPr>
          <w:rFonts w:hint="default" w:ascii="Times New Roman" w:hAnsi="Times New Roman" w:eastAsia="Times New Roman" w:cs="Times New Roman"/>
          <w:color w:val="auto"/>
          <w:spacing w:val="-10"/>
          <w:sz w:val="24"/>
          <w:szCs w:val="24"/>
          <w:highlight w:val="none"/>
        </w:rPr>
        <w:t>2</w:t>
      </w:r>
      <w:r>
        <w:rPr>
          <w:rFonts w:hint="default" w:ascii="Times New Roman" w:hAnsi="Times New Roman" w:eastAsia="宋体" w:cs="Times New Roman"/>
          <w:color w:val="auto"/>
          <w:spacing w:val="-10"/>
          <w:sz w:val="24"/>
          <w:szCs w:val="24"/>
          <w:highlight w:val="none"/>
        </w:rPr>
        <w:t>）生活用水：本项目场区内职工在场区内进行食宿，根据《黑龙江省地方标准</w:t>
      </w:r>
      <w:r>
        <w:rPr>
          <w:rFonts w:hint="default" w:ascii="Times New Roman" w:hAnsi="Times New Roman" w:eastAsia="宋体" w:cs="Times New Roman"/>
          <w:color w:val="auto"/>
          <w:spacing w:val="-6"/>
          <w:sz w:val="24"/>
          <w:szCs w:val="24"/>
          <w:highlight w:val="none"/>
        </w:rPr>
        <w:t>用水定额》</w:t>
      </w:r>
      <w:r>
        <w:rPr>
          <w:rFonts w:hint="default" w:ascii="Times New Roman" w:hAnsi="Times New Roman" w:eastAsia="Times New Roman" w:cs="Times New Roman"/>
          <w:color w:val="auto"/>
          <w:spacing w:val="-6"/>
          <w:sz w:val="24"/>
          <w:szCs w:val="24"/>
          <w:highlight w:val="none"/>
        </w:rPr>
        <w:t>(DB23/T727-2021)</w:t>
      </w:r>
      <w:r>
        <w:rPr>
          <w:rFonts w:hint="default" w:ascii="Times New Roman" w:hAnsi="Times New Roman" w:eastAsia="宋体" w:cs="Times New Roman"/>
          <w:color w:val="auto"/>
          <w:spacing w:val="-6"/>
          <w:sz w:val="24"/>
          <w:szCs w:val="24"/>
          <w:highlight w:val="none"/>
        </w:rPr>
        <w:t>规定的用水量，本项目职工人数为</w:t>
      </w:r>
      <w:r>
        <w:rPr>
          <w:rFonts w:hint="default" w:ascii="Times New Roman" w:hAnsi="Times New Roman" w:eastAsia="宋体" w:cs="Times New Roman"/>
          <w:color w:val="auto"/>
          <w:spacing w:val="-6"/>
          <w:sz w:val="24"/>
          <w:szCs w:val="24"/>
          <w:highlight w:val="none"/>
          <w:lang w:val="en-US" w:eastAsia="zh-CN"/>
        </w:rPr>
        <w:t>20</w:t>
      </w:r>
      <w:r>
        <w:rPr>
          <w:rFonts w:hint="default" w:ascii="Times New Roman" w:hAnsi="Times New Roman" w:eastAsia="宋体" w:cs="Times New Roman"/>
          <w:color w:val="auto"/>
          <w:spacing w:val="-6"/>
          <w:sz w:val="24"/>
          <w:szCs w:val="24"/>
          <w:highlight w:val="none"/>
        </w:rPr>
        <w:t>人，按</w:t>
      </w:r>
      <w:r>
        <w:rPr>
          <w:rFonts w:hint="default" w:ascii="Times New Roman" w:hAnsi="Times New Roman" w:eastAsia="Times New Roman" w:cs="Times New Roman"/>
          <w:color w:val="auto"/>
          <w:spacing w:val="-6"/>
          <w:sz w:val="24"/>
          <w:szCs w:val="24"/>
          <w:highlight w:val="none"/>
        </w:rPr>
        <w:t>8</w:t>
      </w:r>
      <w:r>
        <w:rPr>
          <w:rFonts w:hint="default" w:ascii="Times New Roman" w:hAnsi="Times New Roman" w:eastAsia="Times New Roman" w:cs="Times New Roman"/>
          <w:color w:val="auto"/>
          <w:spacing w:val="-7"/>
          <w:sz w:val="24"/>
          <w:szCs w:val="24"/>
          <w:highlight w:val="none"/>
        </w:rPr>
        <w:t>0</w:t>
      </w:r>
      <w:r>
        <w:rPr>
          <w:rFonts w:hint="default" w:ascii="Times New Roman" w:hAnsi="Times New Roman" w:eastAsia="宋体" w:cs="Times New Roman"/>
          <w:color w:val="auto"/>
          <w:spacing w:val="-7"/>
          <w:sz w:val="24"/>
          <w:szCs w:val="24"/>
          <w:highlight w:val="none"/>
          <w:lang w:val="en-US" w:eastAsia="zh-CN"/>
        </w:rPr>
        <w:t>L/(</w:t>
      </w:r>
      <w:r>
        <w:rPr>
          <w:rFonts w:hint="default" w:ascii="Times New Roman" w:hAnsi="Times New Roman" w:eastAsia="宋体" w:cs="Times New Roman"/>
          <w:color w:val="auto"/>
          <w:spacing w:val="-7"/>
          <w:sz w:val="24"/>
          <w:szCs w:val="24"/>
          <w:highlight w:val="none"/>
        </w:rPr>
        <w:t>人</w:t>
      </w:r>
      <w:r>
        <w:rPr>
          <w:rFonts w:hint="default" w:ascii="Times New Roman" w:hAnsi="Times New Roman" w:eastAsia="宋体" w:cs="Times New Roman"/>
          <w:color w:val="auto"/>
          <w:spacing w:val="-7"/>
          <w:sz w:val="24"/>
          <w:szCs w:val="24"/>
          <w:highlight w:val="none"/>
          <w:lang w:val="en-US" w:eastAsia="zh-CN"/>
        </w:rPr>
        <w:t>.</w:t>
      </w:r>
      <w:r>
        <w:rPr>
          <w:rFonts w:hint="default" w:ascii="Times New Roman" w:hAnsi="Times New Roman" w:eastAsia="Times New Roman" w:cs="Times New Roman"/>
          <w:color w:val="auto"/>
          <w:spacing w:val="-7"/>
          <w:sz w:val="24"/>
          <w:szCs w:val="24"/>
          <w:highlight w:val="none"/>
        </w:rPr>
        <w:t>d</w:t>
      </w:r>
      <w:r>
        <w:rPr>
          <w:rFonts w:hint="default" w:ascii="Times New Roman" w:hAnsi="Times New Roman" w:eastAsia="宋体" w:cs="Times New Roman"/>
          <w:color w:val="auto"/>
          <w:spacing w:val="-7"/>
          <w:sz w:val="24"/>
          <w:szCs w:val="24"/>
          <w:highlight w:val="none"/>
          <w:lang w:val="en-US" w:eastAsia="zh-CN"/>
        </w:rPr>
        <w:t>)</w:t>
      </w:r>
      <w:r>
        <w:rPr>
          <w:rFonts w:hint="default" w:ascii="Times New Roman" w:hAnsi="Times New Roman" w:eastAsia="宋体" w:cs="Times New Roman"/>
          <w:color w:val="auto"/>
          <w:spacing w:val="-7"/>
          <w:sz w:val="24"/>
          <w:szCs w:val="24"/>
          <w:highlight w:val="none"/>
        </w:rPr>
        <w:t>计，</w:t>
      </w:r>
      <w:r>
        <w:rPr>
          <w:rFonts w:hint="default" w:ascii="Times New Roman" w:hAnsi="Times New Roman" w:eastAsia="宋体" w:cs="Times New Roman"/>
          <w:color w:val="auto"/>
          <w:spacing w:val="-1"/>
          <w:sz w:val="24"/>
          <w:szCs w:val="24"/>
          <w:highlight w:val="none"/>
        </w:rPr>
        <w:t>可得生活用水量为</w:t>
      </w:r>
      <w:r>
        <w:rPr>
          <w:rFonts w:hint="default" w:ascii="Times New Roman" w:hAnsi="Times New Roman" w:eastAsia="宋体" w:cs="Times New Roman"/>
          <w:color w:val="auto"/>
          <w:spacing w:val="-1"/>
          <w:sz w:val="24"/>
          <w:szCs w:val="24"/>
          <w:highlight w:val="none"/>
          <w:lang w:val="en-US" w:eastAsia="zh-CN"/>
        </w:rPr>
        <w:t>1.6</w:t>
      </w:r>
      <w:r>
        <w:rPr>
          <w:rFonts w:hint="default" w:ascii="Times New Roman" w:hAnsi="Times New Roman" w:eastAsia="Times New Roman" w:cs="Times New Roman"/>
          <w:color w:val="auto"/>
          <w:spacing w:val="-1"/>
          <w:sz w:val="24"/>
          <w:szCs w:val="24"/>
          <w:highlight w:val="none"/>
        </w:rPr>
        <w:t>t/d</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584</w:t>
      </w:r>
      <w:r>
        <w:rPr>
          <w:rFonts w:hint="default" w:ascii="Times New Roman" w:hAnsi="Times New Roman" w:eastAsia="Times New Roman" w:cs="Times New Roman"/>
          <w:color w:val="auto"/>
          <w:spacing w:val="-1"/>
          <w:sz w:val="24"/>
          <w:szCs w:val="24"/>
          <w:highlight w:val="none"/>
        </w:rPr>
        <w:t>t</w:t>
      </w:r>
      <w:r>
        <w:rPr>
          <w:rFonts w:hint="default" w:ascii="Times New Roman" w:hAnsi="Times New Roman" w:eastAsia="Times New Roman" w:cs="Times New Roman"/>
          <w:color w:val="auto"/>
          <w:spacing w:val="-2"/>
          <w:sz w:val="24"/>
          <w:szCs w:val="24"/>
          <w:highlight w:val="none"/>
        </w:rPr>
        <w:t>/a</w:t>
      </w:r>
      <w:r>
        <w:rPr>
          <w:rFonts w:hint="default" w:ascii="Times New Roman" w:hAnsi="Times New Roman" w:eastAsia="宋体" w:cs="Times New Roman"/>
          <w:color w:val="auto"/>
          <w:spacing w:val="-2"/>
          <w:sz w:val="24"/>
          <w:szCs w:val="24"/>
          <w:highlight w:val="none"/>
        </w:rPr>
        <w:t>）。</w:t>
      </w:r>
    </w:p>
    <w:p w14:paraId="290390DB">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pacing w:val="-11"/>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3</w:t>
      </w:r>
      <w:r>
        <w:rPr>
          <w:rFonts w:hint="default" w:ascii="Times New Roman" w:hAnsi="Times New Roman" w:eastAsia="宋体" w:cs="Times New Roman"/>
          <w:color w:val="auto"/>
          <w:spacing w:val="-1"/>
          <w:sz w:val="24"/>
          <w:szCs w:val="24"/>
          <w:highlight w:val="none"/>
        </w:rPr>
        <w:t>）消毒剂配制用水：本项目</w:t>
      </w:r>
      <w:r>
        <w:rPr>
          <w:rFonts w:hint="default" w:ascii="Times New Roman" w:hAnsi="Times New Roman" w:eastAsia="宋体" w:cs="Times New Roman"/>
          <w:color w:val="auto"/>
          <w:spacing w:val="-1"/>
          <w:sz w:val="24"/>
          <w:szCs w:val="24"/>
          <w:highlight w:val="none"/>
          <w:lang w:val="en-US" w:eastAsia="zh-CN"/>
        </w:rPr>
        <w:t>牛</w:t>
      </w:r>
      <w:r>
        <w:rPr>
          <w:rFonts w:hint="default" w:ascii="Times New Roman" w:hAnsi="Times New Roman" w:eastAsia="宋体" w:cs="Times New Roman"/>
          <w:color w:val="auto"/>
          <w:spacing w:val="-1"/>
          <w:sz w:val="24"/>
          <w:szCs w:val="24"/>
          <w:highlight w:val="none"/>
        </w:rPr>
        <w:t>舍消毒需要使用消毒剂与水配制而成，消毒剂用量为</w:t>
      </w:r>
      <w:r>
        <w:rPr>
          <w:rFonts w:hint="default" w:ascii="Times New Roman" w:hAnsi="Times New Roman" w:eastAsia="宋体" w:cs="Times New Roman"/>
          <w:color w:val="auto"/>
          <w:spacing w:val="-1"/>
          <w:sz w:val="24"/>
          <w:szCs w:val="24"/>
          <w:highlight w:val="none"/>
          <w:lang w:val="en-US" w:eastAsia="zh-CN"/>
        </w:rPr>
        <w:t>1</w:t>
      </w:r>
      <w:r>
        <w:rPr>
          <w:rFonts w:hint="default" w:ascii="Times New Roman" w:hAnsi="Times New Roman" w:eastAsia="Times New Roman" w:cs="Times New Roman"/>
          <w:color w:val="auto"/>
          <w:spacing w:val="-1"/>
          <w:sz w:val="24"/>
          <w:szCs w:val="24"/>
          <w:highlight w:val="none"/>
        </w:rPr>
        <w:t>t/a</w:t>
      </w:r>
      <w:r>
        <w:rPr>
          <w:rFonts w:hint="default" w:ascii="Times New Roman" w:hAnsi="Times New Roman" w:eastAsia="宋体" w:cs="Times New Roman"/>
          <w:color w:val="auto"/>
          <w:spacing w:val="-1"/>
          <w:sz w:val="24"/>
          <w:szCs w:val="24"/>
          <w:highlight w:val="none"/>
        </w:rPr>
        <w:t>，配比为</w:t>
      </w:r>
      <w:r>
        <w:rPr>
          <w:rFonts w:hint="default" w:ascii="Times New Roman" w:hAnsi="Times New Roman" w:eastAsia="Times New Roman" w:cs="Times New Roman"/>
          <w:color w:val="auto"/>
          <w:spacing w:val="-1"/>
          <w:sz w:val="24"/>
          <w:szCs w:val="24"/>
          <w:highlight w:val="none"/>
        </w:rPr>
        <w:t>1:100</w:t>
      </w:r>
      <w:r>
        <w:rPr>
          <w:rFonts w:hint="default" w:ascii="Times New Roman" w:hAnsi="Times New Roman" w:eastAsia="宋体" w:cs="Times New Roman"/>
          <w:color w:val="auto"/>
          <w:spacing w:val="-1"/>
          <w:sz w:val="24"/>
          <w:szCs w:val="24"/>
          <w:highlight w:val="none"/>
        </w:rPr>
        <w:t>，则消毒用水</w:t>
      </w:r>
      <w:r>
        <w:rPr>
          <w:rFonts w:hint="default" w:ascii="Times New Roman" w:hAnsi="Times New Roman" w:eastAsia="宋体" w:cs="Times New Roman"/>
          <w:color w:val="auto"/>
          <w:spacing w:val="-2"/>
          <w:sz w:val="24"/>
          <w:szCs w:val="24"/>
          <w:highlight w:val="none"/>
        </w:rPr>
        <w:t>量约</w:t>
      </w:r>
      <w:r>
        <w:rPr>
          <w:rFonts w:hint="default" w:ascii="Times New Roman" w:hAnsi="Times New Roman" w:eastAsia="Times New Roman" w:cs="Times New Roman"/>
          <w:color w:val="auto"/>
          <w:spacing w:val="-2"/>
          <w:sz w:val="24"/>
          <w:szCs w:val="24"/>
          <w:highlight w:val="none"/>
        </w:rPr>
        <w:t>0.</w:t>
      </w:r>
      <w:r>
        <w:rPr>
          <w:rFonts w:hint="default" w:ascii="Times New Roman" w:hAnsi="Times New Roman" w:eastAsia="宋体" w:cs="Times New Roman"/>
          <w:color w:val="auto"/>
          <w:spacing w:val="-2"/>
          <w:sz w:val="24"/>
          <w:szCs w:val="24"/>
          <w:highlight w:val="none"/>
          <w:lang w:val="en-US" w:eastAsia="zh-CN"/>
        </w:rPr>
        <w:t>27</w:t>
      </w:r>
      <w:r>
        <w:rPr>
          <w:rFonts w:hint="default" w:ascii="Times New Roman" w:hAnsi="Times New Roman" w:eastAsia="Times New Roman" w:cs="Times New Roman"/>
          <w:color w:val="auto"/>
          <w:spacing w:val="-2"/>
          <w:sz w:val="24"/>
          <w:szCs w:val="24"/>
          <w:highlight w:val="none"/>
        </w:rPr>
        <w:t>m</w:t>
      </w:r>
      <w:r>
        <w:rPr>
          <w:rFonts w:hint="default" w:ascii="Times New Roman" w:hAnsi="Times New Roman" w:eastAsia="宋体" w:cs="Times New Roman"/>
          <w:color w:val="auto"/>
          <w:spacing w:val="-2"/>
          <w:sz w:val="24"/>
          <w:szCs w:val="24"/>
          <w:highlight w:val="none"/>
        </w:rPr>
        <w:t>³</w:t>
      </w:r>
      <w:r>
        <w:rPr>
          <w:rFonts w:hint="default" w:ascii="Times New Roman" w:hAnsi="Times New Roman" w:eastAsia="Times New Roman" w:cs="Times New Roman"/>
          <w:color w:val="auto"/>
          <w:spacing w:val="-2"/>
          <w:sz w:val="24"/>
          <w:szCs w:val="24"/>
          <w:highlight w:val="none"/>
        </w:rPr>
        <w:t>/d</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lang w:val="en-US" w:eastAsia="zh-CN"/>
        </w:rPr>
        <w:t>100</w:t>
      </w:r>
      <w:r>
        <w:rPr>
          <w:rFonts w:hint="default" w:ascii="Times New Roman" w:hAnsi="Times New Roman" w:eastAsia="Times New Roman" w:cs="Times New Roman"/>
          <w:color w:val="auto"/>
          <w:spacing w:val="-2"/>
          <w:sz w:val="24"/>
          <w:szCs w:val="24"/>
          <w:highlight w:val="none"/>
        </w:rPr>
        <w:t>m</w:t>
      </w:r>
      <w:r>
        <w:rPr>
          <w:rFonts w:hint="default" w:ascii="Times New Roman" w:hAnsi="Times New Roman" w:eastAsia="宋体" w:cs="Times New Roman"/>
          <w:color w:val="auto"/>
          <w:spacing w:val="-2"/>
          <w:sz w:val="24"/>
          <w:szCs w:val="24"/>
          <w:highlight w:val="none"/>
        </w:rPr>
        <w:t>³</w:t>
      </w:r>
      <w:r>
        <w:rPr>
          <w:rFonts w:hint="default" w:ascii="Times New Roman" w:hAnsi="Times New Roman" w:eastAsia="Times New Roman" w:cs="Times New Roman"/>
          <w:color w:val="auto"/>
          <w:spacing w:val="-2"/>
          <w:sz w:val="24"/>
          <w:szCs w:val="24"/>
          <w:highlight w:val="none"/>
        </w:rPr>
        <w:t>/a</w:t>
      </w:r>
      <w:r>
        <w:rPr>
          <w:rFonts w:hint="default" w:ascii="Times New Roman" w:hAnsi="Times New Roman" w:eastAsia="宋体" w:cs="Times New Roman"/>
          <w:color w:val="auto"/>
          <w:spacing w:val="-11"/>
          <w:sz w:val="24"/>
          <w:szCs w:val="24"/>
          <w:highlight w:val="none"/>
        </w:rPr>
        <w:t>），</w:t>
      </w:r>
      <w:r>
        <w:rPr>
          <w:rFonts w:hint="default" w:ascii="Times New Roman" w:hAnsi="Times New Roman" w:eastAsia="宋体" w:cs="Times New Roman"/>
          <w:color w:val="auto"/>
          <w:spacing w:val="-2"/>
          <w:sz w:val="24"/>
          <w:szCs w:val="24"/>
          <w:highlight w:val="none"/>
        </w:rPr>
        <w:t>此部分水分自然</w:t>
      </w:r>
      <w:r>
        <w:rPr>
          <w:rFonts w:hint="default" w:ascii="Times New Roman" w:hAnsi="Times New Roman" w:eastAsia="宋体" w:cs="Times New Roman"/>
          <w:color w:val="auto"/>
          <w:spacing w:val="-11"/>
          <w:sz w:val="24"/>
          <w:szCs w:val="24"/>
          <w:highlight w:val="none"/>
        </w:rPr>
        <w:t>蒸发。</w:t>
      </w:r>
    </w:p>
    <w:p w14:paraId="78862E39">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4</w:t>
      </w:r>
      <w:r>
        <w:rPr>
          <w:rFonts w:hint="default" w:ascii="Times New Roman" w:hAnsi="Times New Roman" w:eastAsia="宋体" w:cs="Times New Roman"/>
          <w:color w:val="auto"/>
          <w:spacing w:val="-1"/>
          <w:sz w:val="24"/>
          <w:szCs w:val="24"/>
          <w:highlight w:val="none"/>
        </w:rPr>
        <w:t>）生物除臭剂配制用水：根据设计文件，牛舍、</w:t>
      </w:r>
      <w:r>
        <w:rPr>
          <w:rFonts w:hint="default" w:ascii="Times New Roman" w:hAnsi="Times New Roman" w:eastAsia="宋体" w:cs="Times New Roman"/>
          <w:color w:val="auto"/>
          <w:spacing w:val="-1"/>
          <w:sz w:val="24"/>
          <w:szCs w:val="24"/>
          <w:highlight w:val="none"/>
          <w:lang w:eastAsia="zh-CN"/>
        </w:rPr>
        <w:t>粪污储存间</w:t>
      </w:r>
      <w:r>
        <w:rPr>
          <w:rFonts w:hint="default" w:ascii="Times New Roman" w:hAnsi="Times New Roman" w:eastAsia="宋体" w:cs="Times New Roman"/>
          <w:color w:val="auto"/>
          <w:spacing w:val="-1"/>
          <w:sz w:val="24"/>
          <w:szCs w:val="24"/>
          <w:highlight w:val="none"/>
        </w:rPr>
        <w:t>需要定期喷洒生物</w:t>
      </w:r>
      <w:r>
        <w:rPr>
          <w:rFonts w:hint="default" w:ascii="Times New Roman" w:hAnsi="Times New Roman" w:eastAsia="宋体" w:cs="Times New Roman"/>
          <w:color w:val="auto"/>
          <w:spacing w:val="1"/>
          <w:sz w:val="24"/>
          <w:szCs w:val="24"/>
          <w:highlight w:val="none"/>
        </w:rPr>
        <w:t>除臭剂，生物除臭剂用量为</w:t>
      </w:r>
      <w:r>
        <w:rPr>
          <w:rFonts w:hint="default" w:ascii="Times New Roman" w:hAnsi="Times New Roman" w:eastAsia="宋体" w:cs="Times New Roman"/>
          <w:color w:val="auto"/>
          <w:spacing w:val="1"/>
          <w:sz w:val="24"/>
          <w:szCs w:val="24"/>
          <w:highlight w:val="none"/>
          <w:lang w:val="en-US" w:eastAsia="zh-CN"/>
        </w:rPr>
        <w:t>1</w:t>
      </w:r>
      <w:r>
        <w:rPr>
          <w:rFonts w:hint="default" w:ascii="Times New Roman" w:hAnsi="Times New Roman" w:eastAsia="Times New Roman" w:cs="Times New Roman"/>
          <w:color w:val="auto"/>
          <w:spacing w:val="1"/>
          <w:sz w:val="24"/>
          <w:szCs w:val="24"/>
          <w:highlight w:val="none"/>
        </w:rPr>
        <w:t>t/a</w:t>
      </w:r>
      <w:r>
        <w:rPr>
          <w:rFonts w:hint="default" w:ascii="Times New Roman" w:hAnsi="Times New Roman" w:eastAsia="宋体" w:cs="Times New Roman"/>
          <w:color w:val="auto"/>
          <w:spacing w:val="1"/>
          <w:sz w:val="24"/>
          <w:szCs w:val="24"/>
          <w:highlight w:val="none"/>
        </w:rPr>
        <w:t>，配比为</w:t>
      </w:r>
      <w:r>
        <w:rPr>
          <w:rFonts w:hint="default" w:ascii="Times New Roman" w:hAnsi="Times New Roman" w:eastAsia="Times New Roman" w:cs="Times New Roman"/>
          <w:color w:val="auto"/>
          <w:spacing w:val="1"/>
          <w:sz w:val="24"/>
          <w:szCs w:val="24"/>
          <w:highlight w:val="none"/>
        </w:rPr>
        <w:t>1:5</w:t>
      </w:r>
      <w:r>
        <w:rPr>
          <w:rFonts w:hint="default" w:ascii="Times New Roman" w:hAnsi="Times New Roman" w:eastAsia="Times New Roman" w:cs="Times New Roman"/>
          <w:color w:val="auto"/>
          <w:sz w:val="24"/>
          <w:szCs w:val="24"/>
          <w:highlight w:val="none"/>
        </w:rPr>
        <w:t>0</w:t>
      </w:r>
      <w:r>
        <w:rPr>
          <w:rFonts w:hint="default" w:ascii="Times New Roman" w:hAnsi="Times New Roman" w:eastAsia="宋体" w:cs="Times New Roman"/>
          <w:color w:val="auto"/>
          <w:sz w:val="24"/>
          <w:szCs w:val="24"/>
          <w:highlight w:val="none"/>
        </w:rPr>
        <w:t>，则项目运营期间生物除臭剂用水量为</w:t>
      </w:r>
      <w:r>
        <w:rPr>
          <w:rFonts w:hint="default" w:ascii="Times New Roman" w:hAnsi="Times New Roman" w:eastAsia="Times New Roman" w:cs="Times New Roman"/>
          <w:color w:val="auto"/>
          <w:spacing w:val="-2"/>
          <w:sz w:val="24"/>
          <w:szCs w:val="24"/>
          <w:highlight w:val="none"/>
        </w:rPr>
        <w:t>0.</w:t>
      </w:r>
      <w:r>
        <w:rPr>
          <w:rFonts w:hint="default" w:ascii="Times New Roman" w:hAnsi="Times New Roman" w:eastAsia="宋体" w:cs="Times New Roman"/>
          <w:color w:val="auto"/>
          <w:spacing w:val="-2"/>
          <w:sz w:val="24"/>
          <w:szCs w:val="24"/>
          <w:highlight w:val="none"/>
          <w:lang w:val="en-US" w:eastAsia="zh-CN"/>
        </w:rPr>
        <w:t>14</w:t>
      </w:r>
      <w:r>
        <w:rPr>
          <w:rFonts w:hint="default" w:ascii="Times New Roman" w:hAnsi="Times New Roman" w:eastAsia="Times New Roman" w:cs="Times New Roman"/>
          <w:color w:val="auto"/>
          <w:spacing w:val="-2"/>
          <w:sz w:val="24"/>
          <w:szCs w:val="24"/>
          <w:highlight w:val="none"/>
        </w:rPr>
        <w:t>m</w:t>
      </w:r>
      <w:r>
        <w:rPr>
          <w:rFonts w:hint="default" w:ascii="Times New Roman" w:hAnsi="Times New Roman" w:eastAsia="宋体" w:cs="Times New Roman"/>
          <w:color w:val="auto"/>
          <w:spacing w:val="-2"/>
          <w:sz w:val="24"/>
          <w:szCs w:val="24"/>
          <w:highlight w:val="none"/>
        </w:rPr>
        <w:t>³</w:t>
      </w:r>
      <w:r>
        <w:rPr>
          <w:rFonts w:hint="default" w:ascii="Times New Roman" w:hAnsi="Times New Roman" w:eastAsia="Times New Roman" w:cs="Times New Roman"/>
          <w:color w:val="auto"/>
          <w:spacing w:val="-2"/>
          <w:sz w:val="24"/>
          <w:szCs w:val="24"/>
          <w:highlight w:val="none"/>
        </w:rPr>
        <w:t>/d</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lang w:val="en-US" w:eastAsia="zh-CN"/>
        </w:rPr>
        <w:t>50</w:t>
      </w:r>
      <w:r>
        <w:rPr>
          <w:rFonts w:hint="default" w:ascii="Times New Roman" w:hAnsi="Times New Roman" w:eastAsia="Times New Roman" w:cs="Times New Roman"/>
          <w:color w:val="auto"/>
          <w:spacing w:val="-2"/>
          <w:sz w:val="24"/>
          <w:szCs w:val="24"/>
          <w:highlight w:val="none"/>
        </w:rPr>
        <w:t>m</w:t>
      </w:r>
      <w:r>
        <w:rPr>
          <w:rFonts w:hint="default" w:ascii="Times New Roman" w:hAnsi="Times New Roman" w:eastAsia="宋体" w:cs="Times New Roman"/>
          <w:color w:val="auto"/>
          <w:spacing w:val="-2"/>
          <w:sz w:val="24"/>
          <w:szCs w:val="24"/>
          <w:highlight w:val="none"/>
        </w:rPr>
        <w:t>³</w:t>
      </w:r>
      <w:r>
        <w:rPr>
          <w:rFonts w:hint="default" w:ascii="Times New Roman" w:hAnsi="Times New Roman" w:eastAsia="Times New Roman" w:cs="Times New Roman"/>
          <w:color w:val="auto"/>
          <w:spacing w:val="-2"/>
          <w:sz w:val="24"/>
          <w:szCs w:val="24"/>
          <w:highlight w:val="none"/>
        </w:rPr>
        <w:t>/a</w:t>
      </w: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宋体" w:cs="Times New Roman"/>
          <w:color w:val="auto"/>
          <w:spacing w:val="-2"/>
          <w:sz w:val="24"/>
          <w:szCs w:val="24"/>
          <w:highlight w:val="none"/>
        </w:rPr>
        <w:t>此部分水分自然蒸发。</w:t>
      </w:r>
    </w:p>
    <w:p w14:paraId="15C22E25">
      <w:pPr>
        <w:keepNext w:val="0"/>
        <w:keepLines w:val="0"/>
        <w:pageBreakBefore w:val="0"/>
        <w:widowControl/>
        <w:kinsoku/>
        <w:wordWrap w:val="0"/>
        <w:overflowPunct/>
        <w:topLinePunct/>
        <w:autoSpaceDE/>
        <w:autoSpaceDN/>
        <w:bidi w:val="0"/>
        <w:adjustRightInd w:val="0"/>
        <w:snapToGrid w:val="0"/>
        <w:spacing w:line="24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本项目用水量汇总表见表</w:t>
      </w:r>
      <w:r>
        <w:rPr>
          <w:rFonts w:hint="default" w:ascii="Times New Roman" w:hAnsi="Times New Roman" w:eastAsia="Times New Roman" w:cs="Times New Roman"/>
          <w:color w:val="auto"/>
          <w:spacing w:val="-1"/>
          <w:sz w:val="24"/>
          <w:szCs w:val="24"/>
          <w:highlight w:val="none"/>
        </w:rPr>
        <w:t>3.1-</w:t>
      </w:r>
      <w:r>
        <w:rPr>
          <w:rFonts w:hint="default" w:ascii="Times New Roman" w:hAnsi="Times New Roman" w:eastAsia="宋体" w:cs="Times New Roman"/>
          <w:color w:val="auto"/>
          <w:spacing w:val="-1"/>
          <w:sz w:val="24"/>
          <w:szCs w:val="24"/>
          <w:highlight w:val="none"/>
          <w:lang w:val="en-US" w:eastAsia="zh-CN"/>
        </w:rPr>
        <w:t>7</w:t>
      </w:r>
      <w:r>
        <w:rPr>
          <w:rFonts w:hint="default" w:ascii="Times New Roman" w:hAnsi="Times New Roman" w:eastAsia="宋体" w:cs="Times New Roman"/>
          <w:color w:val="auto"/>
          <w:spacing w:val="-1"/>
          <w:sz w:val="24"/>
          <w:szCs w:val="24"/>
          <w:highlight w:val="none"/>
        </w:rPr>
        <w:t>。</w:t>
      </w:r>
    </w:p>
    <w:p w14:paraId="7DD4B5F1">
      <w:pPr>
        <w:keepNext w:val="0"/>
        <w:keepLines w:val="0"/>
        <w:pageBreakBefore w:val="0"/>
        <w:widowControl/>
        <w:kinsoku/>
        <w:wordWrap w:val="0"/>
        <w:overflowPunct/>
        <w:topLinePunct/>
        <w:autoSpaceDE/>
        <w:autoSpaceDN/>
        <w:bidi w:val="0"/>
        <w:adjustRightInd w:val="0"/>
        <w:snapToGrid w:val="0"/>
        <w:spacing w:before="163" w:line="240" w:lineRule="auto"/>
        <w:ind w:left="2881"/>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3.1-</w:t>
      </w:r>
      <w:r>
        <w:rPr>
          <w:rFonts w:hint="default" w:ascii="Times New Roman" w:hAnsi="Times New Roman" w:eastAsia="宋体" w:cs="Times New Roman"/>
          <w:b/>
          <w:bCs/>
          <w:color w:val="auto"/>
          <w:spacing w:val="-2"/>
          <w:sz w:val="24"/>
          <w:szCs w:val="24"/>
          <w:highlight w:val="none"/>
          <w:lang w:val="en-US" w:eastAsia="zh-CN"/>
        </w:rPr>
        <w:t>7</w:t>
      </w:r>
      <w:r>
        <w:rPr>
          <w:rFonts w:hint="default" w:ascii="Times New Roman" w:hAnsi="Times New Roman" w:eastAsia="宋体" w:cs="Times New Roman"/>
          <w:b/>
          <w:bCs/>
          <w:color w:val="auto"/>
          <w:spacing w:val="-2"/>
          <w:sz w:val="24"/>
          <w:szCs w:val="24"/>
          <w:highlight w:val="none"/>
        </w:rPr>
        <w:t>本项目用水情况汇总表</w:t>
      </w:r>
    </w:p>
    <w:tbl>
      <w:tblPr>
        <w:tblStyle w:val="34"/>
        <w:tblW w:w="8378" w:type="dxa"/>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891"/>
        <w:gridCol w:w="2203"/>
        <w:gridCol w:w="2505"/>
        <w:gridCol w:w="2779"/>
      </w:tblGrid>
      <w:tr w14:paraId="197285B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891" w:type="dxa"/>
            <w:tcBorders>
              <w:tl2br w:val="nil"/>
              <w:tr2bl w:val="nil"/>
            </w:tcBorders>
            <w:vAlign w:val="top"/>
          </w:tcPr>
          <w:p w14:paraId="2910361B">
            <w:pPr>
              <w:pStyle w:val="35"/>
              <w:keepNext w:val="0"/>
              <w:keepLines w:val="0"/>
              <w:pageBreakBefore w:val="0"/>
              <w:kinsoku/>
              <w:wordWrap w:val="0"/>
              <w:overflowPunct/>
              <w:topLinePunct/>
              <w:autoSpaceDE/>
              <w:autoSpaceDN/>
              <w:bidi w:val="0"/>
              <w:adjustRightInd w:val="0"/>
              <w:snapToGrid w:val="0"/>
              <w:spacing w:before="98" w:line="222" w:lineRule="auto"/>
              <w:ind w:left="280"/>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序号</w:t>
            </w:r>
          </w:p>
        </w:tc>
        <w:tc>
          <w:tcPr>
            <w:tcW w:w="2203" w:type="dxa"/>
            <w:tcBorders>
              <w:tl2br w:val="nil"/>
              <w:tr2bl w:val="nil"/>
            </w:tcBorders>
            <w:vAlign w:val="top"/>
          </w:tcPr>
          <w:p w14:paraId="0C2D21CE">
            <w:pPr>
              <w:pStyle w:val="35"/>
              <w:keepNext w:val="0"/>
              <w:keepLines w:val="0"/>
              <w:pageBreakBefore w:val="0"/>
              <w:kinsoku/>
              <w:wordWrap w:val="0"/>
              <w:overflowPunct/>
              <w:topLinePunct/>
              <w:autoSpaceDE/>
              <w:autoSpaceDN/>
              <w:bidi w:val="0"/>
              <w:adjustRightInd w:val="0"/>
              <w:snapToGrid w:val="0"/>
              <w:spacing w:before="97" w:line="221" w:lineRule="auto"/>
              <w:ind w:left="744"/>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用水源</w:t>
            </w:r>
          </w:p>
        </w:tc>
        <w:tc>
          <w:tcPr>
            <w:tcW w:w="2505" w:type="dxa"/>
            <w:tcBorders>
              <w:tl2br w:val="nil"/>
              <w:tr2bl w:val="nil"/>
            </w:tcBorders>
            <w:vAlign w:val="top"/>
          </w:tcPr>
          <w:p w14:paraId="43DF4714">
            <w:pPr>
              <w:pStyle w:val="35"/>
              <w:keepNext w:val="0"/>
              <w:keepLines w:val="0"/>
              <w:pageBreakBefore w:val="0"/>
              <w:kinsoku/>
              <w:wordWrap w:val="0"/>
              <w:overflowPunct/>
              <w:topLinePunct/>
              <w:autoSpaceDE/>
              <w:autoSpaceDN/>
              <w:bidi w:val="0"/>
              <w:adjustRightInd w:val="0"/>
              <w:snapToGrid w:val="0"/>
              <w:spacing w:before="98" w:line="234"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2"/>
                <w:highlight w:val="none"/>
              </w:rPr>
              <w:t>用水量（</w:t>
            </w:r>
            <w:r>
              <w:rPr>
                <w:rFonts w:hint="default" w:ascii="Times New Roman" w:hAnsi="Times New Roman" w:eastAsia="Times New Roman" w:cs="Times New Roman"/>
                <w:b/>
                <w:bCs/>
                <w:color w:val="auto"/>
                <w:spacing w:val="-2"/>
                <w:highlight w:val="none"/>
              </w:rPr>
              <w:t>t/d</w:t>
            </w:r>
            <w:r>
              <w:rPr>
                <w:rFonts w:hint="default" w:ascii="Times New Roman" w:hAnsi="Times New Roman" w:cs="Times New Roman"/>
                <w:b/>
                <w:bCs/>
                <w:color w:val="auto"/>
                <w:spacing w:val="-2"/>
                <w:highlight w:val="none"/>
              </w:rPr>
              <w:t>）</w:t>
            </w:r>
          </w:p>
        </w:tc>
        <w:tc>
          <w:tcPr>
            <w:tcW w:w="2779" w:type="dxa"/>
            <w:tcBorders>
              <w:tl2br w:val="nil"/>
              <w:tr2bl w:val="nil"/>
            </w:tcBorders>
            <w:vAlign w:val="top"/>
          </w:tcPr>
          <w:p w14:paraId="4190813D">
            <w:pPr>
              <w:pStyle w:val="35"/>
              <w:keepNext w:val="0"/>
              <w:keepLines w:val="0"/>
              <w:pageBreakBefore w:val="0"/>
              <w:kinsoku/>
              <w:wordWrap w:val="0"/>
              <w:overflowPunct/>
              <w:topLinePunct/>
              <w:autoSpaceDE/>
              <w:autoSpaceDN/>
              <w:bidi w:val="0"/>
              <w:adjustRightInd w:val="0"/>
              <w:snapToGrid w:val="0"/>
              <w:spacing w:before="98" w:line="234"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2"/>
                <w:highlight w:val="none"/>
              </w:rPr>
              <w:t>用水量（</w:t>
            </w:r>
            <w:r>
              <w:rPr>
                <w:rFonts w:hint="default" w:ascii="Times New Roman" w:hAnsi="Times New Roman" w:eastAsia="Times New Roman" w:cs="Times New Roman"/>
                <w:b/>
                <w:bCs/>
                <w:color w:val="auto"/>
                <w:spacing w:val="-2"/>
                <w:highlight w:val="none"/>
              </w:rPr>
              <w:t>t/a</w:t>
            </w:r>
            <w:r>
              <w:rPr>
                <w:rFonts w:hint="default" w:ascii="Times New Roman" w:hAnsi="Times New Roman" w:cs="Times New Roman"/>
                <w:b/>
                <w:bCs/>
                <w:color w:val="auto"/>
                <w:spacing w:val="-2"/>
                <w:highlight w:val="none"/>
              </w:rPr>
              <w:t>）</w:t>
            </w:r>
          </w:p>
        </w:tc>
      </w:tr>
      <w:tr w14:paraId="676A107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891" w:type="dxa"/>
            <w:tcBorders>
              <w:tl2br w:val="nil"/>
              <w:tr2bl w:val="nil"/>
            </w:tcBorders>
            <w:vAlign w:val="top"/>
          </w:tcPr>
          <w:p w14:paraId="58CFAD61">
            <w:pPr>
              <w:keepNext w:val="0"/>
              <w:keepLines w:val="0"/>
              <w:pageBreakBefore w:val="0"/>
              <w:kinsoku/>
              <w:wordWrap w:val="0"/>
              <w:overflowPunct/>
              <w:topLinePunct/>
              <w:autoSpaceDE/>
              <w:autoSpaceDN/>
              <w:bidi w:val="0"/>
              <w:adjustRightInd w:val="0"/>
              <w:snapToGrid w:val="0"/>
              <w:spacing w:before="126" w:line="236" w:lineRule="auto"/>
              <w:ind w:left="456"/>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2203" w:type="dxa"/>
            <w:tcBorders>
              <w:tl2br w:val="nil"/>
              <w:tr2bl w:val="nil"/>
            </w:tcBorders>
            <w:vAlign w:val="top"/>
          </w:tcPr>
          <w:p w14:paraId="1E634FB6">
            <w:pPr>
              <w:pStyle w:val="35"/>
              <w:keepNext w:val="0"/>
              <w:keepLines w:val="0"/>
              <w:pageBreakBefore w:val="0"/>
              <w:kinsoku/>
              <w:wordWrap w:val="0"/>
              <w:overflowPunct/>
              <w:topLinePunct/>
              <w:autoSpaceDE/>
              <w:autoSpaceDN/>
              <w:bidi w:val="0"/>
              <w:adjustRightInd w:val="0"/>
              <w:snapToGrid w:val="0"/>
              <w:spacing w:before="95" w:line="221" w:lineRule="auto"/>
              <w:ind w:left="644"/>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牛饮用水</w:t>
            </w:r>
          </w:p>
        </w:tc>
        <w:tc>
          <w:tcPr>
            <w:tcW w:w="2505" w:type="dxa"/>
            <w:tcBorders>
              <w:tl2br w:val="nil"/>
              <w:tr2bl w:val="nil"/>
            </w:tcBorders>
            <w:vAlign w:val="top"/>
          </w:tcPr>
          <w:p w14:paraId="766FEB19">
            <w:pPr>
              <w:keepNext w:val="0"/>
              <w:keepLines w:val="0"/>
              <w:pageBreakBefore w:val="0"/>
              <w:kinsoku/>
              <w:wordWrap w:val="0"/>
              <w:overflowPunct/>
              <w:topLinePunct/>
              <w:autoSpaceDE/>
              <w:autoSpaceDN/>
              <w:bidi w:val="0"/>
              <w:adjustRightInd w:val="0"/>
              <w:snapToGrid w:val="0"/>
              <w:spacing w:before="125" w:line="234"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295.9</w:t>
            </w:r>
          </w:p>
        </w:tc>
        <w:tc>
          <w:tcPr>
            <w:tcW w:w="2779" w:type="dxa"/>
            <w:tcBorders>
              <w:tl2br w:val="nil"/>
              <w:tr2bl w:val="nil"/>
            </w:tcBorders>
            <w:vAlign w:val="top"/>
          </w:tcPr>
          <w:p w14:paraId="22317BD2">
            <w:pPr>
              <w:keepNext w:val="0"/>
              <w:keepLines w:val="0"/>
              <w:pageBreakBefore w:val="0"/>
              <w:kinsoku/>
              <w:wordWrap w:val="0"/>
              <w:overflowPunct/>
              <w:topLinePunct/>
              <w:autoSpaceDE/>
              <w:autoSpaceDN/>
              <w:bidi w:val="0"/>
              <w:adjustRightInd w:val="0"/>
              <w:snapToGrid w:val="0"/>
              <w:spacing w:before="126" w:line="233"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3"/>
                <w:sz w:val="21"/>
                <w:szCs w:val="21"/>
                <w:highlight w:val="none"/>
                <w:lang w:val="en-US" w:eastAsia="zh-CN"/>
              </w:rPr>
              <w:t>108000</w:t>
            </w:r>
          </w:p>
        </w:tc>
      </w:tr>
      <w:tr w14:paraId="3119B96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891" w:type="dxa"/>
            <w:tcBorders>
              <w:tl2br w:val="nil"/>
              <w:tr2bl w:val="nil"/>
            </w:tcBorders>
            <w:vAlign w:val="top"/>
          </w:tcPr>
          <w:p w14:paraId="0C5E3D01">
            <w:pPr>
              <w:keepNext w:val="0"/>
              <w:keepLines w:val="0"/>
              <w:pageBreakBefore w:val="0"/>
              <w:kinsoku/>
              <w:wordWrap w:val="0"/>
              <w:overflowPunct/>
              <w:topLinePunct/>
              <w:autoSpaceDE/>
              <w:autoSpaceDN/>
              <w:bidi w:val="0"/>
              <w:adjustRightInd w:val="0"/>
              <w:snapToGrid w:val="0"/>
              <w:spacing w:before="127" w:line="236" w:lineRule="auto"/>
              <w:ind w:left="436"/>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2203" w:type="dxa"/>
            <w:tcBorders>
              <w:tl2br w:val="nil"/>
              <w:tr2bl w:val="nil"/>
            </w:tcBorders>
            <w:vAlign w:val="top"/>
          </w:tcPr>
          <w:p w14:paraId="73CD2BB5">
            <w:pPr>
              <w:pStyle w:val="35"/>
              <w:keepNext w:val="0"/>
              <w:keepLines w:val="0"/>
              <w:pageBreakBefore w:val="0"/>
              <w:kinsoku/>
              <w:wordWrap w:val="0"/>
              <w:overflowPunct/>
              <w:topLinePunct/>
              <w:autoSpaceDE/>
              <w:autoSpaceDN/>
              <w:bidi w:val="0"/>
              <w:adjustRightInd w:val="0"/>
              <w:snapToGrid w:val="0"/>
              <w:spacing w:before="99" w:line="221" w:lineRule="auto"/>
              <w:ind w:left="641"/>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生活用水</w:t>
            </w:r>
          </w:p>
        </w:tc>
        <w:tc>
          <w:tcPr>
            <w:tcW w:w="2505" w:type="dxa"/>
            <w:tcBorders>
              <w:tl2br w:val="nil"/>
              <w:tr2bl w:val="nil"/>
            </w:tcBorders>
            <w:vAlign w:val="top"/>
          </w:tcPr>
          <w:p w14:paraId="3C43ECDD">
            <w:pPr>
              <w:keepNext w:val="0"/>
              <w:keepLines w:val="0"/>
              <w:pageBreakBefore w:val="0"/>
              <w:kinsoku/>
              <w:wordWrap w:val="0"/>
              <w:overflowPunct/>
              <w:topLinePunct/>
              <w:autoSpaceDE/>
              <w:autoSpaceDN/>
              <w:bidi w:val="0"/>
              <w:adjustRightInd w:val="0"/>
              <w:snapToGrid w:val="0"/>
              <w:spacing w:before="127" w:line="233"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3"/>
                <w:sz w:val="21"/>
                <w:szCs w:val="21"/>
                <w:highlight w:val="none"/>
                <w:lang w:val="en-US" w:eastAsia="zh-CN"/>
              </w:rPr>
              <w:t>1.6</w:t>
            </w:r>
          </w:p>
        </w:tc>
        <w:tc>
          <w:tcPr>
            <w:tcW w:w="2779" w:type="dxa"/>
            <w:tcBorders>
              <w:tl2br w:val="nil"/>
              <w:tr2bl w:val="nil"/>
            </w:tcBorders>
            <w:vAlign w:val="top"/>
          </w:tcPr>
          <w:p w14:paraId="3457F9BA">
            <w:pPr>
              <w:keepNext w:val="0"/>
              <w:keepLines w:val="0"/>
              <w:pageBreakBefore w:val="0"/>
              <w:kinsoku/>
              <w:wordWrap w:val="0"/>
              <w:overflowPunct/>
              <w:topLinePunct/>
              <w:autoSpaceDE/>
              <w:autoSpaceDN/>
              <w:bidi w:val="0"/>
              <w:adjustRightInd w:val="0"/>
              <w:snapToGrid w:val="0"/>
              <w:spacing w:before="127" w:line="234"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2"/>
                <w:sz w:val="21"/>
                <w:szCs w:val="21"/>
                <w:highlight w:val="none"/>
                <w:lang w:val="en-US" w:eastAsia="zh-CN"/>
              </w:rPr>
              <w:t>584</w:t>
            </w:r>
          </w:p>
        </w:tc>
      </w:tr>
      <w:tr w14:paraId="5801E66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891" w:type="dxa"/>
            <w:tcBorders>
              <w:tl2br w:val="nil"/>
              <w:tr2bl w:val="nil"/>
            </w:tcBorders>
            <w:vAlign w:val="top"/>
          </w:tcPr>
          <w:p w14:paraId="3851EF84">
            <w:pPr>
              <w:keepNext w:val="0"/>
              <w:keepLines w:val="0"/>
              <w:pageBreakBefore w:val="0"/>
              <w:kinsoku/>
              <w:wordWrap w:val="0"/>
              <w:overflowPunct/>
              <w:topLinePunct/>
              <w:autoSpaceDE/>
              <w:autoSpaceDN/>
              <w:bidi w:val="0"/>
              <w:adjustRightInd w:val="0"/>
              <w:snapToGrid w:val="0"/>
              <w:spacing w:before="134" w:line="236" w:lineRule="auto"/>
              <w:ind w:left="435"/>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3</w:t>
            </w:r>
          </w:p>
        </w:tc>
        <w:tc>
          <w:tcPr>
            <w:tcW w:w="2203" w:type="dxa"/>
            <w:tcBorders>
              <w:tl2br w:val="nil"/>
              <w:tr2bl w:val="nil"/>
            </w:tcBorders>
            <w:vAlign w:val="top"/>
          </w:tcPr>
          <w:p w14:paraId="27B0D9D9">
            <w:pPr>
              <w:pStyle w:val="35"/>
              <w:keepNext w:val="0"/>
              <w:keepLines w:val="0"/>
              <w:pageBreakBefore w:val="0"/>
              <w:kinsoku/>
              <w:wordWrap w:val="0"/>
              <w:overflowPunct/>
              <w:topLinePunct/>
              <w:autoSpaceDE/>
              <w:autoSpaceDN/>
              <w:bidi w:val="0"/>
              <w:adjustRightInd w:val="0"/>
              <w:snapToGrid w:val="0"/>
              <w:spacing w:before="104" w:line="220" w:lineRule="auto"/>
              <w:ind w:left="32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消毒剂配制用水</w:t>
            </w:r>
          </w:p>
        </w:tc>
        <w:tc>
          <w:tcPr>
            <w:tcW w:w="2505" w:type="dxa"/>
            <w:tcBorders>
              <w:tl2br w:val="nil"/>
              <w:tr2bl w:val="nil"/>
            </w:tcBorders>
            <w:vAlign w:val="top"/>
          </w:tcPr>
          <w:p w14:paraId="34F240CF">
            <w:pPr>
              <w:keepNext w:val="0"/>
              <w:keepLines w:val="0"/>
              <w:pageBreakBefore w:val="0"/>
              <w:kinsoku/>
              <w:wordWrap w:val="0"/>
              <w:overflowPunct/>
              <w:topLinePunct/>
              <w:autoSpaceDE/>
              <w:autoSpaceDN/>
              <w:bidi w:val="0"/>
              <w:adjustRightInd w:val="0"/>
              <w:snapToGrid w:val="0"/>
              <w:spacing w:before="134" w:line="233"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0.27</w:t>
            </w:r>
          </w:p>
        </w:tc>
        <w:tc>
          <w:tcPr>
            <w:tcW w:w="2779" w:type="dxa"/>
            <w:tcBorders>
              <w:tl2br w:val="nil"/>
              <w:tr2bl w:val="nil"/>
            </w:tcBorders>
            <w:vAlign w:val="top"/>
          </w:tcPr>
          <w:p w14:paraId="226874D6">
            <w:pPr>
              <w:keepNext w:val="0"/>
              <w:keepLines w:val="0"/>
              <w:pageBreakBefore w:val="0"/>
              <w:kinsoku/>
              <w:wordWrap w:val="0"/>
              <w:overflowPunct/>
              <w:topLinePunct/>
              <w:autoSpaceDE/>
              <w:autoSpaceDN/>
              <w:bidi w:val="0"/>
              <w:adjustRightInd w:val="0"/>
              <w:snapToGrid w:val="0"/>
              <w:spacing w:before="134" w:line="234"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6"/>
                <w:sz w:val="21"/>
                <w:szCs w:val="21"/>
                <w:highlight w:val="none"/>
                <w:lang w:val="en-US" w:eastAsia="zh-CN"/>
              </w:rPr>
              <w:t>100</w:t>
            </w:r>
          </w:p>
        </w:tc>
      </w:tr>
      <w:tr w14:paraId="7EC3EF8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891" w:type="dxa"/>
            <w:tcBorders>
              <w:tl2br w:val="nil"/>
              <w:tr2bl w:val="nil"/>
            </w:tcBorders>
            <w:vAlign w:val="top"/>
          </w:tcPr>
          <w:p w14:paraId="782DE776">
            <w:pPr>
              <w:keepNext w:val="0"/>
              <w:keepLines w:val="0"/>
              <w:pageBreakBefore w:val="0"/>
              <w:kinsoku/>
              <w:wordWrap w:val="0"/>
              <w:overflowPunct/>
              <w:topLinePunct/>
              <w:autoSpaceDE/>
              <w:autoSpaceDN/>
              <w:bidi w:val="0"/>
              <w:adjustRightInd w:val="0"/>
              <w:snapToGrid w:val="0"/>
              <w:spacing w:before="135" w:line="234" w:lineRule="auto"/>
              <w:ind w:left="442"/>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w:t>
            </w:r>
          </w:p>
        </w:tc>
        <w:tc>
          <w:tcPr>
            <w:tcW w:w="2203" w:type="dxa"/>
            <w:tcBorders>
              <w:tl2br w:val="nil"/>
              <w:tr2bl w:val="nil"/>
            </w:tcBorders>
            <w:vAlign w:val="top"/>
          </w:tcPr>
          <w:p w14:paraId="617D6C02">
            <w:pPr>
              <w:pStyle w:val="35"/>
              <w:keepNext w:val="0"/>
              <w:keepLines w:val="0"/>
              <w:pageBreakBefore w:val="0"/>
              <w:kinsoku/>
              <w:wordWrap w:val="0"/>
              <w:overflowPunct/>
              <w:topLinePunct/>
              <w:autoSpaceDE/>
              <w:autoSpaceDN/>
              <w:bidi w:val="0"/>
              <w:adjustRightInd w:val="0"/>
              <w:snapToGrid w:val="0"/>
              <w:spacing w:before="108" w:line="220" w:lineRule="auto"/>
              <w:ind w:left="11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生物除臭剂配制用水</w:t>
            </w:r>
          </w:p>
        </w:tc>
        <w:tc>
          <w:tcPr>
            <w:tcW w:w="2505" w:type="dxa"/>
            <w:tcBorders>
              <w:tl2br w:val="nil"/>
              <w:tr2bl w:val="nil"/>
            </w:tcBorders>
            <w:vAlign w:val="top"/>
          </w:tcPr>
          <w:p w14:paraId="2620C791">
            <w:pPr>
              <w:keepNext w:val="0"/>
              <w:keepLines w:val="0"/>
              <w:pageBreakBefore w:val="0"/>
              <w:kinsoku/>
              <w:wordWrap w:val="0"/>
              <w:overflowPunct/>
              <w:topLinePunct/>
              <w:autoSpaceDE/>
              <w:autoSpaceDN/>
              <w:bidi w:val="0"/>
              <w:adjustRightInd w:val="0"/>
              <w:snapToGrid w:val="0"/>
              <w:spacing w:before="136" w:line="233"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color w:val="auto"/>
                <w:spacing w:val="-1"/>
                <w:sz w:val="21"/>
                <w:szCs w:val="21"/>
                <w:highlight w:val="none"/>
              </w:rPr>
              <w:t>0.</w:t>
            </w:r>
            <w:r>
              <w:rPr>
                <w:rFonts w:hint="default" w:ascii="Times New Roman" w:hAnsi="Times New Roman" w:eastAsia="宋体" w:cs="Times New Roman"/>
                <w:color w:val="auto"/>
                <w:spacing w:val="-1"/>
                <w:sz w:val="21"/>
                <w:szCs w:val="21"/>
                <w:highlight w:val="none"/>
                <w:lang w:val="en-US" w:eastAsia="zh-CN"/>
              </w:rPr>
              <w:t>14</w:t>
            </w:r>
          </w:p>
        </w:tc>
        <w:tc>
          <w:tcPr>
            <w:tcW w:w="2779" w:type="dxa"/>
            <w:tcBorders>
              <w:tl2br w:val="nil"/>
              <w:tr2bl w:val="nil"/>
            </w:tcBorders>
            <w:vAlign w:val="top"/>
          </w:tcPr>
          <w:p w14:paraId="708B0FA5">
            <w:pPr>
              <w:keepNext w:val="0"/>
              <w:keepLines w:val="0"/>
              <w:pageBreakBefore w:val="0"/>
              <w:kinsoku/>
              <w:wordWrap w:val="0"/>
              <w:overflowPunct/>
              <w:topLinePunct/>
              <w:autoSpaceDE/>
              <w:autoSpaceDN/>
              <w:bidi w:val="0"/>
              <w:adjustRightInd w:val="0"/>
              <w:snapToGrid w:val="0"/>
              <w:spacing w:before="135" w:line="234"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6"/>
                <w:sz w:val="21"/>
                <w:szCs w:val="21"/>
                <w:highlight w:val="none"/>
                <w:lang w:val="en-US" w:eastAsia="zh-CN"/>
              </w:rPr>
              <w:t>50</w:t>
            </w:r>
          </w:p>
        </w:tc>
      </w:tr>
      <w:tr w14:paraId="7E53997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3094" w:type="dxa"/>
            <w:gridSpan w:val="2"/>
            <w:tcBorders>
              <w:tl2br w:val="nil"/>
              <w:tr2bl w:val="nil"/>
            </w:tcBorders>
            <w:vAlign w:val="top"/>
          </w:tcPr>
          <w:p w14:paraId="09148FA2">
            <w:pPr>
              <w:pStyle w:val="35"/>
              <w:keepNext w:val="0"/>
              <w:keepLines w:val="0"/>
              <w:pageBreakBefore w:val="0"/>
              <w:kinsoku/>
              <w:wordWrap w:val="0"/>
              <w:overflowPunct/>
              <w:topLinePunct/>
              <w:autoSpaceDE/>
              <w:autoSpaceDN/>
              <w:bidi w:val="0"/>
              <w:adjustRightInd w:val="0"/>
              <w:snapToGrid w:val="0"/>
              <w:spacing w:before="115" w:line="222" w:lineRule="auto"/>
              <w:ind w:left="134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总计</w:t>
            </w:r>
          </w:p>
        </w:tc>
        <w:tc>
          <w:tcPr>
            <w:tcW w:w="2505" w:type="dxa"/>
            <w:tcBorders>
              <w:tl2br w:val="nil"/>
              <w:tr2bl w:val="nil"/>
            </w:tcBorders>
            <w:vAlign w:val="top"/>
          </w:tcPr>
          <w:p w14:paraId="54435C9B">
            <w:pPr>
              <w:keepNext w:val="0"/>
              <w:keepLines w:val="0"/>
              <w:pageBreakBefore w:val="0"/>
              <w:tabs>
                <w:tab w:val="center" w:pos="1250"/>
              </w:tabs>
              <w:kinsoku/>
              <w:wordWrap w:val="0"/>
              <w:overflowPunct/>
              <w:topLinePunct/>
              <w:autoSpaceDE/>
              <w:autoSpaceDN/>
              <w:bidi w:val="0"/>
              <w:adjustRightInd w:val="0"/>
              <w:snapToGrid w:val="0"/>
              <w:spacing w:before="143" w:line="233"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297.91</w:t>
            </w:r>
          </w:p>
        </w:tc>
        <w:tc>
          <w:tcPr>
            <w:tcW w:w="2779" w:type="dxa"/>
            <w:tcBorders>
              <w:tl2br w:val="nil"/>
              <w:tr2bl w:val="nil"/>
            </w:tcBorders>
            <w:vAlign w:val="top"/>
          </w:tcPr>
          <w:p w14:paraId="4811CC27">
            <w:pPr>
              <w:keepNext w:val="0"/>
              <w:keepLines w:val="0"/>
              <w:pageBreakBefore w:val="0"/>
              <w:kinsoku/>
              <w:wordWrap w:val="0"/>
              <w:overflowPunct/>
              <w:topLinePunct/>
              <w:autoSpaceDE/>
              <w:autoSpaceDN/>
              <w:bidi w:val="0"/>
              <w:adjustRightInd w:val="0"/>
              <w:snapToGrid w:val="0"/>
              <w:spacing w:before="143" w:line="233"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4"/>
                <w:sz w:val="21"/>
                <w:szCs w:val="21"/>
                <w:highlight w:val="none"/>
                <w:lang w:val="en-US" w:eastAsia="zh-CN"/>
              </w:rPr>
              <w:t>108734</w:t>
            </w:r>
          </w:p>
        </w:tc>
      </w:tr>
    </w:tbl>
    <w:p w14:paraId="31135402">
      <w:pPr>
        <w:keepNext w:val="0"/>
        <w:keepLines w:val="0"/>
        <w:pageBreakBefore w:val="0"/>
        <w:widowControl/>
        <w:kinsoku/>
        <w:wordWrap w:val="0"/>
        <w:overflowPunct/>
        <w:topLinePunct/>
        <w:autoSpaceDE/>
        <w:autoSpaceDN/>
        <w:bidi w:val="0"/>
        <w:adjustRightInd w:val="0"/>
        <w:snapToGrid w:val="0"/>
        <w:spacing w:before="34" w:line="360" w:lineRule="auto"/>
        <w:ind w:left="604"/>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4"/>
          <w:sz w:val="24"/>
          <w:szCs w:val="24"/>
          <w:highlight w:val="none"/>
        </w:rPr>
        <w:t>2</w:t>
      </w:r>
      <w:r>
        <w:rPr>
          <w:rFonts w:hint="default" w:ascii="Times New Roman" w:hAnsi="Times New Roman" w:eastAsia="宋体" w:cs="Times New Roman"/>
          <w:color w:val="auto"/>
          <w:spacing w:val="-4"/>
          <w:sz w:val="24"/>
          <w:szCs w:val="24"/>
          <w:highlight w:val="none"/>
        </w:rPr>
        <w:t>、排水</w:t>
      </w:r>
    </w:p>
    <w:p w14:paraId="44344685">
      <w:pPr>
        <w:pStyle w:val="46"/>
        <w:keepNext w:val="0"/>
        <w:keepLines w:val="0"/>
        <w:pageBreakBefore w:val="0"/>
        <w:widowControl w:val="0"/>
        <w:kinsoku/>
        <w:wordWrap/>
        <w:overflowPunct/>
        <w:topLinePunct w:val="0"/>
        <w:autoSpaceDE/>
        <w:autoSpaceDN/>
        <w:bidi w:val="0"/>
        <w:snapToGrid/>
        <w:spacing w:line="360" w:lineRule="auto"/>
        <w:ind w:firstLine="480"/>
        <w:textAlignment w:val="auto"/>
        <w:rPr>
          <w:rFonts w:hint="eastAsia" w:ascii="Times New Roman" w:hAnsi="Times New Roman" w:eastAsia="宋体" w:cs="Times New Roman"/>
          <w:color w:val="FF0000"/>
          <w:highlight w:val="green"/>
          <w:lang w:val="en-US" w:eastAsia="zh-CN"/>
        </w:rPr>
      </w:pPr>
      <w:r>
        <w:rPr>
          <w:rFonts w:hint="default" w:ascii="Times New Roman" w:hAnsi="Times New Roman" w:eastAsia="宋体" w:cs="Times New Roman"/>
          <w:color w:val="auto"/>
          <w:spacing w:val="-1"/>
          <w:sz w:val="24"/>
          <w:szCs w:val="24"/>
          <w:highlight w:val="green"/>
        </w:rPr>
        <w:t>（</w:t>
      </w:r>
      <w:r>
        <w:rPr>
          <w:rFonts w:hint="default" w:ascii="Times New Roman" w:hAnsi="Times New Roman" w:eastAsia="Times New Roman" w:cs="Times New Roman"/>
          <w:color w:val="FF0000"/>
          <w:spacing w:val="-1"/>
          <w:sz w:val="24"/>
          <w:szCs w:val="24"/>
          <w:highlight w:val="green"/>
        </w:rPr>
        <w:t>1</w:t>
      </w:r>
      <w:r>
        <w:rPr>
          <w:rFonts w:hint="default" w:ascii="Times New Roman" w:hAnsi="Times New Roman" w:eastAsia="宋体" w:cs="Times New Roman"/>
          <w:color w:val="FF0000"/>
          <w:spacing w:val="-1"/>
          <w:sz w:val="24"/>
          <w:szCs w:val="24"/>
          <w:highlight w:val="green"/>
        </w:rPr>
        <w:t>）雨水：</w:t>
      </w:r>
      <w:bookmarkStart w:id="110" w:name="bookmark61"/>
      <w:bookmarkEnd w:id="110"/>
      <w:r>
        <w:rPr>
          <w:rFonts w:hint="default" w:ascii="Times New Roman" w:hAnsi="Times New Roman" w:eastAsia="宋体" w:cs="Times New Roman"/>
          <w:color w:val="FF0000"/>
          <w:spacing w:val="-1"/>
          <w:sz w:val="24"/>
          <w:szCs w:val="24"/>
          <w:highlight w:val="green"/>
          <w:lang w:eastAsia="zh-CN"/>
        </w:rPr>
        <w:t>本项目</w:t>
      </w:r>
      <w:r>
        <w:rPr>
          <w:rFonts w:hint="default" w:ascii="Times New Roman" w:hAnsi="Times New Roman" w:eastAsia="宋体" w:cs="Times New Roman"/>
          <w:color w:val="FF0000"/>
          <w:spacing w:val="-1"/>
          <w:sz w:val="24"/>
          <w:szCs w:val="24"/>
          <w:highlight w:val="green"/>
        </w:rPr>
        <w:t>采取雨污分流方式</w:t>
      </w:r>
      <w:r>
        <w:rPr>
          <w:rFonts w:hint="default" w:ascii="Times New Roman" w:hAnsi="Times New Roman" w:eastAsia="宋体" w:cs="Times New Roman"/>
          <w:color w:val="FF0000"/>
          <w:spacing w:val="-1"/>
          <w:sz w:val="24"/>
          <w:szCs w:val="24"/>
          <w:highlight w:val="green"/>
          <w:lang w:eastAsia="zh-CN"/>
        </w:rPr>
        <w:t>。</w:t>
      </w:r>
      <w:r>
        <w:rPr>
          <w:rFonts w:hint="default" w:ascii="Times New Roman" w:hAnsi="Times New Roman" w:eastAsia="宋体" w:cs="Times New Roman"/>
          <w:color w:val="FF0000"/>
          <w:spacing w:val="-1"/>
          <w:sz w:val="24"/>
          <w:szCs w:val="24"/>
          <w:highlight w:val="green"/>
        </w:rPr>
        <w:t>初期雨水经四周</w:t>
      </w:r>
      <w:r>
        <w:rPr>
          <w:rFonts w:hint="eastAsia" w:ascii="Times New Roman" w:hAnsi="Times New Roman" w:eastAsia="宋体" w:cs="Times New Roman"/>
          <w:color w:val="FF0000"/>
          <w:spacing w:val="-1"/>
          <w:sz w:val="24"/>
          <w:szCs w:val="24"/>
          <w:highlight w:val="green"/>
          <w:lang w:val="en-US" w:eastAsia="zh-CN"/>
        </w:rPr>
        <w:t>引流</w:t>
      </w:r>
      <w:r>
        <w:rPr>
          <w:rFonts w:hint="default" w:ascii="Times New Roman" w:hAnsi="Times New Roman" w:eastAsia="宋体" w:cs="Times New Roman"/>
          <w:color w:val="FF0000"/>
          <w:spacing w:val="-1"/>
          <w:sz w:val="24"/>
          <w:szCs w:val="24"/>
          <w:highlight w:val="green"/>
        </w:rPr>
        <w:t>沟汇入厂区一座</w:t>
      </w:r>
      <w:r>
        <w:rPr>
          <w:rFonts w:hint="default" w:ascii="Times New Roman" w:hAnsi="Times New Roman" w:eastAsia="宋体" w:cs="Times New Roman"/>
          <w:color w:val="FF0000"/>
          <w:spacing w:val="-1"/>
          <w:sz w:val="24"/>
          <w:szCs w:val="24"/>
          <w:highlight w:val="green"/>
          <w:lang w:val="en-US" w:eastAsia="zh-CN"/>
        </w:rPr>
        <w:t>500</w:t>
      </w:r>
      <w:r>
        <w:rPr>
          <w:rFonts w:hint="default" w:ascii="Times New Roman" w:hAnsi="Times New Roman" w:eastAsia="宋体" w:cs="Times New Roman"/>
          <w:color w:val="FF0000"/>
          <w:spacing w:val="-1"/>
          <w:sz w:val="24"/>
          <w:szCs w:val="24"/>
          <w:highlight w:val="green"/>
        </w:rPr>
        <w:t>m</w:t>
      </w:r>
      <w:r>
        <w:rPr>
          <w:rFonts w:hint="default" w:ascii="Times New Roman" w:hAnsi="Times New Roman" w:eastAsia="宋体" w:cs="Times New Roman"/>
          <w:color w:val="FF0000"/>
          <w:spacing w:val="-1"/>
          <w:sz w:val="24"/>
          <w:szCs w:val="24"/>
          <w:highlight w:val="green"/>
          <w:vertAlign w:val="superscript"/>
        </w:rPr>
        <w:t>3</w:t>
      </w:r>
      <w:r>
        <w:rPr>
          <w:rFonts w:hint="default" w:ascii="Times New Roman" w:hAnsi="Times New Roman" w:eastAsia="宋体" w:cs="Times New Roman"/>
          <w:color w:val="FF0000"/>
          <w:spacing w:val="-1"/>
          <w:sz w:val="24"/>
          <w:szCs w:val="24"/>
          <w:highlight w:val="green"/>
        </w:rPr>
        <w:t>初期雨水收集池内，</w:t>
      </w:r>
      <w:r>
        <w:rPr>
          <w:rFonts w:hint="eastAsia" w:ascii="Times New Roman" w:hAnsi="Times New Roman" w:eastAsia="宋体" w:cs="Times New Roman"/>
          <w:color w:val="FF0000"/>
          <w:spacing w:val="-1"/>
          <w:sz w:val="24"/>
          <w:szCs w:val="24"/>
          <w:highlight w:val="green"/>
          <w:lang w:val="en-US" w:eastAsia="zh-CN"/>
        </w:rPr>
        <w:t>收集后拉运至</w:t>
      </w:r>
      <w:r>
        <w:rPr>
          <w:rFonts w:hint="default" w:ascii="Times New Roman" w:hAnsi="Times New Roman" w:eastAsia="宋体" w:cs="Times New Roman"/>
          <w:color w:val="FF0000"/>
          <w:spacing w:val="-1"/>
          <w:sz w:val="24"/>
          <w:szCs w:val="24"/>
          <w:highlight w:val="green"/>
        </w:rPr>
        <w:t>集贤县碧蓝新环境治理有限责任公司</w:t>
      </w:r>
      <w:r>
        <w:rPr>
          <w:rFonts w:hint="eastAsia" w:ascii="Times New Roman" w:hAnsi="Times New Roman" w:eastAsia="宋体" w:cs="Times New Roman"/>
          <w:color w:val="FF0000"/>
          <w:highlight w:val="green"/>
          <w:lang w:val="en-US" w:eastAsia="zh-CN"/>
        </w:rPr>
        <w:t>进行处理，运动场周围设置围堰，围堰高度40cm，运动场上面设置挡雨棚，牛舍与运动场四周设置雨水导流沟，收集的雨水排入雨水管网；</w:t>
      </w:r>
    </w:p>
    <w:p w14:paraId="30620C71">
      <w:pPr>
        <w:pStyle w:val="46"/>
        <w:keepNext w:val="0"/>
        <w:keepLines w:val="0"/>
        <w:pageBreakBefore w:val="0"/>
        <w:widowControl w:val="0"/>
        <w:kinsoku/>
        <w:wordWrap/>
        <w:overflowPunct/>
        <w:topLinePunct w:val="0"/>
        <w:autoSpaceDE/>
        <w:autoSpaceDN/>
        <w:bidi w:val="0"/>
        <w:snapToGrid/>
        <w:spacing w:line="360" w:lineRule="auto"/>
        <w:ind w:firstLine="48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初期雨水：初期雨水的估算方法，以暴雨量的前15min雨量作为初期雨水量。本评价采用暴雨强度及雨水流量计算公式进行估算，计算公式如下：</w:t>
      </w:r>
    </w:p>
    <w:p w14:paraId="675F5AE8">
      <w:pPr>
        <w:pStyle w:val="46"/>
        <w:keepNext w:val="0"/>
        <w:keepLines w:val="0"/>
        <w:pageBreakBefore w:val="0"/>
        <w:widowControl w:val="0"/>
        <w:kinsoku/>
        <w:wordWrap/>
        <w:overflowPunct/>
        <w:topLinePunct w:val="0"/>
        <w:autoSpaceDE/>
        <w:autoSpaceDN/>
        <w:bidi w:val="0"/>
        <w:snapToGrid/>
        <w:spacing w:line="360" w:lineRule="auto"/>
        <w:ind w:firstLine="480"/>
        <w:jc w:val="center"/>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V=q×ψ×F</w:t>
      </w:r>
    </w:p>
    <w:p w14:paraId="6B2782A7">
      <w:pPr>
        <w:pStyle w:val="46"/>
        <w:keepNext w:val="0"/>
        <w:keepLines w:val="0"/>
        <w:pageBreakBefore w:val="0"/>
        <w:widowControl/>
        <w:kinsoku/>
        <w:wordWrap/>
        <w:overflowPunct/>
        <w:topLinePunct w:val="0"/>
        <w:autoSpaceDE/>
        <w:autoSpaceDN/>
        <w:bidi w:val="0"/>
        <w:adjustRightInd w:val="0"/>
        <w:snapToGrid/>
        <w:spacing w:before="0" w:after="0" w:line="360" w:lineRule="auto"/>
        <w:ind w:right="0" w:firstLine="48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式中：</w:t>
      </w:r>
    </w:p>
    <w:p w14:paraId="799CFC85">
      <w:pPr>
        <w:pStyle w:val="46"/>
        <w:keepNext w:val="0"/>
        <w:keepLines w:val="0"/>
        <w:pageBreakBefore w:val="0"/>
        <w:widowControl/>
        <w:kinsoku/>
        <w:wordWrap/>
        <w:overflowPunct/>
        <w:topLinePunct w:val="0"/>
        <w:autoSpaceDE/>
        <w:autoSpaceDN/>
        <w:bidi w:val="0"/>
        <w:adjustRightInd w:val="0"/>
        <w:snapToGrid/>
        <w:spacing w:before="0" w:after="0" w:line="360" w:lineRule="auto"/>
        <w:ind w:right="0" w:firstLine="48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t——降雨历时，min，参照《化工建设项目环境保护设计规范》（GB50483-2009）中2.0.11规定：“初期雨水，指刚下的雨水，一次降雨过程的前10～20分钟的降水量”，本项目按15分钟计算；</w:t>
      </w:r>
    </w:p>
    <w:p w14:paraId="2671FB92">
      <w:pPr>
        <w:pStyle w:val="46"/>
        <w:keepNext w:val="0"/>
        <w:keepLines w:val="0"/>
        <w:pageBreakBefore w:val="0"/>
        <w:widowControl/>
        <w:kinsoku/>
        <w:wordWrap/>
        <w:overflowPunct/>
        <w:topLinePunct w:val="0"/>
        <w:autoSpaceDE/>
        <w:autoSpaceDN/>
        <w:bidi w:val="0"/>
        <w:adjustRightInd w:val="0"/>
        <w:snapToGrid/>
        <w:spacing w:before="0" w:after="0" w:line="360" w:lineRule="auto"/>
        <w:ind w:right="0" w:firstLine="480"/>
        <w:textAlignment w:val="auto"/>
        <w:rPr>
          <w:rFonts w:hint="default" w:ascii="Times New Roman" w:hAnsi="Times New Roman" w:eastAsia="仿宋"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F——汇水面积，hm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，本项目</w:t>
      </w:r>
      <w:r>
        <w:rPr>
          <w:rFonts w:hint="default" w:ascii="Times New Roman" w:hAnsi="Times New Roman" w:eastAsia="宋体" w:cs="Times New Roman"/>
          <w:color w:val="auto"/>
          <w:sz w:val="24"/>
          <w:szCs w:val="24"/>
          <w:highlight w:val="none"/>
          <w:lang w:val="en-US" w:eastAsia="zh-CN"/>
        </w:rPr>
        <w:t>厂区汇水</w:t>
      </w:r>
      <w:r>
        <w:rPr>
          <w:rFonts w:hint="default" w:ascii="Times New Roman" w:hAnsi="Times New Roman" w:eastAsia="宋体" w:cs="Times New Roman"/>
          <w:color w:val="auto"/>
          <w:sz w:val="24"/>
          <w:szCs w:val="24"/>
          <w:highlight w:val="none"/>
        </w:rPr>
        <w:t>面积为</w:t>
      </w:r>
      <w:r>
        <w:rPr>
          <w:rFonts w:hint="default" w:ascii="Times New Roman" w:hAnsi="Times New Roman" w:eastAsia="宋体" w:cs="Times New Roman"/>
          <w:color w:val="auto"/>
          <w:sz w:val="24"/>
          <w:szCs w:val="24"/>
          <w:highlight w:val="none"/>
          <w:lang w:val="en-US" w:eastAsia="zh-CN"/>
        </w:rPr>
        <w:t>2.16</w:t>
      </w:r>
      <w:r>
        <w:rPr>
          <w:rFonts w:hint="default" w:ascii="Times New Roman" w:hAnsi="Times New Roman" w:eastAsia="宋体" w:cs="Times New Roman"/>
          <w:color w:val="auto"/>
          <w:sz w:val="24"/>
          <w:szCs w:val="24"/>
          <w:highlight w:val="none"/>
        </w:rPr>
        <w:t>hm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生活区、运动场</w:t>
      </w:r>
      <w:r>
        <w:rPr>
          <w:rFonts w:hint="default" w:ascii="Times New Roman" w:hAnsi="Times New Roman" w:eastAsia="宋体" w:cs="Times New Roman"/>
          <w:color w:val="auto"/>
          <w:sz w:val="24"/>
          <w:szCs w:val="24"/>
          <w:highlight w:val="none"/>
          <w:lang w:eastAsia="zh-CN"/>
        </w:rPr>
        <w:t>）</w:t>
      </w:r>
    </w:p>
    <w:p w14:paraId="613886D4">
      <w:pPr>
        <w:pStyle w:val="46"/>
        <w:keepNext w:val="0"/>
        <w:keepLines w:val="0"/>
        <w:pageBreakBefore w:val="0"/>
        <w:widowControl/>
        <w:kinsoku/>
        <w:wordWrap/>
        <w:overflowPunct/>
        <w:topLinePunct w:val="0"/>
        <w:autoSpaceDE/>
        <w:autoSpaceDN/>
        <w:bidi w:val="0"/>
        <w:adjustRightInd w:val="0"/>
        <w:snapToGrid/>
        <w:spacing w:before="0" w:after="0" w:line="360" w:lineRule="auto"/>
        <w:ind w:right="0" w:firstLine="48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ψ——径流系数，取0.9；</w:t>
      </w:r>
    </w:p>
    <w:p w14:paraId="3AE88ED5">
      <w:pPr>
        <w:pStyle w:val="46"/>
        <w:keepNext w:val="0"/>
        <w:keepLines w:val="0"/>
        <w:pageBreakBefore w:val="0"/>
        <w:widowControl/>
        <w:kinsoku/>
        <w:wordWrap/>
        <w:overflowPunct/>
        <w:topLinePunct w:val="0"/>
        <w:autoSpaceDE/>
        <w:autoSpaceDN/>
        <w:bidi w:val="0"/>
        <w:adjustRightInd w:val="0"/>
        <w:snapToGrid/>
        <w:spacing w:before="0" w:after="0" w:line="360" w:lineRule="auto"/>
        <w:ind w:right="0" w:firstLine="48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q——设计暴雨强度，L/(s·hm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w:t>
      </w:r>
    </w:p>
    <w:p w14:paraId="6189B108">
      <w:pPr>
        <w:pStyle w:val="46"/>
        <w:keepNext w:val="0"/>
        <w:keepLines w:val="0"/>
        <w:pageBreakBefore w:val="0"/>
        <w:widowControl/>
        <w:kinsoku/>
        <w:wordWrap/>
        <w:overflowPunct/>
        <w:topLinePunct w:val="0"/>
        <w:autoSpaceDE/>
        <w:autoSpaceDN/>
        <w:bidi w:val="0"/>
        <w:adjustRightInd w:val="0"/>
        <w:snapToGrid/>
        <w:spacing w:before="0" w:after="0" w:line="360" w:lineRule="auto"/>
        <w:ind w:right="0" w:firstLine="48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当地暴雨强度</w:t>
      </w:r>
      <w:r>
        <w:rPr>
          <w:rFonts w:hint="default" w:ascii="Times New Roman" w:hAnsi="Times New Roman" w:eastAsia="宋体" w:cs="Times New Roman"/>
          <w:color w:val="auto"/>
          <w:sz w:val="24"/>
          <w:szCs w:val="24"/>
          <w:highlight w:val="none"/>
          <w:lang w:eastAsia="zh-CN"/>
        </w:rPr>
        <w:t>（参照佳木斯市）</w:t>
      </w:r>
      <w:r>
        <w:rPr>
          <w:rFonts w:hint="default" w:ascii="Times New Roman" w:hAnsi="Times New Roman" w:eastAsia="宋体" w:cs="Times New Roman"/>
          <w:color w:val="auto"/>
          <w:sz w:val="24"/>
          <w:szCs w:val="24"/>
          <w:highlight w:val="none"/>
        </w:rPr>
        <w:t>：q＝</w:t>
      </w:r>
      <w:r>
        <w:rPr>
          <w:rFonts w:hint="default" w:ascii="Times New Roman" w:hAnsi="Times New Roman" w:eastAsia="宋体" w:cs="Times New Roman"/>
          <w:color w:val="auto"/>
          <w:sz w:val="24"/>
          <w:szCs w:val="24"/>
          <w:highlight w:val="none"/>
          <w:lang w:val="en-US" w:eastAsia="zh-CN"/>
        </w:rPr>
        <w:t>3139.6</w:t>
      </w:r>
      <w:r>
        <w:rPr>
          <w:rFonts w:hint="default" w:ascii="Times New Roman" w:hAnsi="Times New Roman" w:eastAsia="宋体" w:cs="Times New Roman"/>
          <w:color w:val="auto"/>
          <w:sz w:val="24"/>
          <w:szCs w:val="24"/>
          <w:highlight w:val="none"/>
        </w:rPr>
        <w:t>（1+0.9</w:t>
      </w:r>
      <w:r>
        <w:rPr>
          <w:rFonts w:hint="default" w:ascii="Times New Roman" w:hAnsi="Times New Roman" w:eastAsia="宋体" w:cs="Times New Roman"/>
          <w:color w:val="auto"/>
          <w:sz w:val="24"/>
          <w:szCs w:val="24"/>
          <w:highlight w:val="none"/>
          <w:lang w:val="en-US" w:eastAsia="zh-CN"/>
        </w:rPr>
        <w:t>8</w:t>
      </w:r>
      <w:r>
        <w:rPr>
          <w:rFonts w:hint="default" w:ascii="Times New Roman" w:hAnsi="Times New Roman" w:eastAsia="宋体" w:cs="Times New Roman"/>
          <w:color w:val="auto"/>
          <w:sz w:val="24"/>
          <w:szCs w:val="24"/>
          <w:highlight w:val="none"/>
        </w:rPr>
        <w:t>·lgP）/（t+10）</w:t>
      </w:r>
      <w:r>
        <w:rPr>
          <w:rFonts w:hint="default" w:ascii="Times New Roman" w:hAnsi="Times New Roman" w:eastAsia="宋体" w:cs="Times New Roman"/>
          <w:color w:val="auto"/>
          <w:sz w:val="24"/>
          <w:szCs w:val="24"/>
          <w:highlight w:val="none"/>
          <w:vertAlign w:val="superscript"/>
        </w:rPr>
        <w:t>0.</w:t>
      </w:r>
      <w:r>
        <w:rPr>
          <w:rFonts w:hint="default" w:ascii="Times New Roman" w:hAnsi="Times New Roman" w:eastAsia="宋体" w:cs="Times New Roman"/>
          <w:color w:val="auto"/>
          <w:sz w:val="24"/>
          <w:szCs w:val="24"/>
          <w:highlight w:val="none"/>
          <w:vertAlign w:val="superscript"/>
          <w:lang w:val="en-US" w:eastAsia="zh-CN"/>
        </w:rPr>
        <w:t>94</w:t>
      </w:r>
      <w:r>
        <w:rPr>
          <w:rFonts w:hint="default" w:ascii="Times New Roman" w:hAnsi="Times New Roman" w:eastAsia="宋体" w:cs="Times New Roman"/>
          <w:color w:val="auto"/>
          <w:sz w:val="24"/>
          <w:szCs w:val="24"/>
          <w:highlight w:val="none"/>
        </w:rPr>
        <w:t>，</w:t>
      </w:r>
    </w:p>
    <w:p w14:paraId="14B84A06">
      <w:pPr>
        <w:pStyle w:val="46"/>
        <w:keepNext w:val="0"/>
        <w:keepLines w:val="0"/>
        <w:pageBreakBefore w:val="0"/>
        <w:widowControl/>
        <w:kinsoku/>
        <w:wordWrap/>
        <w:overflowPunct/>
        <w:topLinePunct w:val="0"/>
        <w:autoSpaceDE/>
        <w:autoSpaceDN/>
        <w:bidi w:val="0"/>
        <w:adjustRightInd w:val="0"/>
        <w:snapToGrid/>
        <w:spacing w:before="0" w:after="0" w:line="360" w:lineRule="auto"/>
        <w:ind w:right="0" w:firstLine="48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其中P为设计重现期，取2a，t为降雨历时，取15min，计算可得q值为</w:t>
      </w:r>
      <w:r>
        <w:rPr>
          <w:rFonts w:hint="default" w:ascii="Times New Roman" w:hAnsi="Times New Roman" w:eastAsia="宋体" w:cs="Times New Roman"/>
          <w:color w:val="auto"/>
          <w:sz w:val="24"/>
          <w:szCs w:val="24"/>
          <w:highlight w:val="none"/>
          <w:lang w:val="en-US" w:eastAsia="zh-CN"/>
        </w:rPr>
        <w:t>318.88</w:t>
      </w:r>
      <w:r>
        <w:rPr>
          <w:rFonts w:hint="default" w:ascii="Times New Roman" w:hAnsi="Times New Roman" w:eastAsia="宋体" w:cs="Times New Roman"/>
          <w:color w:val="auto"/>
          <w:sz w:val="24"/>
          <w:szCs w:val="24"/>
          <w:highlight w:val="none"/>
        </w:rPr>
        <w:t>L/(s·hm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)，雨水流量为</w:t>
      </w:r>
      <w:r>
        <w:rPr>
          <w:rFonts w:hint="default" w:ascii="Times New Roman" w:hAnsi="Times New Roman" w:eastAsia="宋体" w:cs="Times New Roman"/>
          <w:color w:val="auto"/>
          <w:sz w:val="24"/>
          <w:szCs w:val="24"/>
          <w:highlight w:val="none"/>
          <w:lang w:val="en-US" w:eastAsia="zh-CN"/>
        </w:rPr>
        <w:t>619.89</w:t>
      </w:r>
      <w:r>
        <w:rPr>
          <w:rFonts w:hint="default" w:ascii="Times New Roman" w:hAnsi="Times New Roman" w:eastAsia="宋体" w:cs="Times New Roman"/>
          <w:color w:val="auto"/>
          <w:sz w:val="24"/>
          <w:szCs w:val="24"/>
          <w:highlight w:val="none"/>
        </w:rPr>
        <w:t>L/s。</w:t>
      </w:r>
    </w:p>
    <w:p w14:paraId="5A9E9C6C">
      <w:pPr>
        <w:pStyle w:val="46"/>
        <w:keepNext w:val="0"/>
        <w:keepLines w:val="0"/>
        <w:pageBreakBefore w:val="0"/>
        <w:widowControl/>
        <w:kinsoku/>
        <w:wordWrap/>
        <w:overflowPunct/>
        <w:topLinePunct w:val="0"/>
        <w:autoSpaceDE/>
        <w:autoSpaceDN/>
        <w:bidi w:val="0"/>
        <w:adjustRightInd w:val="0"/>
        <w:snapToGrid/>
        <w:spacing w:before="0" w:after="0" w:line="360" w:lineRule="auto"/>
        <w:ind w:right="0" w:firstLine="48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green"/>
        </w:rPr>
        <w:t>经以上公式计算得出厂区场地15min内收集的初期雨水量为</w:t>
      </w:r>
      <w:r>
        <w:rPr>
          <w:rFonts w:hint="default" w:ascii="Times New Roman" w:hAnsi="Times New Roman" w:eastAsia="宋体" w:cs="Times New Roman"/>
          <w:color w:val="auto"/>
          <w:sz w:val="24"/>
          <w:szCs w:val="24"/>
          <w:highlight w:val="green"/>
          <w:lang w:val="en-US" w:eastAsia="zh-CN"/>
        </w:rPr>
        <w:t>371.9</w:t>
      </w:r>
      <w:r>
        <w:rPr>
          <w:rFonts w:hint="default" w:ascii="Times New Roman" w:hAnsi="Times New Roman" w:eastAsia="宋体" w:cs="Times New Roman"/>
          <w:color w:val="auto"/>
          <w:sz w:val="24"/>
          <w:szCs w:val="24"/>
          <w:highlight w:val="green"/>
        </w:rPr>
        <w:t>m</w:t>
      </w:r>
      <w:r>
        <w:rPr>
          <w:rFonts w:hint="default" w:ascii="Times New Roman" w:hAnsi="Times New Roman" w:eastAsia="宋体" w:cs="Times New Roman"/>
          <w:color w:val="auto"/>
          <w:sz w:val="24"/>
          <w:szCs w:val="24"/>
          <w:highlight w:val="green"/>
          <w:vertAlign w:val="superscript"/>
        </w:rPr>
        <w:t>3</w:t>
      </w:r>
      <w:r>
        <w:rPr>
          <w:rFonts w:hint="default" w:ascii="Times New Roman" w:hAnsi="Times New Roman" w:eastAsia="宋体" w:cs="Times New Roman"/>
          <w:color w:val="auto"/>
          <w:sz w:val="24"/>
          <w:szCs w:val="24"/>
          <w:highlight w:val="green"/>
        </w:rPr>
        <w:t>。则初期雨水经四周</w:t>
      </w:r>
      <w:r>
        <w:rPr>
          <w:rFonts w:hint="eastAsia" w:ascii="Times New Roman" w:hAnsi="Times New Roman" w:eastAsia="宋体" w:cs="Times New Roman"/>
          <w:color w:val="auto"/>
          <w:sz w:val="24"/>
          <w:szCs w:val="24"/>
          <w:highlight w:val="green"/>
          <w:lang w:val="en-US" w:eastAsia="zh-CN"/>
        </w:rPr>
        <w:t>引流</w:t>
      </w:r>
      <w:r>
        <w:rPr>
          <w:rFonts w:hint="default" w:ascii="Times New Roman" w:hAnsi="Times New Roman" w:eastAsia="宋体" w:cs="Times New Roman"/>
          <w:color w:val="auto"/>
          <w:sz w:val="24"/>
          <w:szCs w:val="24"/>
          <w:highlight w:val="green"/>
        </w:rPr>
        <w:t>沟汇入厂区一座</w:t>
      </w:r>
      <w:r>
        <w:rPr>
          <w:rFonts w:hint="default" w:ascii="Times New Roman" w:hAnsi="Times New Roman" w:eastAsia="宋体" w:cs="Times New Roman"/>
          <w:color w:val="auto"/>
          <w:sz w:val="24"/>
          <w:szCs w:val="24"/>
          <w:highlight w:val="green"/>
          <w:lang w:val="en-US" w:eastAsia="zh-CN"/>
        </w:rPr>
        <w:t>500</w:t>
      </w:r>
      <w:r>
        <w:rPr>
          <w:rFonts w:hint="default" w:ascii="Times New Roman" w:hAnsi="Times New Roman" w:eastAsia="宋体" w:cs="Times New Roman"/>
          <w:color w:val="auto"/>
          <w:sz w:val="24"/>
          <w:szCs w:val="24"/>
          <w:highlight w:val="green"/>
        </w:rPr>
        <w:t>m</w:t>
      </w:r>
      <w:r>
        <w:rPr>
          <w:rFonts w:hint="default" w:ascii="Times New Roman" w:hAnsi="Times New Roman" w:eastAsia="宋体" w:cs="Times New Roman"/>
          <w:color w:val="auto"/>
          <w:sz w:val="24"/>
          <w:szCs w:val="24"/>
          <w:highlight w:val="green"/>
          <w:vertAlign w:val="superscript"/>
        </w:rPr>
        <w:t>3</w:t>
      </w:r>
      <w:r>
        <w:rPr>
          <w:rFonts w:hint="default" w:ascii="Times New Roman" w:hAnsi="Times New Roman" w:eastAsia="宋体" w:cs="Times New Roman"/>
          <w:color w:val="auto"/>
          <w:sz w:val="24"/>
          <w:szCs w:val="24"/>
          <w:highlight w:val="green"/>
          <w:lang w:val="en-US" w:eastAsia="zh-CN"/>
        </w:rPr>
        <w:t>初期雨水收集池</w:t>
      </w:r>
      <w:r>
        <w:rPr>
          <w:rFonts w:hint="default" w:ascii="Times New Roman" w:hAnsi="Times New Roman" w:eastAsia="宋体" w:cs="Times New Roman"/>
          <w:color w:val="auto"/>
          <w:sz w:val="24"/>
          <w:szCs w:val="24"/>
          <w:highlight w:val="green"/>
        </w:rPr>
        <w:t>内，</w:t>
      </w:r>
      <w:r>
        <w:rPr>
          <w:rFonts w:hint="eastAsia" w:ascii="Times New Roman" w:hAnsi="Times New Roman" w:eastAsia="宋体" w:cs="Times New Roman"/>
          <w:color w:val="auto"/>
          <w:sz w:val="24"/>
          <w:szCs w:val="24"/>
          <w:highlight w:val="green"/>
          <w:lang w:val="en-US" w:eastAsia="zh-CN"/>
        </w:rPr>
        <w:t>收集后拉运至集贤县碧蓝新环境治理有限责任公司进行处理</w:t>
      </w:r>
      <w:r>
        <w:rPr>
          <w:rFonts w:hint="default" w:ascii="Times New Roman" w:hAnsi="Times New Roman" w:eastAsia="宋体" w:cs="Times New Roman"/>
          <w:color w:val="auto"/>
          <w:sz w:val="24"/>
          <w:szCs w:val="24"/>
          <w:highlight w:val="green"/>
        </w:rPr>
        <w:t>。</w:t>
      </w:r>
    </w:p>
    <w:p w14:paraId="139A0DB6">
      <w:pPr>
        <w:keepNext w:val="0"/>
        <w:keepLines w:val="0"/>
        <w:pageBreakBefore w:val="0"/>
        <w:widowControl/>
        <w:kinsoku/>
        <w:wordWrap w:val="0"/>
        <w:overflowPunct/>
        <w:topLinePunct/>
        <w:autoSpaceDE/>
        <w:autoSpaceDN/>
        <w:bidi w:val="0"/>
        <w:adjustRightInd w:val="0"/>
        <w:snapToGrid w:val="0"/>
        <w:spacing w:line="360" w:lineRule="auto"/>
        <w:ind w:left="0" w:right="0" w:firstLine="420" w:firstLineChars="20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4587875" cy="4441190"/>
            <wp:effectExtent l="0" t="0" r="3175" b="1651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5"/>
                    <a:stretch>
                      <a:fillRect/>
                    </a:stretch>
                  </pic:blipFill>
                  <pic:spPr>
                    <a:xfrm>
                      <a:off x="0" y="0"/>
                      <a:ext cx="4587875" cy="4441190"/>
                    </a:xfrm>
                    <a:prstGeom prst="rect">
                      <a:avLst/>
                    </a:prstGeom>
                    <a:noFill/>
                    <a:ln>
                      <a:noFill/>
                    </a:ln>
                  </pic:spPr>
                </pic:pic>
              </a:graphicData>
            </a:graphic>
          </wp:inline>
        </w:drawing>
      </w:r>
    </w:p>
    <w:p w14:paraId="297F000F">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lang w:val="en-US" w:eastAsia="zh-CN"/>
        </w:rPr>
        <w:t>图3-1-1 初期雨水计算图</w:t>
      </w:r>
    </w:p>
    <w:p w14:paraId="2998EBF7">
      <w:pPr>
        <w:pStyle w:val="11"/>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hint="default" w:ascii="Times New Roman" w:hAnsi="Times New Roman"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注：由于暴雨强度及雨水流量计算软件中选择城市暂无双鸭山市，故本次参考距离双鸭山市最近的城市佳木斯市暴雨强度系数值来计算本次雨水流量。</w:t>
      </w:r>
    </w:p>
    <w:p w14:paraId="61D07EFA">
      <w:pPr>
        <w:pStyle w:val="18"/>
        <w:keepNext w:val="0"/>
        <w:keepLines w:val="0"/>
        <w:pageBreakBefore w:val="0"/>
        <w:widowControl w:val="0"/>
        <w:kinsoku/>
        <w:wordWrap/>
        <w:overflowPunct/>
        <w:topLinePunct w:val="0"/>
        <w:autoSpaceDE/>
        <w:autoSpaceDN/>
        <w:bidi w:val="0"/>
        <w:adjustRightInd/>
        <w:snapToGrid/>
        <w:spacing w:line="360" w:lineRule="auto"/>
        <w:ind w:firstLine="472" w:firstLineChars="200"/>
        <w:textAlignment w:val="auto"/>
        <w:rPr>
          <w:rFonts w:hint="default" w:ascii="Times New Roman" w:hAnsi="Times New Roman" w:eastAsia="宋体" w:cs="Times New Roman"/>
          <w:color w:val="auto"/>
          <w:spacing w:val="-2"/>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2</w:t>
      </w:r>
      <w:r>
        <w:rPr>
          <w:rFonts w:hint="default" w:ascii="Times New Roman" w:hAnsi="Times New Roman" w:eastAsia="宋体" w:cs="Times New Roman"/>
          <w:color w:val="auto"/>
          <w:spacing w:val="-2"/>
          <w:sz w:val="24"/>
          <w:szCs w:val="24"/>
          <w:highlight w:val="none"/>
        </w:rPr>
        <w:t>）牛尿液：本项目达产后肉牛年存栏量为</w:t>
      </w:r>
      <w:r>
        <w:rPr>
          <w:rFonts w:hint="default" w:ascii="Times New Roman" w:hAnsi="Times New Roman" w:eastAsia="宋体" w:cs="Times New Roman"/>
          <w:color w:val="auto"/>
          <w:spacing w:val="-2"/>
          <w:sz w:val="24"/>
          <w:szCs w:val="24"/>
          <w:highlight w:val="none"/>
          <w:lang w:val="en-US" w:eastAsia="zh-CN"/>
        </w:rPr>
        <w:t>5</w:t>
      </w:r>
      <w:r>
        <w:rPr>
          <w:rFonts w:hint="default" w:ascii="Times New Roman" w:hAnsi="Times New Roman" w:eastAsia="Times New Roman" w:cs="Times New Roman"/>
          <w:color w:val="auto"/>
          <w:spacing w:val="-2"/>
          <w:sz w:val="24"/>
          <w:szCs w:val="24"/>
          <w:highlight w:val="none"/>
        </w:rPr>
        <w:t>000</w:t>
      </w:r>
      <w:r>
        <w:rPr>
          <w:rFonts w:hint="default" w:ascii="Times New Roman" w:hAnsi="Times New Roman" w:eastAsia="宋体" w:cs="Times New Roman"/>
          <w:color w:val="auto"/>
          <w:spacing w:val="-2"/>
          <w:sz w:val="24"/>
          <w:szCs w:val="24"/>
          <w:highlight w:val="none"/>
        </w:rPr>
        <w:t>头</w:t>
      </w:r>
      <w:r>
        <w:rPr>
          <w:rFonts w:hint="default" w:ascii="Times New Roman" w:hAnsi="Times New Roman" w:eastAsia="宋体" w:cs="Times New Roman"/>
          <w:color w:val="FF0000"/>
          <w:spacing w:val="-1"/>
          <w:sz w:val="24"/>
          <w:szCs w:val="24"/>
          <w:highlight w:val="none"/>
        </w:rPr>
        <w:t>根据《畜禽养殖业产污系数与排污系数手册》</w:t>
      </w:r>
      <w:r>
        <w:rPr>
          <w:rFonts w:hint="default" w:ascii="Times New Roman" w:hAnsi="Times New Roman" w:eastAsia="宋体" w:cs="Times New Roman"/>
          <w:color w:val="FF0000"/>
          <w:spacing w:val="-1"/>
          <w:sz w:val="24"/>
          <w:szCs w:val="24"/>
          <w:highlight w:val="none"/>
          <w:lang w:eastAsia="zh-CN"/>
        </w:rPr>
        <w:t>（</w:t>
      </w:r>
      <w:r>
        <w:rPr>
          <w:rFonts w:hint="default" w:ascii="Times New Roman" w:hAnsi="Times New Roman" w:eastAsia="宋体" w:cs="Times New Roman"/>
          <w:color w:val="FF0000"/>
          <w:spacing w:val="-1"/>
          <w:sz w:val="24"/>
          <w:szCs w:val="24"/>
          <w:highlight w:val="none"/>
          <w:lang w:val="en-US" w:eastAsia="zh-CN"/>
        </w:rPr>
        <w:t>HJ497-2009</w:t>
      </w:r>
      <w:r>
        <w:rPr>
          <w:rFonts w:hint="default" w:ascii="Times New Roman" w:hAnsi="Times New Roman" w:eastAsia="宋体" w:cs="Times New Roman"/>
          <w:color w:val="FF0000"/>
          <w:spacing w:val="-1"/>
          <w:sz w:val="24"/>
          <w:szCs w:val="24"/>
          <w:highlight w:val="none"/>
          <w:lang w:eastAsia="zh-CN"/>
        </w:rPr>
        <w:t>）</w:t>
      </w:r>
      <w:r>
        <w:rPr>
          <w:rFonts w:hint="default" w:ascii="Times New Roman" w:hAnsi="Times New Roman" w:eastAsia="宋体" w:cs="Times New Roman"/>
          <w:color w:val="FF0000"/>
          <w:spacing w:val="-1"/>
          <w:sz w:val="24"/>
          <w:szCs w:val="24"/>
          <w:highlight w:val="none"/>
          <w:lang w:val="en-US" w:eastAsia="zh-CN"/>
        </w:rPr>
        <w:t>表 A.2</w:t>
      </w:r>
      <w:r>
        <w:rPr>
          <w:rFonts w:hint="default" w:ascii="Times New Roman" w:hAnsi="Times New Roman" w:eastAsia="宋体" w:cs="Times New Roman"/>
          <w:color w:val="auto"/>
          <w:spacing w:val="-2"/>
          <w:sz w:val="24"/>
          <w:szCs w:val="24"/>
          <w:highlight w:val="none"/>
          <w:lang w:val="en-US" w:eastAsia="zh-CN"/>
        </w:rPr>
        <w:t>，肉牛尿液产生量为 10kg/（头·d），日产生牛尿 50m</w:t>
      </w:r>
      <w:r>
        <w:rPr>
          <w:rFonts w:hint="default" w:ascii="Times New Roman" w:hAnsi="Times New Roman" w:eastAsia="宋体" w:cs="Times New Roman"/>
          <w:color w:val="auto"/>
          <w:spacing w:val="-2"/>
          <w:sz w:val="24"/>
          <w:szCs w:val="24"/>
          <w:highlight w:val="none"/>
          <w:vertAlign w:val="superscript"/>
          <w:lang w:val="en-US" w:eastAsia="zh-CN"/>
        </w:rPr>
        <w:t>3</w:t>
      </w:r>
      <w:r>
        <w:rPr>
          <w:rFonts w:hint="default" w:ascii="Times New Roman" w:hAnsi="Times New Roman" w:eastAsia="宋体" w:cs="Times New Roman"/>
          <w:color w:val="auto"/>
          <w:spacing w:val="-2"/>
          <w:sz w:val="24"/>
          <w:szCs w:val="24"/>
          <w:highlight w:val="none"/>
          <w:lang w:val="en-US" w:eastAsia="zh-CN"/>
        </w:rPr>
        <w:t xml:space="preserve"> /d（18250m³/a）。</w:t>
      </w:r>
      <w:r>
        <w:rPr>
          <w:rFonts w:hint="default" w:ascii="Times New Roman" w:hAnsi="Times New Roman" w:eastAsia="宋体" w:cs="Times New Roman"/>
          <w:color w:val="auto"/>
          <w:sz w:val="24"/>
          <w:szCs w:val="24"/>
          <w:highlight w:val="none"/>
        </w:rPr>
        <w:t>牛舍均采用干撒式发酵床工艺，牛舍产生的牛尿一部分供微生物繁殖使用，一部分被升温转换为气体排出发酵床，不外排</w:t>
      </w:r>
      <w:r>
        <w:rPr>
          <w:rFonts w:hint="default" w:ascii="Times New Roman" w:hAnsi="Times New Roman" w:eastAsia="宋体" w:cs="Times New Roman"/>
          <w:color w:val="auto"/>
          <w:sz w:val="24"/>
          <w:szCs w:val="24"/>
          <w:highlight w:val="none"/>
          <w:lang w:eastAsia="zh-CN"/>
        </w:rPr>
        <w:t>。</w:t>
      </w:r>
    </w:p>
    <w:p w14:paraId="024B4E33">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）青贮</w:t>
      </w:r>
      <w:r>
        <w:rPr>
          <w:rFonts w:hint="default" w:ascii="Times New Roman" w:hAnsi="Times New Roman" w:eastAsia="宋体" w:cs="Times New Roman"/>
          <w:color w:val="auto"/>
          <w:spacing w:val="-2"/>
          <w:sz w:val="24"/>
          <w:szCs w:val="24"/>
          <w:highlight w:val="none"/>
          <w:lang w:val="en-US" w:eastAsia="zh-CN"/>
        </w:rPr>
        <w:t>窖</w:t>
      </w:r>
      <w:r>
        <w:rPr>
          <w:rFonts w:hint="default" w:ascii="Times New Roman" w:hAnsi="Times New Roman" w:eastAsia="宋体" w:cs="Times New Roman"/>
          <w:color w:val="auto"/>
          <w:spacing w:val="-2"/>
          <w:sz w:val="24"/>
          <w:szCs w:val="24"/>
          <w:highlight w:val="none"/>
        </w:rPr>
        <w:t>渗滤液</w:t>
      </w:r>
    </w:p>
    <w:p w14:paraId="4ED48BDF">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FF0000"/>
          <w:spacing w:val="-11"/>
          <w:sz w:val="24"/>
          <w:szCs w:val="24"/>
          <w:highlight w:val="none"/>
        </w:rPr>
      </w:pPr>
      <w:r>
        <w:rPr>
          <w:rFonts w:hint="default" w:ascii="Times New Roman" w:hAnsi="Times New Roman" w:eastAsia="宋体" w:cs="Times New Roman"/>
          <w:color w:val="FF0000"/>
          <w:spacing w:val="-4"/>
          <w:sz w:val="24"/>
          <w:szCs w:val="24"/>
          <w:highlight w:val="none"/>
        </w:rPr>
        <w:t>在玉米秸秆青贮过程中将会有青贮渗滤液产生，根据《全株玉米青贮渗出液资源</w:t>
      </w:r>
      <w:r>
        <w:rPr>
          <w:rFonts w:hint="default" w:ascii="Times New Roman" w:hAnsi="Times New Roman" w:eastAsia="宋体" w:cs="Times New Roman"/>
          <w:color w:val="FF0000"/>
          <w:spacing w:val="-6"/>
          <w:sz w:val="24"/>
          <w:szCs w:val="24"/>
          <w:highlight w:val="none"/>
        </w:rPr>
        <w:t>的开发利用》（陕西农业科学，</w:t>
      </w:r>
      <w:r>
        <w:rPr>
          <w:rFonts w:hint="default" w:ascii="Times New Roman" w:hAnsi="Times New Roman" w:eastAsia="Times New Roman" w:cs="Times New Roman"/>
          <w:color w:val="FF0000"/>
          <w:spacing w:val="-6"/>
          <w:sz w:val="24"/>
          <w:szCs w:val="24"/>
          <w:highlight w:val="none"/>
        </w:rPr>
        <w:t>2010</w:t>
      </w:r>
      <w:r>
        <w:rPr>
          <w:rFonts w:hint="default" w:ascii="Times New Roman" w:hAnsi="Times New Roman" w:eastAsia="宋体" w:cs="Times New Roman"/>
          <w:color w:val="FF0000"/>
          <w:spacing w:val="-6"/>
          <w:sz w:val="24"/>
          <w:szCs w:val="24"/>
          <w:highlight w:val="none"/>
        </w:rPr>
        <w:t>（</w:t>
      </w:r>
      <w:r>
        <w:rPr>
          <w:rFonts w:hint="default" w:ascii="Times New Roman" w:hAnsi="Times New Roman" w:eastAsia="Times New Roman" w:cs="Times New Roman"/>
          <w:color w:val="FF0000"/>
          <w:spacing w:val="-6"/>
          <w:sz w:val="24"/>
          <w:szCs w:val="24"/>
          <w:highlight w:val="none"/>
        </w:rPr>
        <w:t>2</w:t>
      </w:r>
      <w:r>
        <w:rPr>
          <w:rFonts w:hint="default" w:ascii="Times New Roman" w:hAnsi="Times New Roman" w:eastAsia="宋体" w:cs="Times New Roman"/>
          <w:color w:val="FF0000"/>
          <w:spacing w:val="-37"/>
          <w:sz w:val="24"/>
          <w:szCs w:val="24"/>
          <w:highlight w:val="none"/>
        </w:rPr>
        <w:t>），</w:t>
      </w:r>
      <w:r>
        <w:rPr>
          <w:rFonts w:hint="default" w:ascii="Times New Roman" w:hAnsi="Times New Roman" w:eastAsia="宋体" w:cs="Times New Roman"/>
          <w:color w:val="FF0000"/>
          <w:spacing w:val="-6"/>
          <w:sz w:val="24"/>
          <w:szCs w:val="24"/>
          <w:highlight w:val="none"/>
        </w:rPr>
        <w:t>第</w:t>
      </w:r>
      <w:r>
        <w:rPr>
          <w:rFonts w:hint="default" w:ascii="Times New Roman" w:hAnsi="Times New Roman" w:eastAsia="Times New Roman" w:cs="Times New Roman"/>
          <w:color w:val="FF0000"/>
          <w:spacing w:val="-6"/>
          <w:sz w:val="24"/>
          <w:szCs w:val="24"/>
          <w:highlight w:val="none"/>
        </w:rPr>
        <w:t>98</w:t>
      </w:r>
      <w:r>
        <w:rPr>
          <w:rFonts w:hint="default" w:ascii="Times New Roman" w:hAnsi="Times New Roman" w:eastAsia="宋体" w:cs="Times New Roman"/>
          <w:color w:val="FF0000"/>
          <w:spacing w:val="-6"/>
          <w:sz w:val="24"/>
          <w:szCs w:val="24"/>
          <w:highlight w:val="none"/>
        </w:rPr>
        <w:t>页</w:t>
      </w:r>
      <w:r>
        <w:rPr>
          <w:rFonts w:hint="default" w:ascii="Times New Roman" w:hAnsi="Times New Roman" w:eastAsia="宋体" w:cs="Times New Roman"/>
          <w:color w:val="FF0000"/>
          <w:spacing w:val="-37"/>
          <w:sz w:val="24"/>
          <w:szCs w:val="24"/>
          <w:highlight w:val="none"/>
        </w:rPr>
        <w:t>），</w:t>
      </w:r>
      <w:r>
        <w:rPr>
          <w:rFonts w:hint="default" w:ascii="Times New Roman" w:hAnsi="Times New Roman" w:eastAsia="宋体" w:cs="Times New Roman"/>
          <w:color w:val="FF0000"/>
          <w:spacing w:val="-6"/>
          <w:sz w:val="24"/>
          <w:szCs w:val="24"/>
          <w:highlight w:val="none"/>
        </w:rPr>
        <w:t>青贮渗滤液产</w:t>
      </w:r>
      <w:r>
        <w:rPr>
          <w:rFonts w:hint="default" w:ascii="Times New Roman" w:hAnsi="Times New Roman" w:eastAsia="宋体" w:cs="Times New Roman"/>
          <w:color w:val="FF0000"/>
          <w:spacing w:val="-7"/>
          <w:sz w:val="24"/>
          <w:szCs w:val="24"/>
          <w:highlight w:val="none"/>
        </w:rPr>
        <w:t>生量约为</w:t>
      </w:r>
      <w:r>
        <w:rPr>
          <w:rFonts w:hint="default" w:ascii="Times New Roman" w:hAnsi="Times New Roman" w:eastAsia="Times New Roman" w:cs="Times New Roman"/>
          <w:color w:val="FF0000"/>
          <w:spacing w:val="-7"/>
          <w:sz w:val="24"/>
          <w:szCs w:val="24"/>
          <w:highlight w:val="none"/>
        </w:rPr>
        <w:t>172L/t</w:t>
      </w:r>
      <w:r>
        <w:rPr>
          <w:rFonts w:hint="default" w:ascii="Times New Roman" w:hAnsi="Times New Roman" w:eastAsia="宋体" w:cs="Times New Roman"/>
          <w:color w:val="FF0000"/>
          <w:spacing w:val="-1"/>
          <w:sz w:val="24"/>
          <w:szCs w:val="24"/>
          <w:highlight w:val="none"/>
        </w:rPr>
        <w:t>青贮料。本项目玉米秸秆青贮量为</w:t>
      </w:r>
      <w:r>
        <w:rPr>
          <w:rFonts w:hint="default" w:ascii="Times New Roman" w:hAnsi="Times New Roman" w:eastAsia="宋体" w:cs="Times New Roman"/>
          <w:color w:val="FF0000"/>
          <w:spacing w:val="-1"/>
          <w:sz w:val="24"/>
          <w:szCs w:val="24"/>
          <w:highlight w:val="none"/>
          <w:lang w:val="en-US" w:eastAsia="zh-CN"/>
        </w:rPr>
        <w:t>10000</w:t>
      </w:r>
      <w:r>
        <w:rPr>
          <w:rFonts w:hint="default" w:ascii="Times New Roman" w:hAnsi="Times New Roman" w:eastAsia="Times New Roman" w:cs="Times New Roman"/>
          <w:color w:val="FF0000"/>
          <w:spacing w:val="-2"/>
          <w:sz w:val="24"/>
          <w:szCs w:val="24"/>
          <w:highlight w:val="none"/>
        </w:rPr>
        <w:t>t/a</w:t>
      </w:r>
      <w:r>
        <w:rPr>
          <w:rFonts w:hint="default" w:ascii="Times New Roman" w:hAnsi="Times New Roman" w:eastAsia="宋体" w:cs="Times New Roman"/>
          <w:color w:val="FF0000"/>
          <w:spacing w:val="-2"/>
          <w:sz w:val="24"/>
          <w:szCs w:val="24"/>
          <w:highlight w:val="none"/>
        </w:rPr>
        <w:t>，青贮时间约为</w:t>
      </w:r>
      <w:r>
        <w:rPr>
          <w:rFonts w:hint="default" w:ascii="Times New Roman" w:hAnsi="Times New Roman" w:eastAsia="Times New Roman" w:cs="Times New Roman"/>
          <w:color w:val="FF0000"/>
          <w:spacing w:val="-2"/>
          <w:sz w:val="24"/>
          <w:szCs w:val="24"/>
          <w:highlight w:val="none"/>
        </w:rPr>
        <w:t>60d</w:t>
      </w:r>
      <w:r>
        <w:rPr>
          <w:rFonts w:hint="default" w:ascii="Times New Roman" w:hAnsi="Times New Roman" w:eastAsia="宋体" w:cs="Times New Roman"/>
          <w:color w:val="FF0000"/>
          <w:spacing w:val="-2"/>
          <w:sz w:val="24"/>
          <w:szCs w:val="24"/>
          <w:highlight w:val="none"/>
        </w:rPr>
        <w:t>，则</w:t>
      </w:r>
      <w:r>
        <w:rPr>
          <w:rFonts w:hint="default" w:ascii="Times New Roman" w:hAnsi="Times New Roman" w:eastAsia="宋体" w:cs="Times New Roman"/>
          <w:color w:val="FF0000"/>
          <w:spacing w:val="-2"/>
          <w:sz w:val="24"/>
          <w:szCs w:val="24"/>
          <w:highlight w:val="none"/>
          <w:lang w:eastAsia="zh-CN"/>
        </w:rPr>
        <w:t>青贮窖</w:t>
      </w:r>
      <w:r>
        <w:rPr>
          <w:rFonts w:hint="default" w:ascii="Times New Roman" w:hAnsi="Times New Roman" w:eastAsia="宋体" w:cs="Times New Roman"/>
          <w:color w:val="FF0000"/>
          <w:spacing w:val="-2"/>
          <w:sz w:val="24"/>
          <w:szCs w:val="24"/>
          <w:highlight w:val="none"/>
        </w:rPr>
        <w:t>渗滤液</w:t>
      </w:r>
      <w:r>
        <w:rPr>
          <w:rFonts w:hint="default" w:ascii="Times New Roman" w:hAnsi="Times New Roman" w:eastAsia="宋体" w:cs="Times New Roman"/>
          <w:color w:val="FF0000"/>
          <w:spacing w:val="-3"/>
          <w:sz w:val="24"/>
          <w:szCs w:val="24"/>
          <w:highlight w:val="none"/>
        </w:rPr>
        <w:t>产生量为</w:t>
      </w:r>
      <w:r>
        <w:rPr>
          <w:rFonts w:hint="default" w:ascii="Times New Roman" w:hAnsi="Times New Roman" w:eastAsia="宋体" w:cs="Times New Roman"/>
          <w:color w:val="FF0000"/>
          <w:spacing w:val="-3"/>
          <w:sz w:val="24"/>
          <w:szCs w:val="24"/>
          <w:highlight w:val="none"/>
          <w:lang w:val="en-US" w:eastAsia="zh-CN"/>
        </w:rPr>
        <w:t>1720</w:t>
      </w:r>
      <w:r>
        <w:rPr>
          <w:rFonts w:hint="default" w:ascii="Times New Roman" w:hAnsi="Times New Roman" w:eastAsia="Times New Roman" w:cs="Times New Roman"/>
          <w:color w:val="FF0000"/>
          <w:spacing w:val="-3"/>
          <w:sz w:val="24"/>
          <w:szCs w:val="24"/>
          <w:highlight w:val="none"/>
        </w:rPr>
        <w:t>m</w:t>
      </w:r>
      <w:r>
        <w:rPr>
          <w:rFonts w:hint="default" w:ascii="Times New Roman" w:hAnsi="Times New Roman" w:eastAsia="Times New Roman" w:cs="Times New Roman"/>
          <w:color w:val="FF0000"/>
          <w:spacing w:val="-3"/>
          <w:position w:val="10"/>
          <w:sz w:val="16"/>
          <w:szCs w:val="16"/>
          <w:highlight w:val="none"/>
        </w:rPr>
        <w:t>3</w:t>
      </w:r>
      <w:r>
        <w:rPr>
          <w:rFonts w:hint="default" w:ascii="Times New Roman" w:hAnsi="Times New Roman" w:eastAsia="Times New Roman" w:cs="Times New Roman"/>
          <w:color w:val="FF0000"/>
          <w:spacing w:val="-3"/>
          <w:sz w:val="24"/>
          <w:szCs w:val="24"/>
          <w:highlight w:val="none"/>
        </w:rPr>
        <w:t>/a</w:t>
      </w:r>
      <w:r>
        <w:rPr>
          <w:rFonts w:hint="default" w:ascii="Times New Roman" w:hAnsi="Times New Roman" w:eastAsia="宋体" w:cs="Times New Roman"/>
          <w:color w:val="FF0000"/>
          <w:spacing w:val="-3"/>
          <w:sz w:val="24"/>
          <w:szCs w:val="24"/>
          <w:highlight w:val="none"/>
        </w:rPr>
        <w:t>，</w:t>
      </w:r>
      <w:r>
        <w:rPr>
          <w:rFonts w:hint="default" w:ascii="Times New Roman" w:hAnsi="Times New Roman" w:eastAsia="宋体" w:cs="Times New Roman"/>
          <w:color w:val="FF0000"/>
          <w:spacing w:val="-3"/>
          <w:sz w:val="24"/>
          <w:szCs w:val="24"/>
          <w:highlight w:val="none"/>
          <w:lang w:val="en-US" w:eastAsia="zh-CN"/>
        </w:rPr>
        <w:t>28.67</w:t>
      </w:r>
      <w:r>
        <w:rPr>
          <w:rFonts w:hint="default" w:ascii="Times New Roman" w:hAnsi="Times New Roman" w:eastAsia="Times New Roman" w:cs="Times New Roman"/>
          <w:color w:val="FF0000"/>
          <w:spacing w:val="-3"/>
          <w:sz w:val="24"/>
          <w:szCs w:val="24"/>
          <w:highlight w:val="none"/>
        </w:rPr>
        <w:t>m</w:t>
      </w:r>
      <w:r>
        <w:rPr>
          <w:rFonts w:hint="default" w:ascii="Times New Roman" w:hAnsi="Times New Roman" w:eastAsia="Times New Roman" w:cs="Times New Roman"/>
          <w:color w:val="FF0000"/>
          <w:spacing w:val="-3"/>
          <w:position w:val="10"/>
          <w:sz w:val="16"/>
          <w:szCs w:val="16"/>
          <w:highlight w:val="none"/>
        </w:rPr>
        <w:t>3</w:t>
      </w:r>
      <w:r>
        <w:rPr>
          <w:rFonts w:hint="default" w:ascii="Times New Roman" w:hAnsi="Times New Roman" w:eastAsia="Times New Roman" w:cs="Times New Roman"/>
          <w:color w:val="FF0000"/>
          <w:spacing w:val="-3"/>
          <w:sz w:val="24"/>
          <w:szCs w:val="24"/>
          <w:highlight w:val="none"/>
        </w:rPr>
        <w:t>/d</w:t>
      </w:r>
      <w:r>
        <w:rPr>
          <w:rFonts w:hint="default" w:ascii="Times New Roman" w:hAnsi="Times New Roman" w:eastAsia="宋体" w:cs="Times New Roman"/>
          <w:color w:val="FF0000"/>
          <w:spacing w:val="-3"/>
          <w:sz w:val="24"/>
          <w:szCs w:val="24"/>
          <w:highlight w:val="none"/>
        </w:rPr>
        <w:t>。</w:t>
      </w:r>
      <w:r>
        <w:rPr>
          <w:rFonts w:hint="default" w:ascii="Times New Roman" w:hAnsi="Times New Roman" w:eastAsia="宋体" w:cs="Times New Roman"/>
          <w:color w:val="FF0000"/>
          <w:spacing w:val="-2"/>
          <w:sz w:val="24"/>
          <w:szCs w:val="24"/>
          <w:highlight w:val="none"/>
        </w:rPr>
        <w:t>本项目在</w:t>
      </w:r>
      <w:r>
        <w:rPr>
          <w:rFonts w:hint="default" w:ascii="Times New Roman" w:hAnsi="Times New Roman" w:eastAsia="宋体" w:cs="Times New Roman"/>
          <w:color w:val="FF0000"/>
          <w:spacing w:val="-2"/>
          <w:sz w:val="24"/>
          <w:szCs w:val="24"/>
          <w:highlight w:val="none"/>
          <w:lang w:eastAsia="zh-CN"/>
        </w:rPr>
        <w:t>青贮窖</w:t>
      </w:r>
      <w:r>
        <w:rPr>
          <w:rFonts w:hint="default" w:ascii="Times New Roman" w:hAnsi="Times New Roman" w:eastAsia="宋体" w:cs="Times New Roman"/>
          <w:color w:val="FF0000"/>
          <w:spacing w:val="-2"/>
          <w:sz w:val="24"/>
          <w:szCs w:val="24"/>
          <w:highlight w:val="none"/>
        </w:rPr>
        <w:t>底设置排</w:t>
      </w:r>
      <w:r>
        <w:rPr>
          <w:rFonts w:hint="default" w:ascii="Times New Roman" w:hAnsi="Times New Roman" w:eastAsia="宋体" w:cs="Times New Roman"/>
          <w:color w:val="FF0000"/>
          <w:spacing w:val="-4"/>
          <w:sz w:val="24"/>
          <w:szCs w:val="24"/>
          <w:highlight w:val="none"/>
        </w:rPr>
        <w:t>水管道，渗滤液排入青贮液</w:t>
      </w:r>
      <w:r>
        <w:rPr>
          <w:rFonts w:hint="default" w:ascii="Times New Roman" w:hAnsi="Times New Roman" w:eastAsia="宋体" w:cs="Times New Roman"/>
          <w:color w:val="FF0000"/>
          <w:spacing w:val="-4"/>
          <w:sz w:val="24"/>
          <w:szCs w:val="24"/>
          <w:highlight w:val="none"/>
          <w:lang w:val="en-US" w:eastAsia="zh-CN"/>
        </w:rPr>
        <w:t>接收</w:t>
      </w:r>
      <w:r>
        <w:rPr>
          <w:rFonts w:hint="default" w:ascii="Times New Roman" w:hAnsi="Times New Roman" w:eastAsia="宋体" w:cs="Times New Roman"/>
          <w:color w:val="FF0000"/>
          <w:spacing w:val="-4"/>
          <w:sz w:val="24"/>
          <w:szCs w:val="24"/>
          <w:highlight w:val="none"/>
        </w:rPr>
        <w:t>池中。采取将</w:t>
      </w:r>
      <w:r>
        <w:rPr>
          <w:rFonts w:hint="default" w:ascii="Times New Roman" w:hAnsi="Times New Roman" w:eastAsia="宋体" w:cs="Times New Roman"/>
          <w:color w:val="FF0000"/>
          <w:spacing w:val="-4"/>
          <w:sz w:val="24"/>
          <w:szCs w:val="24"/>
          <w:highlight w:val="none"/>
          <w:lang w:eastAsia="zh-CN"/>
        </w:rPr>
        <w:t>青贮窖</w:t>
      </w:r>
      <w:r>
        <w:rPr>
          <w:rFonts w:hint="default" w:ascii="Times New Roman" w:hAnsi="Times New Roman" w:eastAsia="宋体" w:cs="Times New Roman"/>
          <w:color w:val="FF0000"/>
          <w:spacing w:val="-4"/>
          <w:sz w:val="24"/>
          <w:szCs w:val="24"/>
          <w:highlight w:val="none"/>
        </w:rPr>
        <w:t>渗滤液一部分与水按</w:t>
      </w:r>
      <w:r>
        <w:rPr>
          <w:rFonts w:hint="default" w:ascii="Times New Roman" w:hAnsi="Times New Roman" w:eastAsia="Times New Roman" w:cs="Times New Roman"/>
          <w:color w:val="FF0000"/>
          <w:spacing w:val="-4"/>
          <w:sz w:val="24"/>
          <w:szCs w:val="24"/>
          <w:highlight w:val="none"/>
        </w:rPr>
        <w:t>1:2</w:t>
      </w:r>
      <w:r>
        <w:rPr>
          <w:rFonts w:hint="default" w:ascii="Times New Roman" w:hAnsi="Times New Roman" w:eastAsia="宋体" w:cs="Times New Roman"/>
          <w:color w:val="FF0000"/>
          <w:spacing w:val="-4"/>
          <w:sz w:val="24"/>
          <w:szCs w:val="24"/>
          <w:highlight w:val="none"/>
        </w:rPr>
        <w:t>比例配</w:t>
      </w:r>
      <w:r>
        <w:rPr>
          <w:rFonts w:hint="default" w:ascii="Times New Roman" w:hAnsi="Times New Roman" w:eastAsia="宋体" w:cs="Times New Roman"/>
          <w:color w:val="FF0000"/>
          <w:spacing w:val="-2"/>
          <w:sz w:val="24"/>
          <w:szCs w:val="24"/>
          <w:highlight w:val="none"/>
        </w:rPr>
        <w:t>合代替水饮喂肉牛</w:t>
      </w:r>
      <w:r>
        <w:rPr>
          <w:rFonts w:hint="default" w:ascii="Times New Roman" w:hAnsi="Times New Roman" w:eastAsia="宋体" w:cs="Times New Roman"/>
          <w:color w:val="FF0000"/>
          <w:spacing w:val="-1"/>
          <w:sz w:val="24"/>
          <w:szCs w:val="24"/>
          <w:highlight w:val="none"/>
        </w:rPr>
        <w:t>；其余部分与</w:t>
      </w:r>
      <w:r>
        <w:rPr>
          <w:rFonts w:hint="default" w:ascii="Times New Roman" w:hAnsi="Times New Roman" w:eastAsia="宋体" w:cs="Times New Roman"/>
          <w:color w:val="FF0000"/>
          <w:spacing w:val="-2"/>
          <w:sz w:val="24"/>
          <w:szCs w:val="24"/>
          <w:highlight w:val="none"/>
        </w:rPr>
        <w:t>精料按比例配合饲喂肉牛，其味道酸甜，可促</w:t>
      </w:r>
      <w:r>
        <w:rPr>
          <w:rFonts w:hint="default" w:ascii="Times New Roman" w:hAnsi="Times New Roman" w:eastAsia="宋体" w:cs="Times New Roman"/>
          <w:color w:val="FF0000"/>
          <w:spacing w:val="-6"/>
          <w:sz w:val="24"/>
          <w:szCs w:val="24"/>
          <w:highlight w:val="none"/>
        </w:rPr>
        <w:t>进食欲，但须随配随用，以免发霉。冬季不进行玉</w:t>
      </w:r>
      <w:r>
        <w:rPr>
          <w:rFonts w:hint="default" w:ascii="Times New Roman" w:hAnsi="Times New Roman" w:eastAsia="宋体" w:cs="Times New Roman"/>
          <w:color w:val="FF0000"/>
          <w:spacing w:val="-7"/>
          <w:sz w:val="24"/>
          <w:szCs w:val="24"/>
          <w:highlight w:val="none"/>
        </w:rPr>
        <w:t>米秸秆青贮发酵生产，无渗滤液产</w:t>
      </w:r>
      <w:r>
        <w:rPr>
          <w:rFonts w:hint="default" w:ascii="Times New Roman" w:hAnsi="Times New Roman" w:eastAsia="宋体" w:cs="Times New Roman"/>
          <w:color w:val="FF0000"/>
          <w:spacing w:val="-11"/>
          <w:sz w:val="24"/>
          <w:szCs w:val="24"/>
          <w:highlight w:val="none"/>
        </w:rPr>
        <w:t>生。</w:t>
      </w:r>
    </w:p>
    <w:p w14:paraId="6ED9E4FC">
      <w:pPr>
        <w:pStyle w:val="11"/>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napToGrid w:val="0"/>
          <w:color w:val="auto"/>
          <w:kern w:val="0"/>
          <w:sz w:val="24"/>
          <w:szCs w:val="21"/>
          <w:highlight w:val="none"/>
          <w:lang w:val="en-US" w:eastAsia="zh-CN" w:bidi="ar-SA"/>
        </w:rPr>
      </w:pPr>
      <w:r>
        <w:rPr>
          <w:rFonts w:hint="default" w:ascii="Times New Roman" w:hAnsi="Times New Roman" w:eastAsia="宋体" w:cs="Times New Roman"/>
          <w:snapToGrid w:val="0"/>
          <w:color w:val="auto"/>
          <w:kern w:val="0"/>
          <w:sz w:val="24"/>
          <w:szCs w:val="21"/>
          <w:highlight w:val="none"/>
          <w:lang w:val="en-US" w:eastAsia="en-US" w:bidi="ar-SA"/>
        </w:rPr>
        <w:t>（</w:t>
      </w:r>
      <w:r>
        <w:rPr>
          <w:rFonts w:hint="default" w:ascii="Times New Roman" w:hAnsi="Times New Roman" w:eastAsia="宋体" w:cs="Times New Roman"/>
          <w:snapToGrid w:val="0"/>
          <w:color w:val="auto"/>
          <w:kern w:val="0"/>
          <w:sz w:val="24"/>
          <w:szCs w:val="21"/>
          <w:highlight w:val="none"/>
          <w:lang w:val="en-US" w:eastAsia="zh-CN" w:bidi="ar-SA"/>
        </w:rPr>
        <w:t>4</w:t>
      </w:r>
      <w:r>
        <w:rPr>
          <w:rFonts w:hint="default" w:ascii="Times New Roman" w:hAnsi="Times New Roman" w:eastAsia="宋体" w:cs="Times New Roman"/>
          <w:snapToGrid w:val="0"/>
          <w:color w:val="auto"/>
          <w:kern w:val="0"/>
          <w:sz w:val="24"/>
          <w:szCs w:val="21"/>
          <w:highlight w:val="none"/>
          <w:lang w:val="en-US" w:eastAsia="en-US" w:bidi="ar-SA"/>
        </w:rPr>
        <w:t>）</w:t>
      </w:r>
      <w:r>
        <w:rPr>
          <w:rFonts w:hint="default" w:ascii="Times New Roman" w:hAnsi="Times New Roman" w:eastAsia="宋体" w:cs="Times New Roman"/>
          <w:snapToGrid w:val="0"/>
          <w:color w:val="auto"/>
          <w:kern w:val="0"/>
          <w:sz w:val="24"/>
          <w:szCs w:val="21"/>
          <w:highlight w:val="none"/>
          <w:lang w:val="en-US" w:eastAsia="zh-CN" w:bidi="ar-SA"/>
        </w:rPr>
        <w:t>生活污水：生活用水量为1.6t/d（584t/a），产生量按用水量的80%计，则生活污水的产生量为1.28t/d（467.2t/a）。</w:t>
      </w:r>
    </w:p>
    <w:p w14:paraId="5B4B2864">
      <w:pPr>
        <w:pStyle w:val="32"/>
        <w:pageBreakBefore w:val="0"/>
        <w:widowControl/>
        <w:numPr>
          <w:ilvl w:val="0"/>
          <w:numId w:val="0"/>
        </w:numPr>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object>
          <v:shape id="_x0000_i1025" o:spt="75" type="#_x0000_t75" style="height:217.9pt;width:288.15pt;" o:ole="t" filled="f" o:preferrelative="t" stroked="f" coordsize="21600,21600">
            <v:path/>
            <v:fill on="f" focussize="0,0"/>
            <v:stroke on="f"/>
            <v:imagedata r:id="rId67" o:title=""/>
            <o:lock v:ext="edit" aspectratio="f"/>
            <w10:wrap type="none"/>
            <w10:anchorlock/>
          </v:shape>
          <o:OLEObject Type="Embed" ProgID="Visio.Drawing.11" ShapeID="_x0000_i1025" DrawAspect="Content" ObjectID="_1468075725" r:id="rId66">
            <o:LockedField>false</o:LockedField>
          </o:OLEObject>
        </w:object>
      </w:r>
    </w:p>
    <w:p w14:paraId="663419A7">
      <w:pPr>
        <w:keepNext w:val="0"/>
        <w:keepLines w:val="0"/>
        <w:pageBreakBefore w:val="0"/>
        <w:kinsoku/>
        <w:wordWrap w:val="0"/>
        <w:overflowPunct/>
        <w:topLinePunct/>
        <w:autoSpaceDE/>
        <w:autoSpaceDN/>
        <w:bidi w:val="0"/>
        <w:adjustRightInd w:val="0"/>
        <w:snapToGrid w:val="0"/>
        <w:spacing w:before="79" w:line="233" w:lineRule="auto"/>
        <w:ind w:left="3135"/>
        <w:textAlignment w:val="baseline"/>
        <w:rPr>
          <w:rFonts w:hint="default" w:ascii="Times New Roman" w:hAnsi="Times New Roman" w:eastAsia="宋体" w:cs="Times New Roman"/>
          <w:b/>
          <w:bCs/>
          <w:color w:val="FF0000"/>
          <w:sz w:val="24"/>
          <w:szCs w:val="24"/>
          <w:highlight w:val="none"/>
        </w:rPr>
      </w:pPr>
      <w:r>
        <w:rPr>
          <w:rFonts w:hint="default" w:ascii="Times New Roman" w:hAnsi="Times New Roman" w:eastAsia="宋体" w:cs="Times New Roman"/>
          <w:b/>
          <w:bCs/>
          <w:color w:val="FF0000"/>
          <w:spacing w:val="-3"/>
          <w:sz w:val="24"/>
          <w:szCs w:val="24"/>
          <w:highlight w:val="none"/>
        </w:rPr>
        <w:t>图</w:t>
      </w:r>
      <w:r>
        <w:rPr>
          <w:rFonts w:hint="default" w:ascii="Times New Roman" w:hAnsi="Times New Roman" w:eastAsia="Times New Roman" w:cs="Times New Roman"/>
          <w:b/>
          <w:bCs/>
          <w:color w:val="FF0000"/>
          <w:spacing w:val="-3"/>
          <w:sz w:val="24"/>
          <w:szCs w:val="24"/>
          <w:highlight w:val="none"/>
        </w:rPr>
        <w:t>3.1-</w:t>
      </w:r>
      <w:r>
        <w:rPr>
          <w:rFonts w:hint="default" w:ascii="Times New Roman" w:hAnsi="Times New Roman" w:eastAsia="宋体" w:cs="Times New Roman"/>
          <w:b/>
          <w:bCs/>
          <w:color w:val="FF0000"/>
          <w:spacing w:val="-3"/>
          <w:sz w:val="24"/>
          <w:szCs w:val="24"/>
          <w:highlight w:val="none"/>
          <w:lang w:val="en-US" w:eastAsia="zh-CN"/>
        </w:rPr>
        <w:t>2</w:t>
      </w:r>
      <w:r>
        <w:rPr>
          <w:rFonts w:hint="default" w:ascii="Times New Roman" w:hAnsi="Times New Roman" w:eastAsia="宋体" w:cs="Times New Roman"/>
          <w:b/>
          <w:bCs/>
          <w:color w:val="FF0000"/>
          <w:spacing w:val="-3"/>
          <w:sz w:val="24"/>
          <w:szCs w:val="24"/>
          <w:highlight w:val="none"/>
        </w:rPr>
        <w:t>水平衡图（</w:t>
      </w:r>
      <w:r>
        <w:rPr>
          <w:rFonts w:hint="default" w:ascii="Times New Roman" w:hAnsi="Times New Roman" w:eastAsia="Times New Roman" w:cs="Times New Roman"/>
          <w:b/>
          <w:bCs/>
          <w:color w:val="FF0000"/>
          <w:spacing w:val="-3"/>
          <w:sz w:val="24"/>
          <w:szCs w:val="24"/>
          <w:highlight w:val="none"/>
        </w:rPr>
        <w:t>t/d</w:t>
      </w:r>
      <w:r>
        <w:rPr>
          <w:rFonts w:hint="default" w:ascii="Times New Roman" w:hAnsi="Times New Roman" w:eastAsia="宋体" w:cs="Times New Roman"/>
          <w:b/>
          <w:bCs/>
          <w:color w:val="FF0000"/>
          <w:spacing w:val="-3"/>
          <w:sz w:val="24"/>
          <w:szCs w:val="24"/>
          <w:highlight w:val="none"/>
        </w:rPr>
        <w:t>）</w:t>
      </w:r>
    </w:p>
    <w:p w14:paraId="6C47A7D8">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3.1.</w:t>
      </w:r>
      <w:r>
        <w:rPr>
          <w:rFonts w:hint="default"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Times New Roman" w:cs="Times New Roman"/>
          <w:b/>
          <w:bCs/>
          <w:color w:val="auto"/>
          <w:spacing w:val="-1"/>
          <w:sz w:val="24"/>
          <w:szCs w:val="24"/>
          <w:highlight w:val="none"/>
        </w:rPr>
        <w:t>.2</w:t>
      </w:r>
      <w:r>
        <w:rPr>
          <w:rFonts w:hint="default" w:ascii="Times New Roman" w:hAnsi="Times New Roman" w:eastAsia="宋体" w:cs="Times New Roman"/>
          <w:b/>
          <w:bCs/>
          <w:color w:val="auto"/>
          <w:spacing w:val="-1"/>
          <w:sz w:val="24"/>
          <w:szCs w:val="24"/>
          <w:highlight w:val="none"/>
        </w:rPr>
        <w:t>供电</w:t>
      </w:r>
    </w:p>
    <w:p w14:paraId="4329BA59">
      <w:pPr>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本项目供电由项目所在地区域电网接入，利用场区供电系统供给各生产单元使用，可以满足项目用电需求。</w:t>
      </w:r>
    </w:p>
    <w:p w14:paraId="2BAD165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Times New Roman" w:cs="Times New Roman"/>
          <w:b/>
          <w:bCs/>
          <w:color w:val="auto"/>
          <w:spacing w:val="-1"/>
          <w:sz w:val="24"/>
          <w:szCs w:val="24"/>
          <w:highlight w:val="none"/>
        </w:rPr>
      </w:pPr>
      <w:r>
        <w:rPr>
          <w:rFonts w:hint="default" w:ascii="Times New Roman" w:hAnsi="Times New Roman" w:eastAsia="Times New Roman" w:cs="Times New Roman"/>
          <w:b/>
          <w:bCs/>
          <w:color w:val="auto"/>
          <w:spacing w:val="-1"/>
          <w:sz w:val="24"/>
          <w:szCs w:val="24"/>
          <w:highlight w:val="none"/>
        </w:rPr>
        <w:t>3.1.</w:t>
      </w:r>
      <w:r>
        <w:rPr>
          <w:rFonts w:hint="default"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Times New Roman" w:cs="Times New Roman"/>
          <w:b/>
          <w:bCs/>
          <w:color w:val="auto"/>
          <w:spacing w:val="-1"/>
          <w:sz w:val="24"/>
          <w:szCs w:val="24"/>
          <w:highlight w:val="none"/>
        </w:rPr>
        <w:t>.3供热</w:t>
      </w:r>
    </w:p>
    <w:p w14:paraId="6E47FFC3">
      <w:pPr>
        <w:keepNext w:val="0"/>
        <w:keepLines w:val="0"/>
        <w:pageBreakBefore w:val="0"/>
        <w:widowControl/>
        <w:kinsoku/>
        <w:wordWrap w:val="0"/>
        <w:overflowPunct/>
        <w:topLinePunct/>
        <w:autoSpaceDE/>
        <w:autoSpaceDN/>
        <w:bidi w:val="0"/>
        <w:adjustRightInd w:val="0"/>
        <w:snapToGrid w:val="0"/>
        <w:spacing w:line="360" w:lineRule="auto"/>
        <w:ind w:lef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办公区、兽医室采</w:t>
      </w:r>
      <w:r>
        <w:rPr>
          <w:rFonts w:hint="default" w:ascii="Times New Roman" w:hAnsi="Times New Roman" w:eastAsia="宋体" w:cs="Times New Roman"/>
          <w:color w:val="auto"/>
          <w:spacing w:val="-2"/>
          <w:sz w:val="24"/>
          <w:szCs w:val="24"/>
          <w:highlight w:val="none"/>
        </w:rPr>
        <w:t>用电采暖，牛舍不需要供暖。</w:t>
      </w:r>
    </w:p>
    <w:p w14:paraId="795647C5">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Times New Roman" w:cs="Times New Roman"/>
          <w:b/>
          <w:bCs/>
          <w:color w:val="auto"/>
          <w:spacing w:val="-1"/>
          <w:sz w:val="24"/>
          <w:szCs w:val="24"/>
          <w:highlight w:val="none"/>
        </w:rPr>
      </w:pPr>
      <w:r>
        <w:rPr>
          <w:rFonts w:hint="default" w:ascii="Times New Roman" w:hAnsi="Times New Roman" w:eastAsia="Times New Roman" w:cs="Times New Roman"/>
          <w:b/>
          <w:bCs/>
          <w:color w:val="auto"/>
          <w:spacing w:val="-1"/>
          <w:sz w:val="24"/>
          <w:szCs w:val="24"/>
          <w:highlight w:val="none"/>
        </w:rPr>
        <w:t>3.1.</w:t>
      </w:r>
      <w:r>
        <w:rPr>
          <w:rFonts w:hint="default"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Times New Roman" w:cs="Times New Roman"/>
          <w:b/>
          <w:bCs/>
          <w:color w:val="auto"/>
          <w:spacing w:val="-1"/>
          <w:sz w:val="24"/>
          <w:szCs w:val="24"/>
          <w:highlight w:val="none"/>
        </w:rPr>
        <w:t>.4消毒</w:t>
      </w:r>
    </w:p>
    <w:p w14:paraId="79ED4CF6">
      <w:pPr>
        <w:keepNext w:val="0"/>
        <w:keepLines w:val="0"/>
        <w:pageBreakBefore w:val="0"/>
        <w:widowControl/>
        <w:kinsoku/>
        <w:wordWrap w:val="0"/>
        <w:overflowPunct/>
        <w:topLinePunct/>
        <w:autoSpaceDE/>
        <w:autoSpaceDN/>
        <w:bidi w:val="0"/>
        <w:adjustRightInd w:val="0"/>
        <w:snapToGrid w:val="0"/>
        <w:spacing w:line="360" w:lineRule="auto"/>
        <w:ind w:left="0" w:firstLine="476"/>
        <w:jc w:val="both"/>
        <w:textAlignment w:val="baseline"/>
        <w:rPr>
          <w:rFonts w:hint="default" w:ascii="Times New Roman" w:hAnsi="Times New Roman" w:eastAsia="宋体" w:cs="Times New Roman"/>
          <w:color w:val="auto"/>
          <w:spacing w:val="-2"/>
          <w:sz w:val="24"/>
          <w:szCs w:val="24"/>
          <w:highlight w:val="none"/>
        </w:rPr>
      </w:pPr>
      <w:r>
        <w:rPr>
          <w:rFonts w:hint="default" w:ascii="Times New Roman" w:hAnsi="Times New Roman" w:eastAsia="宋体" w:cs="Times New Roman"/>
          <w:color w:val="auto"/>
          <w:spacing w:val="-2"/>
          <w:sz w:val="24"/>
          <w:szCs w:val="24"/>
          <w:highlight w:val="none"/>
        </w:rPr>
        <w:t>所有与外界接触进出口均设有消毒池（消毒剂</w:t>
      </w:r>
      <w:r>
        <w:rPr>
          <w:rFonts w:hint="default" w:ascii="Times New Roman" w:hAnsi="Times New Roman" w:eastAsia="宋体" w:cs="Times New Roman"/>
          <w:color w:val="auto"/>
          <w:spacing w:val="-3"/>
          <w:sz w:val="24"/>
          <w:szCs w:val="24"/>
          <w:highlight w:val="none"/>
        </w:rPr>
        <w:t>：过氧乙酸</w:t>
      </w:r>
      <w:r>
        <w:rPr>
          <w:rFonts w:hint="default" w:ascii="Times New Roman" w:hAnsi="Times New Roman" w:eastAsia="宋体" w:cs="Times New Roman"/>
          <w:color w:val="auto"/>
          <w:spacing w:val="-24"/>
          <w:sz w:val="24"/>
          <w:szCs w:val="24"/>
          <w:highlight w:val="none"/>
        </w:rPr>
        <w:t>），</w:t>
      </w:r>
      <w:r>
        <w:rPr>
          <w:rFonts w:hint="default" w:ascii="Times New Roman" w:hAnsi="Times New Roman" w:eastAsia="宋体" w:cs="Times New Roman"/>
          <w:color w:val="auto"/>
          <w:spacing w:val="-3"/>
          <w:sz w:val="24"/>
          <w:szCs w:val="24"/>
          <w:highlight w:val="none"/>
        </w:rPr>
        <w:t>运送饲料</w:t>
      </w:r>
      <w:r>
        <w:rPr>
          <w:rFonts w:hint="default" w:ascii="Times New Roman" w:hAnsi="Times New Roman" w:eastAsia="宋体" w:cs="Times New Roman"/>
          <w:color w:val="auto"/>
          <w:spacing w:val="-7"/>
          <w:sz w:val="24"/>
          <w:szCs w:val="24"/>
          <w:highlight w:val="none"/>
        </w:rPr>
        <w:t>的车辆消毒后进入</w:t>
      </w:r>
      <w:r>
        <w:rPr>
          <w:rFonts w:hint="default" w:ascii="Times New Roman" w:hAnsi="Times New Roman" w:eastAsia="宋体" w:cs="Times New Roman"/>
          <w:color w:val="auto"/>
          <w:spacing w:val="-8"/>
          <w:sz w:val="24"/>
          <w:szCs w:val="24"/>
          <w:highlight w:val="none"/>
        </w:rPr>
        <w:t>。人员进入要进入更衣室洗手、</w:t>
      </w:r>
      <w:r>
        <w:rPr>
          <w:rFonts w:hint="default" w:ascii="Times New Roman" w:hAnsi="Times New Roman" w:eastAsia="宋体" w:cs="Times New Roman"/>
          <w:color w:val="auto"/>
          <w:spacing w:val="-1"/>
          <w:sz w:val="24"/>
          <w:szCs w:val="24"/>
          <w:highlight w:val="none"/>
        </w:rPr>
        <w:t>更换外套、戴上防护帽及口罩并套上一次性鞋套。每周对养殖区进行一</w:t>
      </w:r>
      <w:r>
        <w:rPr>
          <w:rFonts w:hint="default" w:ascii="Times New Roman" w:hAnsi="Times New Roman" w:eastAsia="宋体" w:cs="Times New Roman"/>
          <w:color w:val="auto"/>
          <w:spacing w:val="-2"/>
          <w:sz w:val="24"/>
          <w:szCs w:val="24"/>
          <w:highlight w:val="none"/>
        </w:rPr>
        <w:t>次消毒。</w:t>
      </w:r>
    </w:p>
    <w:p w14:paraId="1E5EABC2">
      <w:pPr>
        <w:keepNext w:val="0"/>
        <w:keepLines w:val="0"/>
        <w:pageBreakBefore w:val="0"/>
        <w:widowControl/>
        <w:tabs>
          <w:tab w:val="left" w:pos="1837"/>
        </w:tabs>
        <w:kinsoku/>
        <w:wordWrap w:val="0"/>
        <w:overflowPunct/>
        <w:topLinePunct/>
        <w:autoSpaceDE/>
        <w:autoSpaceDN/>
        <w:bidi w:val="0"/>
        <w:adjustRightInd w:val="0"/>
        <w:snapToGrid w:val="0"/>
        <w:spacing w:line="360" w:lineRule="auto"/>
        <w:ind w:left="0"/>
        <w:textAlignment w:val="baseline"/>
        <w:rPr>
          <w:rFonts w:hint="default" w:ascii="Times New Roman" w:hAnsi="Times New Roman" w:eastAsia="宋体" w:cs="Times New Roman"/>
          <w:b/>
          <w:bCs/>
          <w:color w:val="auto"/>
          <w:spacing w:val="-2"/>
          <w:sz w:val="24"/>
          <w:szCs w:val="24"/>
          <w:highlight w:val="none"/>
          <w:lang w:eastAsia="zh-CN"/>
        </w:rPr>
      </w:pPr>
      <w:r>
        <w:rPr>
          <w:rFonts w:hint="default" w:ascii="Times New Roman" w:hAnsi="Times New Roman" w:eastAsia="Times New Roman" w:cs="Times New Roman"/>
          <w:b/>
          <w:bCs/>
          <w:color w:val="auto"/>
          <w:spacing w:val="-2"/>
          <w:sz w:val="24"/>
          <w:szCs w:val="24"/>
          <w:highlight w:val="none"/>
        </w:rPr>
        <w:t>3.1.</w:t>
      </w:r>
      <w:r>
        <w:rPr>
          <w:rFonts w:hint="default" w:ascii="Times New Roman" w:hAnsi="Times New Roman" w:eastAsia="宋体" w:cs="Times New Roman"/>
          <w:b/>
          <w:bCs/>
          <w:color w:val="auto"/>
          <w:spacing w:val="-2"/>
          <w:sz w:val="24"/>
          <w:szCs w:val="24"/>
          <w:highlight w:val="none"/>
          <w:lang w:val="en-US" w:eastAsia="zh-CN"/>
        </w:rPr>
        <w:t>6</w:t>
      </w:r>
      <w:r>
        <w:rPr>
          <w:rFonts w:hint="default" w:ascii="Times New Roman" w:hAnsi="Times New Roman" w:eastAsia="Times New Roman" w:cs="Times New Roman"/>
          <w:b/>
          <w:bCs/>
          <w:color w:val="auto"/>
          <w:spacing w:val="-2"/>
          <w:sz w:val="24"/>
          <w:szCs w:val="24"/>
          <w:highlight w:val="none"/>
        </w:rPr>
        <w:t>.</w:t>
      </w:r>
      <w:r>
        <w:rPr>
          <w:rFonts w:hint="default" w:ascii="Times New Roman" w:hAnsi="Times New Roman" w:eastAsia="宋体" w:cs="Times New Roman"/>
          <w:b/>
          <w:bCs/>
          <w:color w:val="auto"/>
          <w:spacing w:val="-2"/>
          <w:sz w:val="24"/>
          <w:szCs w:val="24"/>
          <w:highlight w:val="none"/>
          <w:lang w:val="en-US" w:eastAsia="zh-CN"/>
        </w:rPr>
        <w:t>5消防</w:t>
      </w:r>
    </w:p>
    <w:p w14:paraId="71ABA756">
      <w:pPr>
        <w:pStyle w:val="40"/>
        <w:keepNext w:val="0"/>
        <w:keepLines w:val="0"/>
        <w:pageBreakBefore w:val="0"/>
        <w:widowControl/>
        <w:kinsoku w:val="0"/>
        <w:wordWrap/>
        <w:overflowPunct/>
        <w:topLinePunct w:val="0"/>
        <w:autoSpaceDE w:val="0"/>
        <w:autoSpaceDN w:val="0"/>
        <w:bidi w:val="0"/>
        <w:adjustRightInd/>
        <w:snapToGrid/>
        <w:spacing w:line="360" w:lineRule="auto"/>
        <w:ind w:firstLine="472" w:firstLineChars="200"/>
        <w:textAlignment w:val="baseline"/>
        <w:rPr>
          <w:rFonts w:hint="default" w:ascii="Times New Roman" w:hAnsi="Times New Roman" w:cs="Times New Roman"/>
          <w:color w:val="auto"/>
          <w:highlight w:val="none"/>
        </w:rPr>
      </w:pPr>
      <w:r>
        <w:rPr>
          <w:rFonts w:hint="default" w:ascii="Times New Roman" w:hAnsi="Times New Roman" w:eastAsia="宋体" w:cs="Times New Roman"/>
          <w:snapToGrid w:val="0"/>
          <w:color w:val="auto"/>
          <w:spacing w:val="-2"/>
          <w:kern w:val="0"/>
          <w:sz w:val="24"/>
          <w:szCs w:val="24"/>
          <w:highlight w:val="none"/>
          <w:lang w:val="en-US" w:eastAsia="en-US" w:bidi="ar-SA"/>
        </w:rPr>
        <w:t>项目区内的道路及牛舍等各类建筑物的间距建设设计，均按照国家消防规定要求建设。在给水设计中，充分考虑消防用水，各类设施内设置足够数量消防水箱等消防设施。各牛舍设置灭火器，以备防火之用。</w:t>
      </w:r>
    </w:p>
    <w:p w14:paraId="38985D8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11" w:name="_Toc16105"/>
      <w:r>
        <w:rPr>
          <w:rFonts w:hint="default" w:ascii="Times New Roman" w:hAnsi="Times New Roman" w:eastAsia="宋体" w:cs="Times New Roman"/>
          <w:b/>
          <w:bCs/>
          <w:color w:val="auto"/>
          <w:spacing w:val="-2"/>
          <w:sz w:val="24"/>
          <w:szCs w:val="24"/>
          <w:highlight w:val="none"/>
          <w:lang w:val="en-US" w:eastAsia="zh-CN"/>
        </w:rPr>
        <w:t>3.1.7劳动定员及工作制度</w:t>
      </w:r>
      <w:bookmarkEnd w:id="111"/>
    </w:p>
    <w:p w14:paraId="4B13C95B">
      <w:pPr>
        <w:keepNext w:val="0"/>
        <w:keepLines w:val="0"/>
        <w:pageBreakBefore w:val="0"/>
        <w:widowControl/>
        <w:kinsoku/>
        <w:wordWrap w:val="0"/>
        <w:overflowPunct/>
        <w:topLinePunct/>
        <w:autoSpaceDE/>
        <w:autoSpaceDN/>
        <w:bidi w:val="0"/>
        <w:adjustRightInd w:val="0"/>
        <w:snapToGrid w:val="0"/>
        <w:spacing w:line="360" w:lineRule="auto"/>
        <w:ind w:left="488"/>
        <w:textAlignment w:val="baseline"/>
        <w:rPr>
          <w:rFonts w:hint="default" w:ascii="Times New Roman" w:hAnsi="Times New Roman" w:eastAsia="宋体" w:cs="Times New Roman"/>
          <w:snapToGrid w:val="0"/>
          <w:color w:val="auto"/>
          <w:spacing w:val="-2"/>
          <w:kern w:val="0"/>
          <w:sz w:val="24"/>
          <w:szCs w:val="24"/>
          <w:highlight w:val="none"/>
          <w:lang w:val="en-US" w:eastAsia="en-US" w:bidi="ar-SA"/>
        </w:rPr>
      </w:pPr>
      <w:r>
        <w:rPr>
          <w:rFonts w:hint="default" w:ascii="Times New Roman" w:hAnsi="Times New Roman" w:eastAsia="宋体" w:cs="Times New Roman"/>
          <w:snapToGrid w:val="0"/>
          <w:color w:val="auto"/>
          <w:spacing w:val="-2"/>
          <w:kern w:val="0"/>
          <w:sz w:val="24"/>
          <w:szCs w:val="24"/>
          <w:highlight w:val="none"/>
          <w:lang w:val="en-US" w:eastAsia="en-US" w:bidi="ar-SA"/>
        </w:rPr>
        <w:t>本项目共有</w:t>
      </w:r>
      <w:r>
        <w:rPr>
          <w:rFonts w:hint="default" w:ascii="Times New Roman" w:hAnsi="Times New Roman" w:eastAsia="宋体" w:cs="Times New Roman"/>
          <w:snapToGrid w:val="0"/>
          <w:color w:val="auto"/>
          <w:spacing w:val="-2"/>
          <w:kern w:val="0"/>
          <w:sz w:val="24"/>
          <w:szCs w:val="24"/>
          <w:highlight w:val="none"/>
          <w:lang w:val="en-US" w:eastAsia="zh-CN" w:bidi="ar-SA"/>
        </w:rPr>
        <w:t>20</w:t>
      </w:r>
      <w:r>
        <w:rPr>
          <w:rFonts w:hint="default" w:ascii="Times New Roman" w:hAnsi="Times New Roman" w:eastAsia="宋体" w:cs="Times New Roman"/>
          <w:snapToGrid w:val="0"/>
          <w:color w:val="auto"/>
          <w:spacing w:val="-2"/>
          <w:kern w:val="0"/>
          <w:sz w:val="24"/>
          <w:szCs w:val="24"/>
          <w:highlight w:val="none"/>
          <w:lang w:val="en-US" w:eastAsia="en-US" w:bidi="ar-SA"/>
        </w:rPr>
        <w:t>名员工，每天工作24小时，三班制，每年工作365天。</w:t>
      </w:r>
    </w:p>
    <w:p w14:paraId="23AC7AD6">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12" w:name="_Toc22818"/>
      <w:r>
        <w:rPr>
          <w:rFonts w:hint="default" w:ascii="Times New Roman" w:hAnsi="Times New Roman" w:eastAsia="宋体" w:cs="Times New Roman"/>
          <w:b/>
          <w:bCs/>
          <w:color w:val="auto"/>
          <w:spacing w:val="-2"/>
          <w:sz w:val="24"/>
          <w:szCs w:val="24"/>
          <w:highlight w:val="none"/>
          <w:lang w:val="en-US" w:eastAsia="zh-CN"/>
        </w:rPr>
        <w:t>3.1.8项目占地</w:t>
      </w:r>
      <w:bookmarkEnd w:id="112"/>
    </w:p>
    <w:p w14:paraId="20319479">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项目拟建地点位于</w:t>
      </w:r>
      <w:r>
        <w:rPr>
          <w:rFonts w:hint="default" w:ascii="Times New Roman" w:hAnsi="Times New Roman" w:eastAsia="宋体" w:cs="Times New Roman"/>
          <w:color w:val="auto"/>
          <w:sz w:val="24"/>
          <w:szCs w:val="24"/>
          <w:highlight w:val="none"/>
          <w:lang w:val="en-US" w:eastAsia="zh-CN"/>
        </w:rPr>
        <w:t>双鸭山市集贤县集贤镇种畜场（康家屯）</w:t>
      </w:r>
      <w:r>
        <w:rPr>
          <w:rFonts w:hint="default" w:ascii="Times New Roman" w:hAnsi="Times New Roman" w:eastAsia="宋体" w:cs="Times New Roman"/>
          <w:color w:val="auto"/>
          <w:spacing w:val="-3"/>
          <w:sz w:val="24"/>
          <w:szCs w:val="24"/>
          <w:highlight w:val="none"/>
        </w:rPr>
        <w:t>，规划用地面</w:t>
      </w:r>
      <w:r>
        <w:rPr>
          <w:rFonts w:hint="default" w:ascii="Times New Roman" w:hAnsi="Times New Roman" w:eastAsia="宋体" w:cs="Times New Roman"/>
          <w:color w:val="auto"/>
          <w:spacing w:val="-4"/>
          <w:sz w:val="24"/>
          <w:szCs w:val="24"/>
          <w:highlight w:val="none"/>
        </w:rPr>
        <w:t>积约</w:t>
      </w:r>
      <w:r>
        <w:rPr>
          <w:rFonts w:hint="default" w:ascii="Times New Roman" w:hAnsi="Times New Roman" w:eastAsia="宋体" w:cs="Times New Roman"/>
          <w:color w:val="auto"/>
          <w:spacing w:val="-4"/>
          <w:sz w:val="24"/>
          <w:szCs w:val="24"/>
          <w:highlight w:val="none"/>
          <w:lang w:val="en-US" w:eastAsia="zh-CN"/>
        </w:rPr>
        <w:t>128037.95</w:t>
      </w:r>
      <w:r>
        <w:rPr>
          <w:rFonts w:hint="default" w:ascii="Times New Roman" w:hAnsi="Times New Roman" w:eastAsia="Times New Roman" w:cs="Times New Roman"/>
          <w:color w:val="auto"/>
          <w:spacing w:val="-4"/>
          <w:sz w:val="24"/>
          <w:szCs w:val="24"/>
          <w:highlight w:val="none"/>
        </w:rPr>
        <w:t>m</w:t>
      </w:r>
      <w:r>
        <w:rPr>
          <w:rFonts w:hint="default" w:ascii="Times New Roman" w:hAnsi="Times New Roman" w:eastAsia="Times New Roman" w:cs="Times New Roman"/>
          <w:color w:val="auto"/>
          <w:spacing w:val="-4"/>
          <w:position w:val="10"/>
          <w:sz w:val="16"/>
          <w:szCs w:val="16"/>
          <w:highlight w:val="none"/>
        </w:rPr>
        <w:t>2</w:t>
      </w:r>
      <w:r>
        <w:rPr>
          <w:rFonts w:hint="default" w:ascii="Times New Roman" w:hAnsi="Times New Roman" w:eastAsia="宋体" w:cs="Times New Roman"/>
          <w:color w:val="auto"/>
          <w:spacing w:val="-4"/>
          <w:sz w:val="24"/>
          <w:szCs w:val="24"/>
          <w:highlight w:val="none"/>
        </w:rPr>
        <w:t>。中心地理位置坐</w:t>
      </w:r>
      <w:r>
        <w:rPr>
          <w:rFonts w:hint="default" w:ascii="Times New Roman" w:hAnsi="Times New Roman" w:eastAsia="宋体" w:cs="Times New Roman"/>
          <w:color w:val="auto"/>
          <w:spacing w:val="-1"/>
          <w:sz w:val="24"/>
          <w:szCs w:val="24"/>
          <w:highlight w:val="none"/>
        </w:rPr>
        <w:t>标：131.16588953</w:t>
      </w:r>
      <w:r>
        <w:rPr>
          <w:rFonts w:hint="default" w:ascii="Times New Roman" w:hAnsi="Times New Roman" w:eastAsia="宋体" w:cs="Times New Roman"/>
          <w:color w:val="auto"/>
          <w:spacing w:val="-1"/>
          <w:sz w:val="24"/>
          <w:szCs w:val="24"/>
          <w:highlight w:val="none"/>
          <w:lang w:eastAsia="zh-CN"/>
        </w:rPr>
        <w:t>，</w:t>
      </w:r>
      <w:r>
        <w:rPr>
          <w:rFonts w:hint="default" w:ascii="Times New Roman" w:hAnsi="Times New Roman" w:eastAsia="宋体" w:cs="Times New Roman"/>
          <w:color w:val="auto"/>
          <w:spacing w:val="-1"/>
          <w:sz w:val="24"/>
          <w:szCs w:val="24"/>
          <w:highlight w:val="none"/>
        </w:rPr>
        <w:t>46.79823396</w:t>
      </w:r>
      <w:r>
        <w:rPr>
          <w:rFonts w:hint="default" w:ascii="Times New Roman" w:hAnsi="Times New Roman" w:eastAsia="宋体" w:cs="Times New Roman"/>
          <w:color w:val="auto"/>
          <w:spacing w:val="-1"/>
          <w:sz w:val="24"/>
          <w:szCs w:val="24"/>
          <w:highlight w:val="none"/>
          <w:lang w:eastAsia="zh-CN"/>
        </w:rPr>
        <w:t>。</w:t>
      </w:r>
      <w:r>
        <w:rPr>
          <w:rFonts w:hint="default" w:ascii="Times New Roman" w:hAnsi="Times New Roman" w:eastAsia="宋体" w:cs="Times New Roman"/>
          <w:color w:val="auto"/>
          <w:spacing w:val="-1"/>
          <w:sz w:val="24"/>
          <w:szCs w:val="24"/>
          <w:highlight w:val="none"/>
        </w:rPr>
        <w:t>土地权属为双鸭山</w:t>
      </w:r>
      <w:r>
        <w:rPr>
          <w:rFonts w:hint="default" w:ascii="Times New Roman" w:hAnsi="Times New Roman" w:eastAsia="宋体" w:cs="Times New Roman"/>
          <w:color w:val="auto"/>
          <w:spacing w:val="-2"/>
          <w:sz w:val="24"/>
          <w:szCs w:val="24"/>
          <w:highlight w:val="none"/>
        </w:rPr>
        <w:t>市</w:t>
      </w:r>
      <w:r>
        <w:rPr>
          <w:rFonts w:hint="default" w:ascii="Times New Roman" w:hAnsi="Times New Roman" w:eastAsia="宋体" w:cs="Times New Roman"/>
          <w:color w:val="auto"/>
          <w:spacing w:val="-2"/>
          <w:sz w:val="24"/>
          <w:szCs w:val="24"/>
          <w:highlight w:val="none"/>
          <w:lang w:val="en-US" w:eastAsia="zh-CN"/>
        </w:rPr>
        <w:t>集贤县自然资源局</w:t>
      </w:r>
      <w:r>
        <w:rPr>
          <w:rFonts w:hint="default" w:ascii="Times New Roman" w:hAnsi="Times New Roman" w:eastAsia="宋体" w:cs="Times New Roman"/>
          <w:color w:val="auto"/>
          <w:spacing w:val="-10"/>
          <w:sz w:val="24"/>
          <w:szCs w:val="24"/>
          <w:highlight w:val="none"/>
        </w:rPr>
        <w:t>，</w:t>
      </w:r>
      <w:r>
        <w:rPr>
          <w:rFonts w:hint="default" w:ascii="Times New Roman" w:hAnsi="Times New Roman" w:eastAsia="宋体" w:cs="Times New Roman"/>
          <w:color w:val="auto"/>
          <w:spacing w:val="-10"/>
          <w:sz w:val="24"/>
          <w:szCs w:val="24"/>
          <w:highlight w:val="none"/>
          <w:lang w:val="en-US" w:eastAsia="zh-CN"/>
        </w:rPr>
        <w:t>地类</w:t>
      </w:r>
      <w:r>
        <w:rPr>
          <w:rFonts w:hint="default" w:ascii="Times New Roman" w:hAnsi="Times New Roman" w:eastAsia="宋体" w:cs="Times New Roman"/>
          <w:color w:val="FF0000"/>
          <w:spacing w:val="-10"/>
          <w:sz w:val="24"/>
          <w:szCs w:val="24"/>
          <w:highlight w:val="none"/>
          <w:lang w:val="en-US" w:eastAsia="zh-CN"/>
        </w:rPr>
        <w:t>用途为设施农用地</w:t>
      </w:r>
      <w:r>
        <w:rPr>
          <w:rFonts w:hint="default" w:ascii="Times New Roman" w:hAnsi="Times New Roman" w:eastAsia="宋体" w:cs="Times New Roman"/>
          <w:color w:val="auto"/>
          <w:spacing w:val="-10"/>
          <w:sz w:val="24"/>
          <w:szCs w:val="24"/>
          <w:highlight w:val="none"/>
          <w:lang w:val="en-US" w:eastAsia="zh-CN"/>
        </w:rPr>
        <w:t>，</w:t>
      </w:r>
      <w:r>
        <w:rPr>
          <w:rFonts w:hint="default" w:ascii="Times New Roman" w:hAnsi="Times New Roman" w:eastAsia="宋体" w:cs="Times New Roman"/>
          <w:color w:val="auto"/>
          <w:spacing w:val="-10"/>
          <w:sz w:val="24"/>
          <w:szCs w:val="24"/>
          <w:highlight w:val="none"/>
        </w:rPr>
        <w:t>土地使用方式为</w:t>
      </w:r>
      <w:r>
        <w:rPr>
          <w:rFonts w:hint="default" w:ascii="Times New Roman" w:hAnsi="Times New Roman" w:eastAsia="宋体" w:cs="Times New Roman"/>
          <w:color w:val="auto"/>
          <w:spacing w:val="-10"/>
          <w:sz w:val="24"/>
          <w:szCs w:val="24"/>
          <w:highlight w:val="none"/>
          <w:lang w:val="en-US" w:eastAsia="zh-CN"/>
        </w:rPr>
        <w:t>租赁</w:t>
      </w:r>
      <w:r>
        <w:rPr>
          <w:rFonts w:hint="default" w:ascii="Times New Roman" w:hAnsi="Times New Roman" w:eastAsia="宋体" w:cs="Times New Roman"/>
          <w:color w:val="auto"/>
          <w:spacing w:val="-10"/>
          <w:sz w:val="24"/>
          <w:szCs w:val="24"/>
          <w:highlight w:val="none"/>
        </w:rPr>
        <w:t>。根据现场勘查本项目周边</w:t>
      </w:r>
      <w:r>
        <w:rPr>
          <w:rFonts w:hint="default" w:ascii="Times New Roman" w:hAnsi="Times New Roman" w:eastAsia="宋体" w:cs="Times New Roman"/>
          <w:color w:val="auto"/>
          <w:spacing w:val="-10"/>
          <w:sz w:val="24"/>
          <w:szCs w:val="24"/>
          <w:highlight w:val="none"/>
          <w:lang w:val="en-US" w:eastAsia="zh-CN"/>
        </w:rPr>
        <w:t>四周均</w:t>
      </w:r>
      <w:r>
        <w:rPr>
          <w:rFonts w:hint="default" w:ascii="Times New Roman" w:hAnsi="Times New Roman" w:eastAsia="宋体" w:cs="Times New Roman"/>
          <w:color w:val="auto"/>
          <w:spacing w:val="-3"/>
          <w:sz w:val="24"/>
          <w:szCs w:val="24"/>
          <w:highlight w:val="none"/>
        </w:rPr>
        <w:t>为耕地。本项目不占用基本农田及林地。</w:t>
      </w:r>
    </w:p>
    <w:p w14:paraId="7A979A86">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13" w:name="_Toc14169"/>
      <w:r>
        <w:rPr>
          <w:rFonts w:hint="default" w:ascii="Times New Roman" w:hAnsi="Times New Roman" w:eastAsia="宋体" w:cs="Times New Roman"/>
          <w:b/>
          <w:bCs/>
          <w:color w:val="auto"/>
          <w:spacing w:val="-2"/>
          <w:sz w:val="24"/>
          <w:szCs w:val="24"/>
          <w:highlight w:val="none"/>
          <w:lang w:val="en-US" w:eastAsia="zh-CN"/>
        </w:rPr>
        <w:t>3.1.9场区总平面布置</w:t>
      </w:r>
      <w:bookmarkEnd w:id="113"/>
    </w:p>
    <w:p w14:paraId="7B0A5068">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养殖场建设布局完全按现代化规模养殖要求进行科学布局，做到养殖场与外部环</w:t>
      </w:r>
      <w:r>
        <w:rPr>
          <w:rFonts w:hint="default" w:ascii="Times New Roman" w:hAnsi="Times New Roman" w:eastAsia="宋体" w:cs="Times New Roman"/>
          <w:color w:val="auto"/>
          <w:spacing w:val="-6"/>
          <w:sz w:val="24"/>
          <w:szCs w:val="24"/>
          <w:highlight w:val="none"/>
        </w:rPr>
        <w:t>境隔离、场内分区间的分隔合理，便于疫病控制</w:t>
      </w:r>
      <w:r>
        <w:rPr>
          <w:rFonts w:hint="default" w:ascii="Times New Roman" w:hAnsi="Times New Roman" w:eastAsia="宋体" w:cs="Times New Roman"/>
          <w:color w:val="auto"/>
          <w:spacing w:val="-7"/>
          <w:sz w:val="24"/>
          <w:szCs w:val="24"/>
          <w:highlight w:val="none"/>
        </w:rPr>
        <w:t>，形成大规模小区化、环境控制与疫</w:t>
      </w:r>
      <w:r>
        <w:rPr>
          <w:rFonts w:hint="default" w:ascii="Times New Roman" w:hAnsi="Times New Roman" w:eastAsia="宋体" w:cs="Times New Roman"/>
          <w:color w:val="auto"/>
          <w:spacing w:val="-3"/>
          <w:sz w:val="24"/>
          <w:szCs w:val="24"/>
          <w:highlight w:val="none"/>
        </w:rPr>
        <w:t>病控制相结合的布局。本项目场区分为办公生活区、粪</w:t>
      </w:r>
      <w:r>
        <w:rPr>
          <w:rFonts w:hint="default" w:ascii="Times New Roman" w:hAnsi="Times New Roman" w:eastAsia="宋体" w:cs="Times New Roman"/>
          <w:color w:val="auto"/>
          <w:spacing w:val="-4"/>
          <w:sz w:val="24"/>
          <w:szCs w:val="24"/>
          <w:highlight w:val="none"/>
        </w:rPr>
        <w:t>污</w:t>
      </w:r>
      <w:r>
        <w:rPr>
          <w:rFonts w:hint="default" w:ascii="Times New Roman" w:hAnsi="Times New Roman" w:eastAsia="宋体" w:cs="Times New Roman"/>
          <w:color w:val="auto"/>
          <w:spacing w:val="-4"/>
          <w:sz w:val="24"/>
          <w:szCs w:val="24"/>
          <w:highlight w:val="none"/>
          <w:lang w:val="en-US" w:eastAsia="zh-CN"/>
        </w:rPr>
        <w:t>收集</w:t>
      </w:r>
      <w:r>
        <w:rPr>
          <w:rFonts w:hint="default" w:ascii="Times New Roman" w:hAnsi="Times New Roman" w:eastAsia="宋体" w:cs="Times New Roman"/>
          <w:color w:val="auto"/>
          <w:spacing w:val="-4"/>
          <w:sz w:val="24"/>
          <w:szCs w:val="24"/>
          <w:highlight w:val="none"/>
        </w:rPr>
        <w:t>、饲养区等。具体布</w:t>
      </w:r>
      <w:r>
        <w:rPr>
          <w:rFonts w:hint="default" w:ascii="Times New Roman" w:hAnsi="Times New Roman" w:eastAsia="宋体" w:cs="Times New Roman"/>
          <w:color w:val="auto"/>
          <w:spacing w:val="-12"/>
          <w:sz w:val="24"/>
          <w:szCs w:val="24"/>
          <w:highlight w:val="none"/>
        </w:rPr>
        <w:t>置如下：</w:t>
      </w:r>
    </w:p>
    <w:p w14:paraId="291E4290">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7"/>
          <w:sz w:val="24"/>
          <w:szCs w:val="24"/>
          <w:highlight w:val="none"/>
        </w:rPr>
        <w:t>办公生活区：主要为管理用房、车辆消毒通道、停车场等，位于场区东部；医</w:t>
      </w:r>
      <w:r>
        <w:rPr>
          <w:rFonts w:hint="default" w:ascii="Times New Roman" w:hAnsi="Times New Roman" w:eastAsia="宋体" w:cs="Times New Roman"/>
          <w:color w:val="auto"/>
          <w:spacing w:val="-2"/>
          <w:sz w:val="24"/>
          <w:szCs w:val="24"/>
          <w:highlight w:val="none"/>
        </w:rPr>
        <w:t>疗废物暂存于医疗废物暂存间，医疗废物暂存间位于场区</w:t>
      </w:r>
      <w:r>
        <w:rPr>
          <w:rFonts w:hint="default" w:ascii="Times New Roman" w:hAnsi="Times New Roman" w:eastAsia="宋体" w:cs="Times New Roman"/>
          <w:color w:val="auto"/>
          <w:spacing w:val="-2"/>
          <w:sz w:val="24"/>
          <w:szCs w:val="24"/>
          <w:highlight w:val="none"/>
          <w:lang w:val="en-US" w:eastAsia="zh-CN"/>
        </w:rPr>
        <w:t>北</w:t>
      </w:r>
      <w:r>
        <w:rPr>
          <w:rFonts w:hint="default" w:ascii="Times New Roman" w:hAnsi="Times New Roman" w:eastAsia="宋体" w:cs="Times New Roman"/>
          <w:color w:val="auto"/>
          <w:spacing w:val="-2"/>
          <w:sz w:val="24"/>
          <w:szCs w:val="24"/>
          <w:highlight w:val="none"/>
        </w:rPr>
        <w:t>侧。</w:t>
      </w:r>
    </w:p>
    <w:p w14:paraId="0FC0B6F3">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4"/>
          <w:sz w:val="24"/>
          <w:szCs w:val="24"/>
          <w:highlight w:val="none"/>
        </w:rPr>
        <w:t>饲养区：主要建筑内容为牛舍，根据牛群结构及饲养期，牛舍位于办公生活区的</w:t>
      </w:r>
      <w:r>
        <w:rPr>
          <w:rFonts w:hint="default" w:ascii="Times New Roman" w:hAnsi="Times New Roman" w:eastAsia="宋体" w:cs="Times New Roman"/>
          <w:color w:val="auto"/>
          <w:spacing w:val="-2"/>
          <w:sz w:val="24"/>
          <w:szCs w:val="24"/>
          <w:highlight w:val="none"/>
          <w:lang w:val="en-US" w:eastAsia="zh-CN"/>
        </w:rPr>
        <w:t>北</w:t>
      </w:r>
      <w:r>
        <w:rPr>
          <w:rFonts w:hint="default" w:ascii="Times New Roman" w:hAnsi="Times New Roman" w:eastAsia="宋体" w:cs="Times New Roman"/>
          <w:color w:val="auto"/>
          <w:spacing w:val="-2"/>
          <w:sz w:val="24"/>
          <w:szCs w:val="24"/>
          <w:highlight w:val="none"/>
        </w:rPr>
        <w:t>侧，粪污</w:t>
      </w:r>
      <w:r>
        <w:rPr>
          <w:rFonts w:hint="default" w:ascii="Times New Roman" w:hAnsi="Times New Roman" w:eastAsia="宋体" w:cs="Times New Roman"/>
          <w:color w:val="auto"/>
          <w:spacing w:val="-2"/>
          <w:sz w:val="24"/>
          <w:szCs w:val="24"/>
          <w:highlight w:val="none"/>
          <w:lang w:val="en-US" w:eastAsia="zh-CN"/>
        </w:rPr>
        <w:t>收集区</w:t>
      </w:r>
      <w:r>
        <w:rPr>
          <w:rFonts w:hint="default" w:ascii="Times New Roman" w:hAnsi="Times New Roman" w:eastAsia="宋体" w:cs="Times New Roman"/>
          <w:color w:val="auto"/>
          <w:spacing w:val="-2"/>
          <w:sz w:val="24"/>
          <w:szCs w:val="24"/>
          <w:highlight w:val="none"/>
        </w:rPr>
        <w:t>的</w:t>
      </w:r>
      <w:r>
        <w:rPr>
          <w:rFonts w:hint="default" w:ascii="Times New Roman" w:hAnsi="Times New Roman" w:eastAsia="宋体" w:cs="Times New Roman"/>
          <w:color w:val="auto"/>
          <w:spacing w:val="-2"/>
          <w:sz w:val="24"/>
          <w:szCs w:val="24"/>
          <w:highlight w:val="none"/>
          <w:lang w:val="en-US" w:eastAsia="zh-CN"/>
        </w:rPr>
        <w:t>北</w:t>
      </w:r>
      <w:r>
        <w:rPr>
          <w:rFonts w:hint="default" w:ascii="Times New Roman" w:hAnsi="Times New Roman" w:eastAsia="宋体" w:cs="Times New Roman"/>
          <w:color w:val="auto"/>
          <w:spacing w:val="-2"/>
          <w:sz w:val="24"/>
          <w:szCs w:val="24"/>
          <w:highlight w:val="none"/>
        </w:rPr>
        <w:t>侧</w:t>
      </w:r>
      <w:r>
        <w:rPr>
          <w:rFonts w:hint="default" w:ascii="Times New Roman" w:hAnsi="Times New Roman" w:eastAsia="宋体" w:cs="Times New Roman"/>
          <w:color w:val="auto"/>
          <w:spacing w:val="-2"/>
          <w:sz w:val="24"/>
          <w:szCs w:val="24"/>
          <w:highlight w:val="none"/>
          <w:lang w:eastAsia="zh-CN"/>
        </w:rPr>
        <w:t>。</w:t>
      </w:r>
    </w:p>
    <w:p w14:paraId="30B755AE">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粪污</w:t>
      </w:r>
      <w:r>
        <w:rPr>
          <w:rFonts w:hint="default" w:ascii="Times New Roman" w:hAnsi="Times New Roman" w:eastAsia="宋体" w:cs="Times New Roman"/>
          <w:color w:val="auto"/>
          <w:spacing w:val="-2"/>
          <w:sz w:val="24"/>
          <w:szCs w:val="24"/>
          <w:highlight w:val="none"/>
          <w:lang w:val="en-US" w:eastAsia="zh-CN"/>
        </w:rPr>
        <w:t>收集</w:t>
      </w:r>
      <w:r>
        <w:rPr>
          <w:rFonts w:hint="default" w:ascii="Times New Roman" w:hAnsi="Times New Roman" w:eastAsia="宋体" w:cs="Times New Roman"/>
          <w:color w:val="auto"/>
          <w:spacing w:val="-2"/>
          <w:sz w:val="24"/>
          <w:szCs w:val="24"/>
          <w:highlight w:val="none"/>
        </w:rPr>
        <w:t>：主要为</w:t>
      </w:r>
      <w:r>
        <w:rPr>
          <w:rFonts w:hint="default" w:ascii="Times New Roman" w:hAnsi="Times New Roman" w:eastAsia="宋体" w:cs="Times New Roman"/>
          <w:color w:val="auto"/>
          <w:spacing w:val="-2"/>
          <w:sz w:val="24"/>
          <w:szCs w:val="24"/>
          <w:highlight w:val="none"/>
          <w:lang w:eastAsia="zh-CN"/>
        </w:rPr>
        <w:t>粪污储存间</w:t>
      </w:r>
      <w:r>
        <w:rPr>
          <w:rFonts w:hint="default" w:ascii="Times New Roman" w:hAnsi="Times New Roman" w:eastAsia="宋体" w:cs="Times New Roman"/>
          <w:color w:val="auto"/>
          <w:spacing w:val="-2"/>
          <w:sz w:val="24"/>
          <w:szCs w:val="24"/>
          <w:highlight w:val="none"/>
        </w:rPr>
        <w:t>，位于场区</w:t>
      </w:r>
      <w:r>
        <w:rPr>
          <w:rFonts w:hint="default" w:ascii="Times New Roman" w:hAnsi="Times New Roman" w:eastAsia="宋体" w:cs="Times New Roman"/>
          <w:color w:val="auto"/>
          <w:spacing w:val="-2"/>
          <w:sz w:val="24"/>
          <w:szCs w:val="24"/>
          <w:highlight w:val="none"/>
          <w:lang w:val="en-US" w:eastAsia="zh-CN"/>
        </w:rPr>
        <w:t>南侧</w:t>
      </w:r>
      <w:r>
        <w:rPr>
          <w:rFonts w:hint="default" w:ascii="Times New Roman" w:hAnsi="Times New Roman" w:eastAsia="宋体" w:cs="Times New Roman"/>
          <w:color w:val="auto"/>
          <w:spacing w:val="-2"/>
          <w:sz w:val="24"/>
          <w:szCs w:val="24"/>
          <w:highlight w:val="none"/>
        </w:rPr>
        <w:t>。</w:t>
      </w:r>
    </w:p>
    <w:p w14:paraId="48419B9F">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14" w:name="_Toc11010"/>
      <w:r>
        <w:rPr>
          <w:rFonts w:hint="default" w:ascii="Times New Roman" w:hAnsi="Times New Roman" w:eastAsia="宋体" w:cs="Times New Roman"/>
          <w:b/>
          <w:bCs/>
          <w:color w:val="auto"/>
          <w:spacing w:val="-2"/>
          <w:sz w:val="24"/>
          <w:szCs w:val="24"/>
          <w:highlight w:val="none"/>
          <w:lang w:val="en-US" w:eastAsia="zh-CN"/>
        </w:rPr>
        <w:t>3.1.10建设周期</w:t>
      </w:r>
      <w:bookmarkEnd w:id="114"/>
    </w:p>
    <w:p w14:paraId="5F8F6D1F">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both"/>
        <w:textAlignment w:val="baseline"/>
        <w:rPr>
          <w:rFonts w:hint="default" w:ascii="Times New Roman" w:hAnsi="Times New Roman" w:eastAsia="宋体" w:cs="Times New Roman"/>
          <w:color w:val="auto"/>
          <w:spacing w:val="-3"/>
          <w:sz w:val="24"/>
          <w:szCs w:val="24"/>
          <w:highlight w:val="none"/>
          <w:lang w:val="en-US" w:eastAsia="zh-CN"/>
        </w:rPr>
      </w:pPr>
      <w:r>
        <w:rPr>
          <w:rFonts w:hint="default" w:ascii="Times New Roman" w:hAnsi="Times New Roman" w:eastAsia="宋体" w:cs="Times New Roman"/>
          <w:color w:val="auto"/>
          <w:spacing w:val="-3"/>
          <w:sz w:val="24"/>
          <w:szCs w:val="24"/>
          <w:highlight w:val="none"/>
          <w:lang w:val="en-US" w:eastAsia="zh-CN"/>
        </w:rPr>
        <w:t>项目建设期为2个月，为2025年1</w:t>
      </w:r>
      <w:r>
        <w:rPr>
          <w:rFonts w:hint="eastAsia" w:ascii="Times New Roman" w:hAnsi="Times New Roman" w:eastAsia="宋体" w:cs="Times New Roman"/>
          <w:color w:val="auto"/>
          <w:spacing w:val="-3"/>
          <w:sz w:val="24"/>
          <w:szCs w:val="24"/>
          <w:highlight w:val="none"/>
          <w:lang w:val="en-US" w:eastAsia="zh-CN"/>
        </w:rPr>
        <w:t>1</w:t>
      </w:r>
      <w:r>
        <w:rPr>
          <w:rFonts w:hint="default" w:ascii="Times New Roman" w:hAnsi="Times New Roman" w:eastAsia="宋体" w:cs="Times New Roman"/>
          <w:color w:val="auto"/>
          <w:spacing w:val="-3"/>
          <w:sz w:val="24"/>
          <w:szCs w:val="24"/>
          <w:highlight w:val="none"/>
          <w:lang w:val="en-US" w:eastAsia="zh-CN"/>
        </w:rPr>
        <w:t>月至2025年12月，计划于2026年1月投产。</w:t>
      </w:r>
    </w:p>
    <w:p w14:paraId="1619C951">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lang w:val="en-US" w:eastAsia="zh-CN"/>
        </w:rPr>
      </w:pPr>
      <w:bookmarkStart w:id="115" w:name="_Toc9804"/>
      <w:r>
        <w:rPr>
          <w:rFonts w:hint="default" w:ascii="Times New Roman" w:hAnsi="Times New Roman" w:eastAsia="Times New Roman" w:cs="Times New Roman"/>
          <w:b/>
          <w:bCs/>
          <w:color w:val="auto"/>
          <w:spacing w:val="-5"/>
          <w:sz w:val="28"/>
          <w:szCs w:val="28"/>
          <w:highlight w:val="none"/>
          <w:lang w:val="en-US" w:eastAsia="zh-CN"/>
        </w:rPr>
        <w:t>3.2项目生产工艺及产污环节</w:t>
      </w:r>
      <w:bookmarkEnd w:id="115"/>
    </w:p>
    <w:p w14:paraId="3577463D">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16" w:name="_Toc28176"/>
      <w:bookmarkStart w:id="117" w:name="_Toc169251788"/>
      <w:r>
        <w:rPr>
          <w:rFonts w:hint="default" w:ascii="Times New Roman" w:hAnsi="Times New Roman" w:eastAsia="宋体" w:cs="Times New Roman"/>
          <w:b/>
          <w:bCs/>
          <w:color w:val="auto"/>
          <w:spacing w:val="-2"/>
          <w:sz w:val="24"/>
          <w:szCs w:val="24"/>
          <w:highlight w:val="none"/>
          <w:lang w:val="en-US" w:eastAsia="zh-CN"/>
        </w:rPr>
        <w:t>3.2.1施工期工艺流程及产污环节分析</w:t>
      </w:r>
      <w:bookmarkEnd w:id="116"/>
      <w:bookmarkEnd w:id="117"/>
    </w:p>
    <w:p w14:paraId="2BD20ABB">
      <w:pPr>
        <w:pStyle w:val="40"/>
        <w:keepNext w:val="0"/>
        <w:keepLines w:val="0"/>
        <w:pageBreakBefore w:val="0"/>
        <w:widowControl/>
        <w:kinsoku/>
        <w:wordWrap w:val="0"/>
        <w:overflowPunct/>
        <w:topLinePunct/>
        <w:autoSpaceDE/>
        <w:autoSpaceDN/>
        <w:bidi w:val="0"/>
        <w:adjustRightInd/>
        <w:snapToGrid/>
        <w:spacing w:line="360" w:lineRule="auto"/>
        <w:ind w:firstLine="472" w:firstLineChars="200"/>
        <w:textAlignment w:val="baseline"/>
        <w:rPr>
          <w:rFonts w:hint="default" w:ascii="Times New Roman" w:hAnsi="Times New Roman" w:eastAsia="宋体" w:cs="Times New Roman"/>
          <w:snapToGrid w:val="0"/>
          <w:color w:val="auto"/>
          <w:spacing w:val="-2"/>
          <w:kern w:val="0"/>
          <w:sz w:val="24"/>
          <w:szCs w:val="24"/>
          <w:highlight w:val="none"/>
          <w:lang w:val="en-US" w:eastAsia="en-US" w:bidi="ar-SA"/>
        </w:rPr>
      </w:pPr>
      <w:r>
        <w:rPr>
          <w:rFonts w:hint="default" w:ascii="Times New Roman" w:hAnsi="Times New Roman" w:eastAsia="宋体" w:cs="Times New Roman"/>
          <w:snapToGrid w:val="0"/>
          <w:color w:val="auto"/>
          <w:spacing w:val="-2"/>
          <w:kern w:val="0"/>
          <w:sz w:val="24"/>
          <w:szCs w:val="24"/>
          <w:highlight w:val="none"/>
          <w:lang w:val="en-US" w:eastAsia="en-US" w:bidi="ar-SA"/>
        </w:rPr>
        <w:t>项目施工期共分为四个阶段，分别为准备阶段、基础阶段、主体结构施工、建筑装修四个阶段。准备阶段主要对场地进行平整；地基基础主要为地基开挖和浇注；主体结构主要包括结构</w:t>
      </w:r>
      <w:r>
        <w:rPr>
          <w:rFonts w:hint="default" w:ascii="Times New Roman" w:hAnsi="Times New Roman" w:eastAsia="宋体" w:cs="Times New Roman"/>
          <w:snapToGrid w:val="0"/>
          <w:color w:val="auto"/>
          <w:spacing w:val="-2"/>
          <w:kern w:val="0"/>
          <w:sz w:val="24"/>
          <w:szCs w:val="24"/>
          <w:highlight w:val="none"/>
          <w:lang w:val="en-US" w:eastAsia="zh-CN" w:bidi="ar-SA"/>
        </w:rPr>
        <w:t>浇筑</w:t>
      </w:r>
      <w:r>
        <w:rPr>
          <w:rFonts w:hint="default" w:ascii="Times New Roman" w:hAnsi="Times New Roman" w:eastAsia="宋体" w:cs="Times New Roman"/>
          <w:snapToGrid w:val="0"/>
          <w:color w:val="auto"/>
          <w:spacing w:val="-2"/>
          <w:kern w:val="0"/>
          <w:sz w:val="24"/>
          <w:szCs w:val="24"/>
          <w:highlight w:val="none"/>
          <w:lang w:val="en-US" w:eastAsia="en-US" w:bidi="ar-SA"/>
        </w:rPr>
        <w:t>、墙体砌筑、水、电、气管道等配套设施安装等；装修主要对办公及辅助用房室内外墙面处理和室内地表处理等。施工期污染源随着施工阶段的不同而略有差异，污染物的排放呈阶段排放特征，项目施工期工艺流程产污节点图见下图。</w:t>
      </w:r>
    </w:p>
    <w:p w14:paraId="33F27CE7">
      <w:pPr>
        <w:pStyle w:val="38"/>
        <w:rPr>
          <w:rFonts w:hint="default" w:ascii="Times New Roman" w:hAnsi="Times New Roman" w:cs="Times New Roman"/>
          <w:color w:val="auto"/>
          <w:szCs w:val="21"/>
          <w:highlight w:val="none"/>
        </w:rPr>
      </w:pPr>
      <w:r>
        <w:rPr>
          <w:rFonts w:hint="default" w:ascii="Times New Roman" w:hAnsi="Times New Roman" w:cs="Times New Roman"/>
          <w:color w:val="auto"/>
          <w:highlight w:val="none"/>
        </w:rPr>
        <w:object>
          <v:shape id="_x0000_i1026" o:spt="75" type="#_x0000_t75" style="height:111pt;width:353pt;" o:ole="t" filled="f" coordsize="21600,21600">
            <v:path/>
            <v:fill on="f" focussize="0,0"/>
            <v:stroke/>
            <v:imagedata r:id="rId69" o:title=""/>
            <o:lock v:ext="edit" aspectratio="f"/>
            <w10:wrap type="none"/>
            <w10:anchorlock/>
          </v:shape>
          <o:OLEObject Type="Embed" ProgID="Visio.Drawing.11" ShapeID="_x0000_i1026" DrawAspect="Content" ObjectID="_1468075726" r:id="rId68">
            <o:LockedField>false</o:LockedField>
          </o:OLEObject>
        </w:object>
      </w:r>
    </w:p>
    <w:p w14:paraId="5A0AA6F2">
      <w:pPr>
        <w:pStyle w:val="44"/>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图3</w:t>
      </w:r>
      <w:r>
        <w:rPr>
          <w:rFonts w:hint="default" w:ascii="Times New Roman" w:hAnsi="Times New Roman" w:eastAsia="宋体" w:cs="Times New Roman"/>
          <w:b/>
          <w:bCs/>
          <w:color w:val="auto"/>
          <w:sz w:val="24"/>
          <w:szCs w:val="24"/>
          <w:highlight w:val="none"/>
          <w:lang w:val="en-US" w:eastAsia="zh-CN"/>
        </w:rPr>
        <w:t>.2</w:t>
      </w:r>
      <w:r>
        <w:rPr>
          <w:rFonts w:hint="default" w:ascii="Times New Roman" w:hAnsi="Times New Roman" w:eastAsia="宋体" w:cs="Times New Roman"/>
          <w:b/>
          <w:bCs/>
          <w:color w:val="auto"/>
          <w:sz w:val="24"/>
          <w:szCs w:val="24"/>
          <w:highlight w:val="none"/>
        </w:rPr>
        <w:t>-1  施工期工艺流程及产污环节示意图</w:t>
      </w:r>
    </w:p>
    <w:p w14:paraId="3A7851C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18" w:name="_Toc169251789"/>
      <w:bookmarkStart w:id="119" w:name="_Toc29835"/>
      <w:r>
        <w:rPr>
          <w:rFonts w:hint="default" w:ascii="Times New Roman" w:hAnsi="Times New Roman" w:eastAsia="宋体" w:cs="Times New Roman"/>
          <w:b/>
          <w:bCs/>
          <w:color w:val="auto"/>
          <w:spacing w:val="-2"/>
          <w:sz w:val="24"/>
          <w:szCs w:val="24"/>
          <w:highlight w:val="none"/>
          <w:lang w:val="en-US" w:eastAsia="zh-CN"/>
        </w:rPr>
        <w:t>3.2.2运营期工艺流程及产污环节分析</w:t>
      </w:r>
      <w:bookmarkEnd w:id="118"/>
      <w:bookmarkEnd w:id="119"/>
    </w:p>
    <w:p w14:paraId="0A396C96">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宋体" w:cs="Times New Roman"/>
          <w:b/>
          <w:bCs/>
          <w:color w:val="auto"/>
          <w:spacing w:val="-2"/>
          <w:sz w:val="24"/>
          <w:szCs w:val="24"/>
          <w:highlight w:val="none"/>
          <w:lang w:val="en-US" w:eastAsia="zh-CN"/>
        </w:rPr>
      </w:pPr>
      <w:r>
        <w:rPr>
          <w:rFonts w:hint="default" w:ascii="Times New Roman" w:hAnsi="Times New Roman" w:eastAsia="宋体" w:cs="Times New Roman"/>
          <w:b/>
          <w:bCs/>
          <w:color w:val="auto"/>
          <w:spacing w:val="-2"/>
          <w:sz w:val="24"/>
          <w:szCs w:val="24"/>
          <w:highlight w:val="none"/>
          <w:lang w:val="en-US" w:eastAsia="zh-CN"/>
        </w:rPr>
        <w:t>3.2.2.1肉牛养殖的生产工艺及产污环节</w:t>
      </w:r>
    </w:p>
    <w:p w14:paraId="356B383B">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snapToGrid w:val="0"/>
          <w:color w:val="auto"/>
          <w:kern w:val="0"/>
          <w:sz w:val="24"/>
          <w:szCs w:val="24"/>
          <w:highlight w:val="none"/>
          <w:lang w:val="en-US" w:eastAsia="zh-CN" w:bidi="ar"/>
        </w:rPr>
        <w:t xml:space="preserve">本项目采用散栏饲养，不拴系，无固定床位，自由采食，自由饮水， </w:t>
      </w:r>
    </w:p>
    <w:p w14:paraId="4F648777">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b w:val="0"/>
          <w:bCs w:val="0"/>
          <w:snapToGrid w:val="0"/>
          <w:color w:val="auto"/>
          <w:kern w:val="0"/>
          <w:sz w:val="24"/>
          <w:szCs w:val="24"/>
          <w:highlight w:val="none"/>
          <w:lang w:val="en-US" w:eastAsia="zh-CN" w:bidi="ar"/>
        </w:rPr>
      </w:pPr>
      <w:r>
        <w:rPr>
          <w:rFonts w:hint="default" w:ascii="Times New Roman" w:hAnsi="Times New Roman" w:eastAsia="宋体" w:cs="Times New Roman"/>
          <w:b w:val="0"/>
          <w:bCs w:val="0"/>
          <w:snapToGrid w:val="0"/>
          <w:color w:val="auto"/>
          <w:kern w:val="0"/>
          <w:sz w:val="24"/>
          <w:szCs w:val="24"/>
          <w:highlight w:val="none"/>
          <w:lang w:val="en-US" w:eastAsia="zh-CN" w:bidi="ar"/>
        </w:rPr>
        <w:t>自由运动，采用TMR日粮相结合的饲养工艺。</w:t>
      </w:r>
    </w:p>
    <w:p w14:paraId="6E044B0D">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snapToGrid w:val="0"/>
          <w:color w:val="auto"/>
          <w:kern w:val="0"/>
          <w:sz w:val="24"/>
          <w:szCs w:val="24"/>
          <w:highlight w:val="none"/>
          <w:lang w:val="en-US" w:eastAsia="zh-CN" w:bidi="ar"/>
        </w:rPr>
        <w:t>肉牛育肥分为四个阶段，即进场适应期、育肥前期、育肥后期、肉质改善期，按各阶段中的重量相应达到的育肥目标，确定各期粗、精饲料、饲喂量，精粗饲料配比，饲料中蛋白质含量，以保证各阶段营养充分合理。</w:t>
      </w:r>
    </w:p>
    <w:p w14:paraId="329541DD">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b w:val="0"/>
          <w:bCs w:val="0"/>
          <w:snapToGrid w:val="0"/>
          <w:color w:val="auto"/>
          <w:kern w:val="0"/>
          <w:sz w:val="24"/>
          <w:szCs w:val="24"/>
          <w:highlight w:val="none"/>
          <w:lang w:val="en-US" w:eastAsia="zh-CN" w:bidi="ar"/>
        </w:rPr>
      </w:pPr>
      <w:r>
        <w:rPr>
          <w:rFonts w:hint="default" w:ascii="Times New Roman" w:hAnsi="Times New Roman" w:eastAsia="宋体" w:cs="Times New Roman"/>
          <w:b w:val="0"/>
          <w:bCs w:val="0"/>
          <w:snapToGrid w:val="0"/>
          <w:color w:val="auto"/>
          <w:kern w:val="0"/>
          <w:sz w:val="24"/>
          <w:szCs w:val="24"/>
          <w:highlight w:val="none"/>
          <w:lang w:val="en-US" w:eastAsia="zh-CN" w:bidi="ar"/>
        </w:rPr>
        <w:t>本项目肉牛的养殖采用垫草垫料工艺，指将稻壳、木屑、作物秸秆或其他原料以一定厚度平铺在畜禽养殖栏舍地面，畜禽在其上面生长、生活的养殖工艺。</w:t>
      </w:r>
    </w:p>
    <w:p w14:paraId="1FA013D5">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b w:val="0"/>
          <w:bCs w:val="0"/>
          <w:snapToGrid w:val="0"/>
          <w:color w:val="0000FF"/>
          <w:kern w:val="0"/>
          <w:sz w:val="24"/>
          <w:szCs w:val="24"/>
          <w:highlight w:val="none"/>
          <w:lang w:val="en-US" w:eastAsia="zh-CN" w:bidi="ar"/>
        </w:rPr>
      </w:pPr>
      <w:r>
        <w:rPr>
          <w:rFonts w:hint="default" w:ascii="Times New Roman" w:hAnsi="Times New Roman" w:eastAsia="宋体" w:cs="Times New Roman"/>
          <w:b w:val="0"/>
          <w:bCs w:val="0"/>
          <w:snapToGrid w:val="0"/>
          <w:color w:val="0000FF"/>
          <w:kern w:val="0"/>
          <w:sz w:val="24"/>
          <w:szCs w:val="24"/>
          <w:highlight w:val="none"/>
          <w:lang w:val="en-US" w:eastAsia="zh-CN" w:bidi="ar"/>
        </w:rPr>
        <w:t>其基本做法是在牛舍及运动场的地面上填入垫料，再将牛只放入牛舍，牛从小到大都生活在这种垫料上面，牛只排泄的粪尿被垫料中的微生物迅速降解、消化。</w:t>
      </w:r>
      <w:r>
        <w:rPr>
          <w:rFonts w:hint="eastAsia" w:ascii="Times New Roman" w:hAnsi="Times New Roman" w:eastAsia="宋体" w:cs="Times New Roman"/>
          <w:b w:val="0"/>
          <w:bCs w:val="0"/>
          <w:snapToGrid w:val="0"/>
          <w:color w:val="0000FF"/>
          <w:kern w:val="0"/>
          <w:sz w:val="24"/>
          <w:szCs w:val="24"/>
          <w:highlight w:val="none"/>
          <w:lang w:val="en-US" w:eastAsia="zh-CN" w:bidi="ar"/>
        </w:rPr>
        <w:t>牛只每天6:00-8:00在牛舍进行早餐，8:00-15:00在运动场放风运动。15：00-17:00进入牛舍再次进食。17:00-20:00在运动场进行餐后运动。20:00-次日6:00在牛舍休息其中24:00需要再次进食。</w:t>
      </w:r>
    </w:p>
    <w:p w14:paraId="2A2D21CB">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b w:val="0"/>
          <w:bCs w:val="0"/>
          <w:color w:val="0000FF"/>
          <w:sz w:val="24"/>
          <w:szCs w:val="24"/>
          <w:highlight w:val="none"/>
        </w:rPr>
      </w:pPr>
      <w:r>
        <w:rPr>
          <w:rFonts w:hint="default" w:ascii="Times New Roman" w:hAnsi="Times New Roman" w:eastAsia="宋体" w:cs="Times New Roman"/>
          <w:b w:val="0"/>
          <w:bCs w:val="0"/>
          <w:snapToGrid w:val="0"/>
          <w:color w:val="0000FF"/>
          <w:kern w:val="0"/>
          <w:sz w:val="24"/>
          <w:szCs w:val="24"/>
          <w:highlight w:val="none"/>
          <w:lang w:val="en-US" w:eastAsia="zh-CN" w:bidi="ar"/>
        </w:rPr>
        <w:t>在日常管理中，定期将垫料运至粪污储存间进行外售制肥。定期对牛舍进行消毒，无需对牛舍地面进行冲洗</w:t>
      </w:r>
    </w:p>
    <w:p w14:paraId="6A4161BD">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snapToGrid w:val="0"/>
          <w:color w:val="auto"/>
          <w:kern w:val="0"/>
          <w:sz w:val="24"/>
          <w:szCs w:val="24"/>
          <w:highlight w:val="none"/>
          <w:lang w:val="en-US" w:eastAsia="zh-CN" w:bidi="ar"/>
        </w:rPr>
        <w:t>牛只饲养过程中废气污染源主要为养殖区无组织排放恶臭气体(G1)；固体废物主要为养殖场</w:t>
      </w:r>
      <w:r>
        <w:rPr>
          <w:rFonts w:hint="default" w:ascii="Times New Roman" w:hAnsi="Times New Roman" w:eastAsia="宋体" w:cs="Times New Roman"/>
          <w:color w:val="auto"/>
          <w:sz w:val="24"/>
          <w:szCs w:val="24"/>
          <w:highlight w:val="none"/>
          <w:lang w:val="en-US" w:eastAsia="zh-CN"/>
        </w:rPr>
        <w:t>牛舍更换的发酵床垫料</w:t>
      </w:r>
      <w:r>
        <w:rPr>
          <w:rFonts w:hint="default" w:ascii="Times New Roman" w:hAnsi="Times New Roman" w:eastAsia="宋体" w:cs="Times New Roman"/>
          <w:b w:val="0"/>
          <w:bCs w:val="0"/>
          <w:snapToGrid w:val="0"/>
          <w:color w:val="auto"/>
          <w:kern w:val="0"/>
          <w:sz w:val="24"/>
          <w:szCs w:val="24"/>
          <w:highlight w:val="none"/>
          <w:lang w:val="en-US" w:eastAsia="zh-CN" w:bidi="ar"/>
        </w:rPr>
        <w:t>(S1)、病死牛只(S2)。项目采取喷洒除臭剂、改进饲料配方减少恶臭物质产生；运动场垫料由铲车清运至封闭的粪便运输车内，运输至粪污储存间，定期外售至有机肥厂；病死牛委托处理有资质单位处理。</w:t>
      </w:r>
    </w:p>
    <w:p w14:paraId="0FE00F38">
      <w:pPr>
        <w:keepNext w:val="0"/>
        <w:keepLines w:val="0"/>
        <w:widowControl/>
        <w:suppressLineNumbers w:val="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object>
          <v:shape id="_x0000_i1027" o:spt="75" type="#_x0000_t75" style="height:192.45pt;width:354.85pt;" o:ole="t" filled="f" o:preferrelative="t" stroked="f" coordsize="21600,21600">
            <v:path/>
            <v:fill on="f" focussize="0,0"/>
            <v:stroke on="f"/>
            <v:imagedata r:id="rId71" o:title=""/>
            <o:lock v:ext="edit" aspectratio="f"/>
            <w10:wrap type="none"/>
            <w10:anchorlock/>
          </v:shape>
          <o:OLEObject Type="Embed" ProgID="Visio.Drawing.11" ShapeID="_x0000_i1027" DrawAspect="Content" ObjectID="_1468075727" r:id="rId70">
            <o:LockedField>false</o:LockedField>
          </o:OLEObject>
        </w:object>
      </w:r>
    </w:p>
    <w:p w14:paraId="55C694D8">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lang w:val="en-US" w:eastAsia="zh-CN"/>
        </w:rPr>
        <w:t>图3.2-2 肉牛养殖的生产工艺及产物节点</w:t>
      </w:r>
    </w:p>
    <w:p w14:paraId="431DF3C3">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Times New Roman" w:cs="Times New Roman"/>
          <w:b/>
          <w:bCs/>
          <w:color w:val="auto"/>
          <w:spacing w:val="-1"/>
          <w:sz w:val="24"/>
          <w:szCs w:val="24"/>
          <w:highlight w:val="none"/>
          <w:lang w:val="en-US" w:eastAsia="zh-CN"/>
        </w:rPr>
      </w:pPr>
      <w:r>
        <w:rPr>
          <w:rFonts w:hint="default" w:ascii="Times New Roman" w:hAnsi="Times New Roman" w:eastAsia="Times New Roman" w:cs="Times New Roman"/>
          <w:b/>
          <w:bCs/>
          <w:color w:val="auto"/>
          <w:spacing w:val="-1"/>
          <w:sz w:val="24"/>
          <w:szCs w:val="24"/>
          <w:highlight w:val="none"/>
          <w:lang w:val="en-US" w:eastAsia="zh-CN"/>
        </w:rPr>
        <w:t>3.2.2.2母牛繁育过程及产污环节</w:t>
      </w:r>
    </w:p>
    <w:p w14:paraId="653C1475">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snapToGrid w:val="0"/>
          <w:color w:val="auto"/>
          <w:kern w:val="0"/>
          <w:sz w:val="24"/>
          <w:szCs w:val="24"/>
          <w:highlight w:val="none"/>
          <w:lang w:val="en-US" w:eastAsia="zh-CN" w:bidi="ar"/>
        </w:rPr>
      </w:pPr>
      <w:r>
        <w:rPr>
          <w:rFonts w:hint="default" w:ascii="Times New Roman" w:hAnsi="Times New Roman" w:eastAsia="宋体" w:cs="Times New Roman"/>
          <w:snapToGrid w:val="0"/>
          <w:color w:val="auto"/>
          <w:kern w:val="0"/>
          <w:sz w:val="24"/>
          <w:szCs w:val="24"/>
          <w:highlight w:val="none"/>
          <w:lang w:val="en-US" w:eastAsia="zh-CN" w:bidi="ar"/>
        </w:rPr>
        <w:t>分娩母牛在待产舍分娩7天后，新生犊牛从待产舍受哺全乳75-90天；90天后断奶，进入犊牛断奶饲养期就可进行饲喂。进入饲养期的犊牛按公母进行划分，公牛进入养殖区饲养育肥出栏销售，母牛留在母牛舍进行繁育；为保证母牛繁育质量，当犊牛中的母牛符合生育标准后，由技术人员对现有母牛进行筛查淘汰，淘汰的母牛出栏销售。</w:t>
      </w:r>
    </w:p>
    <w:p w14:paraId="42BC410F">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cs="Times New Roman"/>
          <w:color w:val="auto"/>
          <w:highlight w:val="none"/>
        </w:rPr>
      </w:pPr>
      <w:r>
        <w:rPr>
          <w:rFonts w:hint="default" w:ascii="Times New Roman" w:hAnsi="Times New Roman" w:eastAsia="宋体" w:cs="Times New Roman"/>
          <w:snapToGrid w:val="0"/>
          <w:color w:val="auto"/>
          <w:kern w:val="0"/>
          <w:sz w:val="24"/>
          <w:szCs w:val="24"/>
          <w:highlight w:val="none"/>
          <w:lang w:val="en-US" w:eastAsia="zh-CN" w:bidi="ar"/>
        </w:rPr>
        <w:t>本项目目前采用国内现代化母牛场通常采用的散栏式饲养方式饲养母牛，工艺流程如下：青年牛在18月龄时开始采用人工配种的方式开始第一次配种，配种成功后的9个月，将生育第一胎，从而正式成为泌乳牛。泌乳牛在生产后的第3个月，再次进行人工配种；并在生产前后21天成为围产牛，生育第二胎。随着母牛的成长，继续该繁育过程，直到生育第5胎后，完成最后一个产牛周期，并被淘汰。母牛繁殖的生产就是不断重复“配种</w:t>
      </w:r>
      <w:r>
        <w:rPr>
          <w:rFonts w:hint="eastAsia" w:ascii="Times New Roman" w:hAnsi="Times New Roman" w:eastAsia="宋体" w:cs="Times New Roman"/>
          <w:snapToGrid w:val="0"/>
          <w:color w:val="auto"/>
          <w:kern w:val="0"/>
          <w:sz w:val="24"/>
          <w:szCs w:val="24"/>
          <w:highlight w:val="none"/>
          <w:lang w:val="en-US" w:eastAsia="zh-CN" w:bidi="ar"/>
        </w:rPr>
        <w:t>-</w:t>
      </w:r>
      <w:r>
        <w:rPr>
          <w:rFonts w:hint="default" w:ascii="Times New Roman" w:hAnsi="Times New Roman" w:eastAsia="宋体" w:cs="Times New Roman"/>
          <w:snapToGrid w:val="0"/>
          <w:color w:val="auto"/>
          <w:kern w:val="0"/>
          <w:sz w:val="24"/>
          <w:szCs w:val="24"/>
          <w:highlight w:val="none"/>
          <w:lang w:val="en-US" w:eastAsia="zh-CN" w:bidi="ar"/>
        </w:rPr>
        <w:t>妊娠</w:t>
      </w:r>
      <w:r>
        <w:rPr>
          <w:rFonts w:hint="eastAsia" w:ascii="Times New Roman" w:hAnsi="Times New Roman" w:eastAsia="宋体" w:cs="Times New Roman"/>
          <w:snapToGrid w:val="0"/>
          <w:color w:val="auto"/>
          <w:kern w:val="0"/>
          <w:sz w:val="24"/>
          <w:szCs w:val="24"/>
          <w:highlight w:val="none"/>
          <w:lang w:val="en-US" w:eastAsia="zh-CN" w:bidi="ar"/>
        </w:rPr>
        <w:t>-</w:t>
      </w:r>
      <w:r>
        <w:rPr>
          <w:rFonts w:hint="default" w:ascii="Times New Roman" w:hAnsi="Times New Roman" w:eastAsia="宋体" w:cs="Times New Roman"/>
          <w:snapToGrid w:val="0"/>
          <w:color w:val="auto"/>
          <w:kern w:val="0"/>
          <w:sz w:val="24"/>
          <w:szCs w:val="24"/>
          <w:highlight w:val="none"/>
          <w:lang w:val="en-US" w:eastAsia="zh-CN" w:bidi="ar"/>
        </w:rPr>
        <w:t xml:space="preserve">产犊”的过程。 </w:t>
      </w:r>
    </w:p>
    <w:p w14:paraId="1C4E885E">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cs="Times New Roman"/>
          <w:color w:val="auto"/>
          <w:highlight w:val="none"/>
        </w:rPr>
      </w:pPr>
      <w:r>
        <w:rPr>
          <w:rFonts w:hint="default" w:ascii="Times New Roman" w:hAnsi="Times New Roman" w:eastAsia="宋体" w:cs="Times New Roman"/>
          <w:snapToGrid w:val="0"/>
          <w:color w:val="auto"/>
          <w:kern w:val="0"/>
          <w:sz w:val="24"/>
          <w:szCs w:val="24"/>
          <w:highlight w:val="none"/>
          <w:lang w:val="en-US" w:eastAsia="zh-CN" w:bidi="ar"/>
        </w:rPr>
        <w:t>采用全价混合日粮饲养一般按泌乳阶段分群，如按泌乳早期、泌乳中期、泌乳后期和干乳期分群。在产后70天以内的牛群分为泌乳早期组，此期日粮精料较多；产后70-140天为泌乳中期组，按平均产量和平均体重配料；产后140天至干乳期为泌乳后期组；干乳期母牛另成一组。根据不同牛群的营养需要，用饲料搅拌喂料车将不同比例的干草、青贮饲料、精料以及矿物质、维生素等各种添加剂混合，机械自动投喂给牛群、自由采食，另外用电脑饲喂器给高产母牛补喂精料，在牛舍和运动场设置饮水系统，自由饮水。</w:t>
      </w:r>
    </w:p>
    <w:p w14:paraId="2C7B6B02">
      <w:pPr>
        <w:keepNext w:val="0"/>
        <w:keepLines w:val="0"/>
        <w:widowControl/>
        <w:suppressLineNumbers w:val="0"/>
        <w:jc w:val="left"/>
        <w:rPr>
          <w:rFonts w:hint="default" w:ascii="Times New Roman" w:hAnsi="Times New Roman" w:cs="Times New Roman"/>
          <w:b w:val="0"/>
          <w:bCs w:val="0"/>
          <w:color w:val="auto"/>
          <w:highlight w:val="none"/>
        </w:rPr>
      </w:pPr>
      <w:r>
        <w:rPr>
          <w:rFonts w:hint="default" w:ascii="Times New Roman" w:hAnsi="Times New Roman" w:eastAsia="宋体" w:cs="Times New Roman"/>
          <w:b w:val="0"/>
          <w:bCs w:val="0"/>
          <w:snapToGrid w:val="0"/>
          <w:color w:val="auto"/>
          <w:kern w:val="0"/>
          <w:sz w:val="24"/>
          <w:szCs w:val="24"/>
          <w:highlight w:val="none"/>
          <w:lang w:val="en-US" w:eastAsia="zh-CN" w:bidi="ar"/>
        </w:rPr>
        <w:t>母牛繁育过程中污染源主要为繁育过程产生的分娩废物(S3)；</w:t>
      </w:r>
    </w:p>
    <w:p w14:paraId="396CB147">
      <w:pPr>
        <w:keepNext w:val="0"/>
        <w:keepLines w:val="0"/>
        <w:widowControl/>
        <w:suppressLineNumbers w:val="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object>
          <v:shape id="_x0000_i1028" o:spt="75" type="#_x0000_t75" style="height:147.65pt;width:346.75pt;" o:ole="t" filled="f" o:preferrelative="t" stroked="f" coordsize="21600,21600">
            <v:path/>
            <v:fill on="f" focussize="0,0"/>
            <v:stroke on="f"/>
            <v:imagedata r:id="rId73" o:title=""/>
            <o:lock v:ext="edit" aspectratio="f"/>
            <w10:wrap type="none"/>
            <w10:anchorlock/>
          </v:shape>
          <o:OLEObject Type="Embed" ProgID="Visio.Drawing.11" ShapeID="_x0000_i1028" DrawAspect="Content" ObjectID="_1468075728" r:id="rId72">
            <o:LockedField>false</o:LockedField>
          </o:OLEObject>
        </w:object>
      </w:r>
    </w:p>
    <w:p w14:paraId="6ADE6D0B">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lang w:val="en-US" w:eastAsia="zh-CN"/>
        </w:rPr>
        <w:t>图3.2-3 母牛繁殖的生产工艺及产物节点</w:t>
      </w:r>
    </w:p>
    <w:p w14:paraId="3677BB7C">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Times New Roman" w:cs="Times New Roman"/>
          <w:b/>
          <w:bCs/>
          <w:color w:val="auto"/>
          <w:spacing w:val="-1"/>
          <w:sz w:val="24"/>
          <w:szCs w:val="24"/>
          <w:highlight w:val="none"/>
          <w:lang w:val="en-US" w:eastAsia="zh-CN"/>
        </w:rPr>
      </w:pPr>
      <w:r>
        <w:rPr>
          <w:rFonts w:hint="default" w:ascii="Times New Roman" w:hAnsi="Times New Roman" w:eastAsia="Times New Roman" w:cs="Times New Roman"/>
          <w:b/>
          <w:bCs/>
          <w:color w:val="auto"/>
          <w:spacing w:val="-1"/>
          <w:sz w:val="24"/>
          <w:szCs w:val="24"/>
          <w:highlight w:val="none"/>
          <w:lang w:val="en-US" w:eastAsia="zh-CN"/>
        </w:rPr>
        <w:t>3.2.2.3粪污处理工艺</w:t>
      </w:r>
    </w:p>
    <w:p w14:paraId="5719D711">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rPr>
      </w:pPr>
      <w:r>
        <w:rPr>
          <w:rFonts w:hint="default" w:ascii="Times New Roman" w:hAnsi="Times New Roman" w:eastAsia="宋体" w:cs="Times New Roman"/>
          <w:color w:val="auto"/>
          <w:spacing w:val="-4"/>
          <w:sz w:val="24"/>
          <w:szCs w:val="24"/>
          <w:highlight w:val="none"/>
        </w:rPr>
        <w:t>本项目牛舍区拟采用干撒式发酵床工艺，其采用的干撒式发酵床发酵菌剂可将牛尿、牛粪一部分降解为水蒸气和二氧化碳，另一部分转化为粗蛋白、菌体蛋白和维生素等营养物质。从源头上消除了粪尿对生态环境的污染。</w:t>
      </w:r>
    </w:p>
    <w:p w14:paraId="199DDE4C">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（1）工艺原理</w:t>
      </w:r>
    </w:p>
    <w:p w14:paraId="487BC401">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FF0000"/>
          <w:spacing w:val="-4"/>
          <w:sz w:val="24"/>
          <w:szCs w:val="24"/>
          <w:highlight w:val="none"/>
          <w:lang w:val="en-US" w:eastAsia="zh-CN"/>
        </w:rPr>
      </w:pPr>
      <w:r>
        <w:rPr>
          <w:rFonts w:hint="default" w:ascii="Times New Roman" w:hAnsi="Times New Roman" w:eastAsia="宋体" w:cs="Times New Roman"/>
          <w:color w:val="FF0000"/>
          <w:spacing w:val="-4"/>
          <w:sz w:val="24"/>
          <w:szCs w:val="24"/>
          <w:highlight w:val="none"/>
          <w:lang w:val="en-US" w:eastAsia="zh-CN"/>
        </w:rPr>
        <w:t>在圈舍内均匀铺撒干撒式发酵床发酵菌剂与锯末混匀垫料，总厚度约60公分，牛入床拉粪尿后，再通过人工把牛粪埋到15公分以下，一般从第2～3天开始启动升温，3～7天功能微生物经过活化定殖后，呈几何级数大量繁殖(24小时理论繁殖数量可达272个)，利用牛粪尿等作营养源，将垫料混合物逐渐升温发酵，中心发酵层温度可达35-45℃或更高，表层温度无论冬夏，长期稳定在二十几度，基本形成恒温床。下层发酵完成后，锯末等垫料物会因发酵碳化，颜色逐渐变深变黑，可分批清运出舍，牛舍更换的发酵床垫料暂存于粪污储存间，定期外售至有机肥厂</w:t>
      </w:r>
      <w:r>
        <w:rPr>
          <w:rFonts w:hint="eastAsia" w:ascii="Times New Roman" w:hAnsi="Times New Roman" w:eastAsia="宋体" w:cs="Times New Roman"/>
          <w:color w:val="FF0000"/>
          <w:spacing w:val="-4"/>
          <w:sz w:val="24"/>
          <w:szCs w:val="24"/>
          <w:highlight w:val="none"/>
          <w:lang w:val="en-US" w:eastAsia="zh-CN"/>
        </w:rPr>
        <w:t>。</w:t>
      </w:r>
    </w:p>
    <w:p w14:paraId="46768225">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（2）工艺优点</w:t>
      </w:r>
    </w:p>
    <w:p w14:paraId="03879DA4">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①除臭环保。牛粪尿在功能菌的作用下，一部分降解为无臭气体被排放掉，例如：水蒸气和二氧化碳；另一部分转化为粗蛋白、菌体蛋白和维生素等营养物质。从源头上消除了粪尿对生态环境的污染，使圈舍无臭味，达到零排放。</w:t>
      </w:r>
    </w:p>
    <w:p w14:paraId="4A9AF76C">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②节能省粮。干撒式发酵床发酵菌剂发酵产生的热量，不管冬夏表层温度均保持在20几度，能节省煤电一半以上。粪尿及垫料在有益菌的作用下，降解形成菌体蛋白及多种有益物质被动物食入，废物循环利用，可节省部分饲料。</w:t>
      </w:r>
    </w:p>
    <w:p w14:paraId="792EA898">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③抗病促长。发酵床垫料通过物理吸附、化学中</w:t>
      </w:r>
      <w:r>
        <w:rPr>
          <w:rFonts w:hint="eastAsia" w:ascii="Times New Roman" w:hAnsi="Times New Roman" w:eastAsia="宋体" w:cs="Times New Roman"/>
          <w:color w:val="auto"/>
          <w:spacing w:val="-4"/>
          <w:sz w:val="24"/>
          <w:szCs w:val="24"/>
          <w:highlight w:val="none"/>
          <w:lang w:val="en-US" w:eastAsia="zh-CN"/>
        </w:rPr>
        <w:t>以及</w:t>
      </w:r>
      <w:r>
        <w:rPr>
          <w:rFonts w:hint="default" w:ascii="Times New Roman" w:hAnsi="Times New Roman" w:eastAsia="宋体" w:cs="Times New Roman"/>
          <w:color w:val="auto"/>
          <w:spacing w:val="-4"/>
          <w:sz w:val="24"/>
          <w:szCs w:val="24"/>
          <w:highlight w:val="none"/>
          <w:lang w:val="en-US" w:eastAsia="zh-CN"/>
        </w:rPr>
        <w:t>发酵过程的生物化学作用消除了粪尿中的臭味物质，牛长期生活在大量的有益菌环境中，而且圈舍内环境清新，明显提高牛的抗病能力，很少生病，还能提前出栏。</w:t>
      </w:r>
    </w:p>
    <w:p w14:paraId="251C6872">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④节水省工。干撒式发酵床养殖不用清粪，也不用冲圈，可节水90%以上，原来三人干的活，现在一个人就能轻松完成。</w:t>
      </w:r>
    </w:p>
    <w:p w14:paraId="540099CA">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⑤提高品质。干撒式发酵床养殖用药少，或几乎不用药，可大幅减少甚至消除药物残留，使肉品质更优、口感更好，售价也更高。</w:t>
      </w:r>
    </w:p>
    <w:p w14:paraId="5490F1A5">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（3）维护管理</w:t>
      </w:r>
    </w:p>
    <w:p w14:paraId="39CC5581">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发酵床的日常维护主要包括：通风、粪尿与垫料混合、垫料的翻动以及垫料的补充等。</w:t>
      </w:r>
    </w:p>
    <w:p w14:paraId="0B88A895">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①通风。第一，是靠门窗的水平通风，第二，利用天窗、地窗形成的循环气流通风。</w:t>
      </w:r>
    </w:p>
    <w:p w14:paraId="45C29F55">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②粪尿与垫料的混合。将集中的牛粪撒开与垫料进行及时混合。</w:t>
      </w:r>
    </w:p>
    <w:p w14:paraId="7C142A3E">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③发酵床垫料的翻动。一般我们根据动物体粪尿量和多少来确定翻倒的时间。一般情况下一周翻倒1-2次。其他，要根据实际情况进行维护。</w:t>
      </w:r>
    </w:p>
    <w:p w14:paraId="4F688E60">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④垫料的消耗与补充。发酵床运行一段时间，由于垫料的启动发酵以及牛的食入、踩踏等，垫料会消耗一部分，这样就需要补充适当的菌种和垫料。本项目一般情况下，一年添加一次菌种，几个月补充一部分垫料，始终坚持一个原则就是：牛的发酵床垫料不能明显低于60公分。</w:t>
      </w:r>
    </w:p>
    <w:p w14:paraId="125196AF">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4"/>
          <w:sz w:val="24"/>
          <w:szCs w:val="24"/>
          <w:highlight w:val="none"/>
          <w:lang w:val="en-US" w:eastAsia="zh-CN"/>
        </w:rPr>
      </w:pPr>
      <w:r>
        <w:rPr>
          <w:rFonts w:hint="default" w:ascii="Times New Roman" w:hAnsi="Times New Roman" w:eastAsia="宋体" w:cs="Times New Roman"/>
          <w:color w:val="auto"/>
          <w:spacing w:val="-4"/>
          <w:sz w:val="24"/>
          <w:szCs w:val="24"/>
          <w:highlight w:val="none"/>
          <w:lang w:val="en-US" w:eastAsia="zh-CN"/>
        </w:rPr>
        <w:t>干撒式发酵床发酵菌剂补充垫料的方式有三种，即：集中补充、定期补充和随时补充。集中补充就是在一个批次的动物出栏或转圈后一次补齐消耗的垫料；定期补充就是每间隔一定时间补充一次，如间隔两个月左右；随时补充：则是视圈内垫料的情况，如部分区域粪尿集中、垫料过湿，随时将新垫料铺到必要的地方。根据垫料来确定补充的菌种量。</w:t>
      </w:r>
    </w:p>
    <w:p w14:paraId="78C9DB56">
      <w:pPr>
        <w:pStyle w:val="11"/>
        <w:jc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object>
          <v:shape id="_x0000_i1029" o:spt="75" type="#_x0000_t75" style="height:108.85pt;width:322.8pt;" o:ole="t" filled="f" o:preferrelative="t" stroked="f" coordsize="21600,21600">
            <v:path/>
            <v:fill on="f" focussize="0,0"/>
            <v:stroke on="f"/>
            <v:imagedata r:id="rId75" o:title=""/>
            <o:lock v:ext="edit" aspectratio="f"/>
            <w10:wrap type="none"/>
            <w10:anchorlock/>
          </v:shape>
          <o:OLEObject Type="Embed" ProgID="Visio.Drawing.11" ShapeID="_x0000_i1029" DrawAspect="Content" ObjectID="_1468075729" r:id="rId74">
            <o:LockedField>false</o:LockedField>
          </o:OLEObject>
        </w:object>
      </w:r>
    </w:p>
    <w:p w14:paraId="54C32E5B">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lang w:val="en-US" w:eastAsia="zh-CN"/>
        </w:rPr>
        <w:t>图3.2-4 粪污处理工艺及产物节点</w:t>
      </w:r>
    </w:p>
    <w:p w14:paraId="610A45F6">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1"/>
        <w:rPr>
          <w:rFonts w:hint="default" w:ascii="Times New Roman" w:hAnsi="Times New Roman" w:eastAsia="Times New Roman" w:cs="Times New Roman"/>
          <w:b/>
          <w:bCs/>
          <w:color w:val="auto"/>
          <w:spacing w:val="-5"/>
          <w:sz w:val="28"/>
          <w:szCs w:val="28"/>
          <w:highlight w:val="none"/>
          <w:lang w:val="en-US" w:eastAsia="zh-CN"/>
        </w:rPr>
      </w:pPr>
      <w:bookmarkStart w:id="120" w:name="_Toc26547"/>
      <w:bookmarkStart w:id="121" w:name="_Toc28870"/>
      <w:bookmarkStart w:id="122" w:name="_Toc32618"/>
      <w:r>
        <w:rPr>
          <w:rFonts w:hint="default" w:ascii="Times New Roman" w:hAnsi="Times New Roman" w:eastAsia="Times New Roman" w:cs="Times New Roman"/>
          <w:b/>
          <w:bCs/>
          <w:color w:val="auto"/>
          <w:spacing w:val="-5"/>
          <w:sz w:val="28"/>
          <w:szCs w:val="28"/>
          <w:highlight w:val="none"/>
        </w:rPr>
        <w:t>3.</w:t>
      </w:r>
      <w:r>
        <w:rPr>
          <w:rFonts w:hint="default" w:ascii="Times New Roman" w:hAnsi="Times New Roman" w:eastAsia="Times New Roman" w:cs="Times New Roman"/>
          <w:b/>
          <w:bCs/>
          <w:color w:val="auto"/>
          <w:spacing w:val="-5"/>
          <w:sz w:val="28"/>
          <w:szCs w:val="28"/>
          <w:highlight w:val="none"/>
          <w:lang w:val="en-US" w:eastAsia="zh-CN"/>
        </w:rPr>
        <w:t>3</w:t>
      </w:r>
      <w:r>
        <w:rPr>
          <w:rFonts w:hint="default" w:ascii="Times New Roman" w:hAnsi="Times New Roman" w:eastAsia="Times New Roman" w:cs="Times New Roman"/>
          <w:b/>
          <w:bCs/>
          <w:color w:val="auto"/>
          <w:spacing w:val="-5"/>
          <w:sz w:val="28"/>
          <w:szCs w:val="28"/>
          <w:highlight w:val="none"/>
        </w:rPr>
        <w:t>本项目生产工艺及产污环节源强分析</w:t>
      </w:r>
      <w:bookmarkEnd w:id="120"/>
    </w:p>
    <w:p w14:paraId="2A71B975">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23" w:name="_Toc23196"/>
      <w:r>
        <w:rPr>
          <w:rFonts w:hint="default" w:ascii="Times New Roman" w:hAnsi="Times New Roman" w:eastAsia="宋体" w:cs="Times New Roman"/>
          <w:b/>
          <w:bCs/>
          <w:color w:val="auto"/>
          <w:spacing w:val="-2"/>
          <w:sz w:val="24"/>
          <w:szCs w:val="24"/>
          <w:highlight w:val="none"/>
          <w:lang w:val="en-US" w:eastAsia="zh-CN"/>
        </w:rPr>
        <w:t>3.3.1施工期工程分析</w:t>
      </w:r>
      <w:bookmarkEnd w:id="121"/>
      <w:bookmarkEnd w:id="122"/>
      <w:r>
        <w:rPr>
          <w:rFonts w:hint="default" w:ascii="Times New Roman" w:hAnsi="Times New Roman" w:eastAsia="宋体" w:cs="Times New Roman"/>
          <w:b/>
          <w:bCs/>
          <w:color w:val="auto"/>
          <w:spacing w:val="-2"/>
          <w:sz w:val="24"/>
          <w:szCs w:val="24"/>
          <w:highlight w:val="none"/>
          <w:lang w:val="en-US" w:eastAsia="zh-CN"/>
        </w:rPr>
        <w:t>污染源及源强分析</w:t>
      </w:r>
      <w:bookmarkEnd w:id="123"/>
    </w:p>
    <w:p w14:paraId="55D27F93">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4"/>
          <w:sz w:val="24"/>
          <w:szCs w:val="24"/>
          <w:highlight w:val="none"/>
        </w:rPr>
        <w:t>施工内容包括场地平整，土建，附属设施的建设以及设备安装等场地内施工，施</w:t>
      </w:r>
      <w:r>
        <w:rPr>
          <w:rFonts w:hint="default" w:ascii="Times New Roman" w:hAnsi="Times New Roman" w:eastAsia="宋体" w:cs="Times New Roman"/>
          <w:color w:val="auto"/>
          <w:spacing w:val="-3"/>
          <w:sz w:val="24"/>
          <w:szCs w:val="24"/>
          <w:highlight w:val="none"/>
        </w:rPr>
        <w:t>工过程中主要用到的施工方法有：基础构造柱和圈梁</w:t>
      </w:r>
      <w:r>
        <w:rPr>
          <w:rFonts w:hint="default" w:ascii="Times New Roman" w:hAnsi="Times New Roman" w:eastAsia="宋体" w:cs="Times New Roman"/>
          <w:color w:val="auto"/>
          <w:spacing w:val="-4"/>
          <w:sz w:val="24"/>
          <w:szCs w:val="24"/>
          <w:highlight w:val="none"/>
        </w:rPr>
        <w:t>、施工材料的装运等。所用到的</w:t>
      </w:r>
      <w:r>
        <w:rPr>
          <w:rFonts w:hint="default" w:ascii="Times New Roman" w:hAnsi="Times New Roman" w:eastAsia="宋体" w:cs="Times New Roman"/>
          <w:color w:val="auto"/>
          <w:spacing w:val="-3"/>
          <w:sz w:val="24"/>
          <w:szCs w:val="24"/>
          <w:highlight w:val="none"/>
        </w:rPr>
        <w:t>施工机械主要有：推土机、挖掘机、载重汽车、振捣器和</w:t>
      </w:r>
      <w:r>
        <w:rPr>
          <w:rFonts w:hint="default" w:ascii="Times New Roman" w:hAnsi="Times New Roman" w:eastAsia="宋体" w:cs="Times New Roman"/>
          <w:color w:val="auto"/>
          <w:spacing w:val="-4"/>
          <w:sz w:val="24"/>
          <w:szCs w:val="24"/>
          <w:highlight w:val="none"/>
        </w:rPr>
        <w:t>塔吊等。该项目施工期间会</w:t>
      </w:r>
      <w:r>
        <w:rPr>
          <w:rFonts w:hint="default" w:ascii="Times New Roman" w:hAnsi="Times New Roman" w:eastAsia="宋体" w:cs="Times New Roman"/>
          <w:color w:val="auto"/>
          <w:spacing w:val="-3"/>
          <w:sz w:val="24"/>
          <w:szCs w:val="24"/>
          <w:highlight w:val="none"/>
        </w:rPr>
        <w:t>对环境造成一定影响，主要表现在以下几个方面：</w:t>
      </w:r>
    </w:p>
    <w:p w14:paraId="3C23F57B">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）场地平整、各类建材及土石方进出施工</w:t>
      </w:r>
      <w:r>
        <w:rPr>
          <w:rFonts w:hint="default" w:ascii="Times New Roman" w:hAnsi="Times New Roman" w:eastAsia="宋体" w:cs="Times New Roman"/>
          <w:color w:val="auto"/>
          <w:spacing w:val="-3"/>
          <w:sz w:val="24"/>
          <w:szCs w:val="24"/>
          <w:highlight w:val="none"/>
        </w:rPr>
        <w:t>现场带来的扬尘影响；</w:t>
      </w:r>
    </w:p>
    <w:p w14:paraId="514093EA">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）施工人员生活污水排放对环境造成的</w:t>
      </w:r>
      <w:r>
        <w:rPr>
          <w:rFonts w:hint="default" w:ascii="Times New Roman" w:hAnsi="Times New Roman" w:eastAsia="宋体" w:cs="Times New Roman"/>
          <w:color w:val="auto"/>
          <w:spacing w:val="-4"/>
          <w:sz w:val="24"/>
          <w:szCs w:val="24"/>
          <w:highlight w:val="none"/>
        </w:rPr>
        <w:t>影响；</w:t>
      </w:r>
    </w:p>
    <w:p w14:paraId="20350391">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）各类建筑机械噪声对周围声环境造成一定影响。</w:t>
      </w:r>
    </w:p>
    <w:p w14:paraId="5D1AC9B1">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4</w:t>
      </w:r>
      <w:r>
        <w:rPr>
          <w:rFonts w:hint="default" w:ascii="Times New Roman" w:hAnsi="Times New Roman" w:eastAsia="宋体" w:cs="Times New Roman"/>
          <w:color w:val="auto"/>
          <w:sz w:val="24"/>
          <w:szCs w:val="24"/>
          <w:highlight w:val="none"/>
        </w:rPr>
        <w:t>）因土方开挖而造成土方增加和建筑过程中产生的</w:t>
      </w:r>
      <w:r>
        <w:rPr>
          <w:rFonts w:hint="default" w:ascii="Times New Roman" w:hAnsi="Times New Roman" w:eastAsia="宋体" w:cs="Times New Roman"/>
          <w:color w:val="auto"/>
          <w:spacing w:val="-1"/>
          <w:sz w:val="24"/>
          <w:szCs w:val="24"/>
          <w:highlight w:val="none"/>
        </w:rPr>
        <w:t>建筑垃圾对环境造成的影</w:t>
      </w:r>
      <w:r>
        <w:rPr>
          <w:rFonts w:hint="default" w:ascii="Times New Roman" w:hAnsi="Times New Roman" w:eastAsia="宋体" w:cs="Times New Roman"/>
          <w:color w:val="auto"/>
          <w:spacing w:val="-14"/>
          <w:sz w:val="24"/>
          <w:szCs w:val="24"/>
          <w:highlight w:val="none"/>
        </w:rPr>
        <w:t>响。</w:t>
      </w:r>
    </w:p>
    <w:p w14:paraId="4C1FA975">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3.</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Times New Roman"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1</w:t>
      </w:r>
      <w:r>
        <w:rPr>
          <w:rFonts w:hint="default" w:ascii="Times New Roman" w:hAnsi="Times New Roman" w:eastAsia="Times New Roman" w:cs="Times New Roman"/>
          <w:b/>
          <w:bCs/>
          <w:color w:val="auto"/>
          <w:spacing w:val="-1"/>
          <w:sz w:val="24"/>
          <w:szCs w:val="24"/>
          <w:highlight w:val="none"/>
        </w:rPr>
        <w:t>.1</w:t>
      </w:r>
      <w:r>
        <w:rPr>
          <w:rFonts w:hint="default" w:ascii="Times New Roman" w:hAnsi="Times New Roman" w:eastAsia="宋体" w:cs="Times New Roman"/>
          <w:b/>
          <w:bCs/>
          <w:color w:val="auto"/>
          <w:spacing w:val="-1"/>
          <w:sz w:val="24"/>
          <w:szCs w:val="24"/>
          <w:highlight w:val="none"/>
        </w:rPr>
        <w:t>施工废水</w:t>
      </w:r>
    </w:p>
    <w:p w14:paraId="00D51BA0">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当建设施工队伍进入施工现场进行砂、石子冲洗和搅拌浇注混凝土等施工作业过</w:t>
      </w:r>
      <w:r>
        <w:rPr>
          <w:rFonts w:hint="default" w:ascii="Times New Roman" w:hAnsi="Times New Roman" w:eastAsia="宋体" w:cs="Times New Roman"/>
          <w:color w:val="auto"/>
          <w:spacing w:val="-1"/>
          <w:sz w:val="24"/>
          <w:szCs w:val="24"/>
          <w:highlight w:val="none"/>
        </w:rPr>
        <w:t>程中将会有施工泥浆废水产生，产生量较少，污染物主要为</w:t>
      </w:r>
      <w:r>
        <w:rPr>
          <w:rFonts w:hint="default" w:ascii="Times New Roman" w:hAnsi="Times New Roman" w:eastAsia="Times New Roman" w:cs="Times New Roman"/>
          <w:color w:val="auto"/>
          <w:spacing w:val="-1"/>
          <w:sz w:val="24"/>
          <w:szCs w:val="24"/>
          <w:highlight w:val="none"/>
        </w:rPr>
        <w:t>SS</w:t>
      </w:r>
      <w:r>
        <w:rPr>
          <w:rFonts w:hint="default" w:ascii="Times New Roman" w:hAnsi="Times New Roman" w:eastAsia="宋体" w:cs="Times New Roman"/>
          <w:color w:val="auto"/>
          <w:spacing w:val="-1"/>
          <w:sz w:val="24"/>
          <w:szCs w:val="24"/>
          <w:highlight w:val="none"/>
        </w:rPr>
        <w:t>。本项目设防渗旱厕</w:t>
      </w:r>
      <w:r>
        <w:rPr>
          <w:rFonts w:hint="default" w:ascii="Times New Roman" w:hAnsi="Times New Roman" w:eastAsia="宋体" w:cs="Times New Roman"/>
          <w:color w:val="auto"/>
          <w:spacing w:val="-3"/>
          <w:sz w:val="24"/>
          <w:szCs w:val="24"/>
          <w:highlight w:val="none"/>
        </w:rPr>
        <w:t>供施工人员使用，定期由农户清掏沤肥。</w:t>
      </w:r>
    </w:p>
    <w:p w14:paraId="566D758B">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3.</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Times New Roman"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1</w:t>
      </w:r>
      <w:r>
        <w:rPr>
          <w:rFonts w:hint="default" w:ascii="Times New Roman" w:hAnsi="Times New Roman" w:eastAsia="Times New Roman"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2</w:t>
      </w:r>
      <w:r>
        <w:rPr>
          <w:rFonts w:hint="default" w:ascii="Times New Roman" w:hAnsi="Times New Roman" w:eastAsia="宋体" w:cs="Times New Roman"/>
          <w:b/>
          <w:bCs/>
          <w:color w:val="auto"/>
          <w:spacing w:val="-1"/>
          <w:sz w:val="24"/>
          <w:szCs w:val="24"/>
          <w:highlight w:val="none"/>
        </w:rPr>
        <w:t>施工扬尘</w:t>
      </w:r>
    </w:p>
    <w:p w14:paraId="241B3477">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施工期的大气污染物主要是地面扬尘污染，污染因子为</w:t>
      </w:r>
      <w:r>
        <w:rPr>
          <w:rFonts w:hint="default" w:ascii="Times New Roman" w:hAnsi="Times New Roman" w:eastAsia="Times New Roman" w:cs="Times New Roman"/>
          <w:color w:val="auto"/>
          <w:spacing w:val="-1"/>
          <w:sz w:val="24"/>
          <w:szCs w:val="24"/>
          <w:highlight w:val="none"/>
        </w:rPr>
        <w:t>TSP</w:t>
      </w:r>
      <w:r>
        <w:rPr>
          <w:rFonts w:hint="default" w:ascii="Times New Roman" w:hAnsi="Times New Roman" w:eastAsia="宋体" w:cs="Times New Roman"/>
          <w:color w:val="auto"/>
          <w:spacing w:val="-1"/>
          <w:sz w:val="24"/>
          <w:szCs w:val="24"/>
          <w:highlight w:val="none"/>
        </w:rPr>
        <w:t>。</w:t>
      </w:r>
    </w:p>
    <w:p w14:paraId="55D8798B">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施工产生的地面扬尘主要来自三个方面，一是来自土方的挖掘扬尘及现场堆放扬</w:t>
      </w:r>
      <w:r>
        <w:rPr>
          <w:rFonts w:hint="default" w:ascii="Times New Roman" w:hAnsi="Times New Roman" w:eastAsia="宋体" w:cs="Times New Roman"/>
          <w:color w:val="auto"/>
          <w:spacing w:val="-7"/>
          <w:sz w:val="24"/>
          <w:szCs w:val="24"/>
          <w:highlight w:val="none"/>
        </w:rPr>
        <w:t>尘；二是来自建筑材料包括白灰、水泥、沙子等搬运和搅拌扬尘；三是来自来往运输</w:t>
      </w:r>
      <w:r>
        <w:rPr>
          <w:rFonts w:hint="default" w:ascii="Times New Roman" w:hAnsi="Times New Roman" w:eastAsia="宋体" w:cs="Times New Roman"/>
          <w:color w:val="auto"/>
          <w:spacing w:val="-5"/>
          <w:sz w:val="24"/>
          <w:szCs w:val="24"/>
          <w:highlight w:val="none"/>
        </w:rPr>
        <w:t>车辆引起的二次扬尘。</w:t>
      </w:r>
    </w:p>
    <w:p w14:paraId="4EB7EB0B">
      <w:pPr>
        <w:keepNext w:val="0"/>
        <w:keepLines w:val="0"/>
        <w:pageBreakBefore w:val="0"/>
        <w:kinsoku/>
        <w:wordWrap w:val="0"/>
        <w:overflowPunct/>
        <w:topLinePunct/>
        <w:autoSpaceDE/>
        <w:autoSpaceDN/>
        <w:bidi w:val="0"/>
        <w:adjustRightInd w:val="0"/>
        <w:snapToGrid w:val="0"/>
        <w:spacing w:line="234" w:lineRule="auto"/>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3.</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Times New Roman"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1</w:t>
      </w:r>
      <w:r>
        <w:rPr>
          <w:rFonts w:hint="default" w:ascii="Times New Roman" w:hAnsi="Times New Roman" w:eastAsia="Times New Roman"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宋体" w:cs="Times New Roman"/>
          <w:b/>
          <w:bCs/>
          <w:color w:val="auto"/>
          <w:spacing w:val="-1"/>
          <w:sz w:val="24"/>
          <w:szCs w:val="24"/>
          <w:highlight w:val="none"/>
        </w:rPr>
        <w:t>施工噪声</w:t>
      </w:r>
    </w:p>
    <w:p w14:paraId="302F3C70">
      <w:pPr>
        <w:keepNext w:val="0"/>
        <w:keepLines w:val="0"/>
        <w:pageBreakBefore w:val="0"/>
        <w:kinsoku/>
        <w:wordWrap w:val="0"/>
        <w:overflowPunct/>
        <w:topLinePunct/>
        <w:autoSpaceDE/>
        <w:autoSpaceDN/>
        <w:bidi w:val="0"/>
        <w:adjustRightInd w:val="0"/>
        <w:snapToGrid w:val="0"/>
        <w:spacing w:before="164" w:line="359" w:lineRule="auto"/>
        <w:ind w:left="4" w:right="5" w:firstLine="479"/>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施工期的噪声主要可分为机械噪声、施工作业噪声和施工车辆噪声等。主要施工</w:t>
      </w:r>
      <w:r>
        <w:rPr>
          <w:rFonts w:hint="default" w:ascii="Times New Roman" w:hAnsi="Times New Roman" w:eastAsia="宋体" w:cs="Times New Roman"/>
          <w:color w:val="auto"/>
          <w:spacing w:val="-2"/>
          <w:sz w:val="24"/>
          <w:szCs w:val="24"/>
          <w:highlight w:val="none"/>
        </w:rPr>
        <w:t>机械的噪声源强见表</w:t>
      </w:r>
      <w:r>
        <w:rPr>
          <w:rFonts w:hint="default" w:ascii="Times New Roman" w:hAnsi="Times New Roman" w:eastAsia="Times New Roman" w:cs="Times New Roman"/>
          <w:color w:val="auto"/>
          <w:spacing w:val="-2"/>
          <w:sz w:val="24"/>
          <w:szCs w:val="24"/>
          <w:highlight w:val="none"/>
        </w:rPr>
        <w:t>3.2-1</w:t>
      </w:r>
      <w:r>
        <w:rPr>
          <w:rFonts w:hint="default" w:ascii="Times New Roman" w:hAnsi="Times New Roman" w:eastAsia="宋体" w:cs="Times New Roman"/>
          <w:color w:val="auto"/>
          <w:spacing w:val="-2"/>
          <w:sz w:val="24"/>
          <w:szCs w:val="24"/>
          <w:highlight w:val="none"/>
        </w:rPr>
        <w:t>。</w:t>
      </w:r>
    </w:p>
    <w:p w14:paraId="62197B8C">
      <w:pPr>
        <w:keepNext w:val="0"/>
        <w:keepLines w:val="0"/>
        <w:pageBreakBefore w:val="0"/>
        <w:kinsoku/>
        <w:wordWrap w:val="0"/>
        <w:overflowPunct/>
        <w:topLinePunct/>
        <w:autoSpaceDE/>
        <w:autoSpaceDN/>
        <w:bidi w:val="0"/>
        <w:adjustRightInd w:val="0"/>
        <w:snapToGrid w:val="0"/>
        <w:spacing w:before="2" w:line="348" w:lineRule="auto"/>
        <w:ind w:left="15" w:firstLine="468"/>
        <w:textAlignment w:val="baseline"/>
        <w:rPr>
          <w:rFonts w:hint="default" w:ascii="Times New Roman" w:hAnsi="Times New Roman" w:eastAsia="宋体" w:cs="Times New Roman"/>
          <w:color w:val="auto"/>
          <w:spacing w:val="-2"/>
          <w:sz w:val="24"/>
          <w:szCs w:val="24"/>
          <w:highlight w:val="none"/>
        </w:rPr>
      </w:pPr>
      <w:r>
        <w:rPr>
          <w:rFonts w:hint="default" w:ascii="Times New Roman" w:hAnsi="Times New Roman" w:eastAsia="宋体" w:cs="Times New Roman"/>
          <w:color w:val="auto"/>
          <w:spacing w:val="1"/>
          <w:sz w:val="24"/>
          <w:szCs w:val="24"/>
          <w:highlight w:val="none"/>
        </w:rPr>
        <w:t>施工作业噪声各个阶段的主要噪声源都不大一样，各个阶段</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土石方阶段、基础</w:t>
      </w:r>
      <w:r>
        <w:rPr>
          <w:rFonts w:hint="default" w:ascii="Times New Roman" w:hAnsi="Times New Roman" w:eastAsia="宋体" w:cs="Times New Roman"/>
          <w:color w:val="auto"/>
          <w:spacing w:val="-1"/>
          <w:sz w:val="24"/>
          <w:szCs w:val="24"/>
          <w:highlight w:val="none"/>
        </w:rPr>
        <w:t>阶段、结构阶段和装修阶段</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噪声源特征值见表</w:t>
      </w:r>
      <w:r>
        <w:rPr>
          <w:rFonts w:hint="default" w:ascii="Times New Roman" w:hAnsi="Times New Roman" w:eastAsia="Times New Roman" w:cs="Times New Roman"/>
          <w:color w:val="auto"/>
          <w:spacing w:val="-1"/>
          <w:sz w:val="24"/>
          <w:szCs w:val="24"/>
          <w:highlight w:val="none"/>
        </w:rPr>
        <w:t>3</w:t>
      </w:r>
      <w:r>
        <w:rPr>
          <w:rFonts w:hint="default" w:ascii="Times New Roman" w:hAnsi="Times New Roman" w:eastAsia="Times New Roman" w:cs="Times New Roman"/>
          <w:color w:val="auto"/>
          <w:spacing w:val="-2"/>
          <w:sz w:val="24"/>
          <w:szCs w:val="24"/>
          <w:highlight w:val="none"/>
        </w:rPr>
        <w:t>.2-2</w:t>
      </w:r>
      <w:r>
        <w:rPr>
          <w:rFonts w:hint="default" w:ascii="Times New Roman" w:hAnsi="Times New Roman" w:eastAsia="宋体" w:cs="Times New Roman"/>
          <w:color w:val="auto"/>
          <w:spacing w:val="-2"/>
          <w:sz w:val="24"/>
          <w:szCs w:val="24"/>
          <w:highlight w:val="none"/>
        </w:rPr>
        <w:t>。</w:t>
      </w:r>
    </w:p>
    <w:p w14:paraId="635FD183">
      <w:pPr>
        <w:keepNext w:val="0"/>
        <w:keepLines w:val="0"/>
        <w:pageBreakBefore w:val="0"/>
        <w:widowControl/>
        <w:kinsoku/>
        <w:wordWrap w:val="0"/>
        <w:overflowPunct/>
        <w:topLinePunct/>
        <w:autoSpaceDE/>
        <w:autoSpaceDN/>
        <w:bidi w:val="0"/>
        <w:adjustRightInd w:val="0"/>
        <w:snapToGrid w:val="0"/>
        <w:spacing w:before="2" w:line="240" w:lineRule="auto"/>
        <w:jc w:val="center"/>
        <w:textAlignment w:val="baseline"/>
        <w:rPr>
          <w:rFonts w:hint="default" w:ascii="Times New Roman" w:hAnsi="Times New Roman" w:eastAsia="宋体" w:cs="Times New Roman"/>
          <w:b/>
          <w:bCs/>
          <w:color w:val="auto"/>
          <w:spacing w:val="-1"/>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3.2-1</w:t>
      </w:r>
      <w:r>
        <w:rPr>
          <w:rFonts w:hint="default" w:ascii="Times New Roman" w:hAnsi="Times New Roman" w:eastAsia="宋体" w:cs="Times New Roman"/>
          <w:b/>
          <w:bCs/>
          <w:color w:val="auto"/>
          <w:spacing w:val="-1"/>
          <w:sz w:val="24"/>
          <w:szCs w:val="24"/>
          <w:highlight w:val="none"/>
        </w:rPr>
        <w:t>主要施工机械设备噪声一览表</w:t>
      </w:r>
    </w:p>
    <w:tbl>
      <w:tblPr>
        <w:tblStyle w:val="34"/>
        <w:tblW w:w="8985" w:type="dxa"/>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14"/>
        <w:gridCol w:w="1116"/>
        <w:gridCol w:w="1899"/>
        <w:gridCol w:w="2890"/>
        <w:gridCol w:w="3080"/>
      </w:tblGrid>
      <w:tr w14:paraId="74AC123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23" w:hRule="atLeast"/>
        </w:trPr>
        <w:tc>
          <w:tcPr>
            <w:tcW w:w="1116" w:type="dxa"/>
            <w:tcBorders>
              <w:tl2br w:val="nil"/>
              <w:tr2bl w:val="nil"/>
            </w:tcBorders>
            <w:vAlign w:val="center"/>
          </w:tcPr>
          <w:p w14:paraId="1D97C5E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序号</w:t>
            </w:r>
          </w:p>
        </w:tc>
        <w:tc>
          <w:tcPr>
            <w:tcW w:w="1899" w:type="dxa"/>
            <w:tcBorders>
              <w:tl2br w:val="nil"/>
              <w:tr2bl w:val="nil"/>
            </w:tcBorders>
            <w:vAlign w:val="center"/>
          </w:tcPr>
          <w:p w14:paraId="61974B1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施工机械</w:t>
            </w:r>
          </w:p>
        </w:tc>
        <w:tc>
          <w:tcPr>
            <w:tcW w:w="2890" w:type="dxa"/>
            <w:tcBorders>
              <w:tl2br w:val="nil"/>
              <w:tr2bl w:val="nil"/>
            </w:tcBorders>
            <w:vAlign w:val="center"/>
          </w:tcPr>
          <w:p w14:paraId="0BCC03A8">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b/>
                <w:bCs/>
                <w:color w:val="auto"/>
                <w:spacing w:val="-2"/>
                <w:highlight w:val="none"/>
              </w:rPr>
              <w:t>测量声级</w:t>
            </w:r>
            <w:r>
              <w:rPr>
                <w:rFonts w:hint="default" w:ascii="Times New Roman" w:hAnsi="Times New Roman" w:eastAsia="Times New Roman" w:cs="Times New Roman"/>
                <w:b/>
                <w:bCs/>
                <w:color w:val="auto"/>
                <w:spacing w:val="-2"/>
                <w:highlight w:val="none"/>
              </w:rPr>
              <w:t>[dB(A)]</w:t>
            </w:r>
          </w:p>
        </w:tc>
        <w:tc>
          <w:tcPr>
            <w:tcW w:w="3080" w:type="dxa"/>
            <w:tcBorders>
              <w:tl2br w:val="nil"/>
              <w:tr2bl w:val="nil"/>
            </w:tcBorders>
            <w:vAlign w:val="center"/>
          </w:tcPr>
          <w:p w14:paraId="6334C31B">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b/>
                <w:bCs/>
                <w:color w:val="auto"/>
                <w:spacing w:val="-2"/>
                <w:highlight w:val="none"/>
              </w:rPr>
              <w:t>测量距离</w:t>
            </w:r>
            <w:r>
              <w:rPr>
                <w:rFonts w:hint="default" w:ascii="Times New Roman" w:hAnsi="Times New Roman" w:eastAsia="Times New Roman" w:cs="Times New Roman"/>
                <w:b/>
                <w:bCs/>
                <w:color w:val="auto"/>
                <w:spacing w:val="-2"/>
                <w:highlight w:val="none"/>
              </w:rPr>
              <w:t>(m)</w:t>
            </w:r>
          </w:p>
        </w:tc>
      </w:tr>
      <w:tr w14:paraId="7EACE65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23" w:hRule="atLeast"/>
        </w:trPr>
        <w:tc>
          <w:tcPr>
            <w:tcW w:w="1116" w:type="dxa"/>
            <w:tcBorders>
              <w:tl2br w:val="nil"/>
              <w:tr2bl w:val="nil"/>
            </w:tcBorders>
            <w:vAlign w:val="center"/>
          </w:tcPr>
          <w:p w14:paraId="2C80BED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1899" w:type="dxa"/>
            <w:tcBorders>
              <w:tl2br w:val="nil"/>
              <w:tr2bl w:val="nil"/>
            </w:tcBorders>
            <w:vAlign w:val="center"/>
          </w:tcPr>
          <w:p w14:paraId="3C12807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挖路机</w:t>
            </w:r>
          </w:p>
        </w:tc>
        <w:tc>
          <w:tcPr>
            <w:tcW w:w="2890" w:type="dxa"/>
            <w:tcBorders>
              <w:tl2br w:val="nil"/>
              <w:tr2bl w:val="nil"/>
            </w:tcBorders>
            <w:vAlign w:val="center"/>
          </w:tcPr>
          <w:p w14:paraId="74F028D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79</w:t>
            </w:r>
          </w:p>
        </w:tc>
        <w:tc>
          <w:tcPr>
            <w:tcW w:w="3080" w:type="dxa"/>
            <w:tcBorders>
              <w:tl2br w:val="nil"/>
              <w:tr2bl w:val="nil"/>
            </w:tcBorders>
            <w:vAlign w:val="center"/>
          </w:tcPr>
          <w:p w14:paraId="6B40413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15</w:t>
            </w:r>
          </w:p>
        </w:tc>
      </w:tr>
      <w:tr w14:paraId="6C6B95C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23" w:hRule="atLeast"/>
        </w:trPr>
        <w:tc>
          <w:tcPr>
            <w:tcW w:w="1116" w:type="dxa"/>
            <w:tcBorders>
              <w:tl2br w:val="nil"/>
              <w:tr2bl w:val="nil"/>
            </w:tcBorders>
            <w:vAlign w:val="center"/>
          </w:tcPr>
          <w:p w14:paraId="3AB2487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1899" w:type="dxa"/>
            <w:tcBorders>
              <w:tl2br w:val="nil"/>
              <w:tr2bl w:val="nil"/>
            </w:tcBorders>
            <w:vAlign w:val="center"/>
          </w:tcPr>
          <w:p w14:paraId="5A94A5D3">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压路机</w:t>
            </w:r>
          </w:p>
        </w:tc>
        <w:tc>
          <w:tcPr>
            <w:tcW w:w="2890" w:type="dxa"/>
            <w:tcBorders>
              <w:tl2br w:val="nil"/>
              <w:tr2bl w:val="nil"/>
            </w:tcBorders>
            <w:vAlign w:val="center"/>
          </w:tcPr>
          <w:p w14:paraId="18708E4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73</w:t>
            </w:r>
          </w:p>
        </w:tc>
        <w:tc>
          <w:tcPr>
            <w:tcW w:w="3080" w:type="dxa"/>
            <w:tcBorders>
              <w:tl2br w:val="nil"/>
              <w:tr2bl w:val="nil"/>
            </w:tcBorders>
            <w:vAlign w:val="center"/>
          </w:tcPr>
          <w:p w14:paraId="0EC0D22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10</w:t>
            </w:r>
          </w:p>
        </w:tc>
      </w:tr>
      <w:tr w14:paraId="57FA1F9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23" w:hRule="atLeast"/>
        </w:trPr>
        <w:tc>
          <w:tcPr>
            <w:tcW w:w="1116" w:type="dxa"/>
            <w:tcBorders>
              <w:tl2br w:val="nil"/>
              <w:tr2bl w:val="nil"/>
            </w:tcBorders>
            <w:vAlign w:val="center"/>
          </w:tcPr>
          <w:p w14:paraId="499E600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1899" w:type="dxa"/>
            <w:tcBorders>
              <w:tl2br w:val="nil"/>
              <w:tr2bl w:val="nil"/>
            </w:tcBorders>
            <w:vAlign w:val="center"/>
          </w:tcPr>
          <w:p w14:paraId="072D219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铲土机</w:t>
            </w:r>
          </w:p>
        </w:tc>
        <w:tc>
          <w:tcPr>
            <w:tcW w:w="2890" w:type="dxa"/>
            <w:tcBorders>
              <w:tl2br w:val="nil"/>
              <w:tr2bl w:val="nil"/>
            </w:tcBorders>
            <w:vAlign w:val="center"/>
          </w:tcPr>
          <w:p w14:paraId="15F2231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75</w:t>
            </w:r>
          </w:p>
        </w:tc>
        <w:tc>
          <w:tcPr>
            <w:tcW w:w="3080" w:type="dxa"/>
            <w:tcBorders>
              <w:tl2br w:val="nil"/>
              <w:tr2bl w:val="nil"/>
            </w:tcBorders>
            <w:vAlign w:val="center"/>
          </w:tcPr>
          <w:p w14:paraId="27276C0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15</w:t>
            </w:r>
          </w:p>
        </w:tc>
      </w:tr>
      <w:tr w14:paraId="4AD1F87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23" w:hRule="atLeast"/>
        </w:trPr>
        <w:tc>
          <w:tcPr>
            <w:tcW w:w="1116" w:type="dxa"/>
            <w:tcBorders>
              <w:tl2br w:val="nil"/>
              <w:tr2bl w:val="nil"/>
            </w:tcBorders>
            <w:vAlign w:val="center"/>
          </w:tcPr>
          <w:p w14:paraId="56FE438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1899" w:type="dxa"/>
            <w:tcBorders>
              <w:tl2br w:val="nil"/>
              <w:tr2bl w:val="nil"/>
            </w:tcBorders>
            <w:vAlign w:val="center"/>
          </w:tcPr>
          <w:p w14:paraId="0550D643">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0"/>
                <w:highlight w:val="none"/>
              </w:rPr>
              <w:t>自卸卡车</w:t>
            </w:r>
          </w:p>
        </w:tc>
        <w:tc>
          <w:tcPr>
            <w:tcW w:w="2890" w:type="dxa"/>
            <w:tcBorders>
              <w:tl2br w:val="nil"/>
              <w:tr2bl w:val="nil"/>
            </w:tcBorders>
            <w:vAlign w:val="center"/>
          </w:tcPr>
          <w:p w14:paraId="7A00D17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70</w:t>
            </w:r>
          </w:p>
        </w:tc>
        <w:tc>
          <w:tcPr>
            <w:tcW w:w="3080" w:type="dxa"/>
            <w:tcBorders>
              <w:tl2br w:val="nil"/>
              <w:tr2bl w:val="nil"/>
            </w:tcBorders>
            <w:vAlign w:val="center"/>
          </w:tcPr>
          <w:p w14:paraId="5DFA636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15</w:t>
            </w:r>
          </w:p>
        </w:tc>
      </w:tr>
      <w:tr w14:paraId="54E3206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1130" w:type="dxa"/>
            <w:gridSpan w:val="2"/>
            <w:tcBorders>
              <w:tl2br w:val="nil"/>
              <w:tr2bl w:val="nil"/>
            </w:tcBorders>
            <w:vAlign w:val="center"/>
          </w:tcPr>
          <w:p w14:paraId="4A16575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c>
          <w:tcPr>
            <w:tcW w:w="1899" w:type="dxa"/>
            <w:tcBorders>
              <w:tl2br w:val="nil"/>
              <w:tr2bl w:val="nil"/>
            </w:tcBorders>
            <w:vAlign w:val="center"/>
          </w:tcPr>
          <w:p w14:paraId="2035608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冲击式打桩机</w:t>
            </w:r>
          </w:p>
        </w:tc>
        <w:tc>
          <w:tcPr>
            <w:tcW w:w="2890" w:type="dxa"/>
            <w:tcBorders>
              <w:tl2br w:val="nil"/>
              <w:tr2bl w:val="nil"/>
            </w:tcBorders>
            <w:vAlign w:val="center"/>
          </w:tcPr>
          <w:p w14:paraId="48041C5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110</w:t>
            </w:r>
          </w:p>
        </w:tc>
        <w:tc>
          <w:tcPr>
            <w:tcW w:w="3080" w:type="dxa"/>
            <w:tcBorders>
              <w:tl2br w:val="nil"/>
              <w:tr2bl w:val="nil"/>
            </w:tcBorders>
            <w:vAlign w:val="center"/>
          </w:tcPr>
          <w:p w14:paraId="151817A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22</w:t>
            </w:r>
          </w:p>
        </w:tc>
      </w:tr>
    </w:tbl>
    <w:p w14:paraId="47BC7755">
      <w:pPr>
        <w:keepNext w:val="0"/>
        <w:keepLines w:val="0"/>
        <w:pageBreakBefore w:val="0"/>
        <w:kinsoku/>
        <w:wordWrap w:val="0"/>
        <w:overflowPunct/>
        <w:topLinePunct/>
        <w:autoSpaceDE/>
        <w:autoSpaceDN/>
        <w:bidi w:val="0"/>
        <w:adjustRightInd w:val="0"/>
        <w:snapToGrid w:val="0"/>
        <w:spacing w:before="33" w:line="212" w:lineRule="auto"/>
        <w:ind w:left="2524"/>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3.2-2</w:t>
      </w:r>
      <w:r>
        <w:rPr>
          <w:rFonts w:hint="default" w:ascii="Times New Roman" w:hAnsi="Times New Roman" w:eastAsia="宋体" w:cs="Times New Roman"/>
          <w:b/>
          <w:bCs/>
          <w:color w:val="auto"/>
          <w:spacing w:val="-1"/>
          <w:sz w:val="24"/>
          <w:szCs w:val="24"/>
          <w:highlight w:val="none"/>
        </w:rPr>
        <w:t>施工各阶段主要设备噪声情况</w:t>
      </w:r>
    </w:p>
    <w:p w14:paraId="36C61236">
      <w:pPr>
        <w:keepNext w:val="0"/>
        <w:keepLines w:val="0"/>
        <w:pageBreakBefore w:val="0"/>
        <w:kinsoku/>
        <w:wordWrap w:val="0"/>
        <w:overflowPunct/>
        <w:topLinePunct/>
        <w:autoSpaceDE/>
        <w:autoSpaceDN/>
        <w:bidi w:val="0"/>
        <w:adjustRightInd w:val="0"/>
        <w:snapToGrid w:val="0"/>
        <w:spacing w:line="28" w:lineRule="exact"/>
        <w:ind w:firstLine="14"/>
        <w:textAlignment w:val="baseline"/>
        <w:rPr>
          <w:rFonts w:hint="default" w:ascii="Times New Roman" w:hAnsi="Times New Roman" w:cs="Times New Roman"/>
          <w:color w:val="auto"/>
          <w:highlight w:val="none"/>
        </w:rPr>
      </w:pPr>
    </w:p>
    <w:p w14:paraId="3086B58E">
      <w:pPr>
        <w:keepNext w:val="0"/>
        <w:keepLines w:val="0"/>
        <w:pageBreakBefore w:val="0"/>
        <w:kinsoku/>
        <w:wordWrap w:val="0"/>
        <w:overflowPunct/>
        <w:topLinePunct/>
        <w:autoSpaceDE/>
        <w:autoSpaceDN/>
        <w:bidi w:val="0"/>
        <w:adjustRightInd w:val="0"/>
        <w:snapToGrid w:val="0"/>
        <w:spacing w:line="23" w:lineRule="exact"/>
        <w:textAlignment w:val="baseline"/>
        <w:rPr>
          <w:rFonts w:hint="default" w:ascii="Times New Roman" w:hAnsi="Times New Roman" w:cs="Times New Roman"/>
          <w:color w:val="auto"/>
          <w:highlight w:val="none"/>
        </w:rPr>
      </w:pPr>
    </w:p>
    <w:tbl>
      <w:tblPr>
        <w:tblStyle w:val="34"/>
        <w:tblW w:w="8985" w:type="dxa"/>
        <w:tblInd w:w="14" w:type="dxa"/>
        <w:tblBorders>
          <w:top w:val="single" w:color="000000" w:sz="12" w:space="0"/>
          <w:left w:val="none" w:color="auto" w:sz="0" w:space="0"/>
          <w:bottom w:val="single" w:color="000000" w:sz="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2996"/>
        <w:gridCol w:w="2993"/>
        <w:gridCol w:w="2996"/>
      </w:tblGrid>
      <w:tr w14:paraId="1BFB57E7">
        <w:tblPrEx>
          <w:tblBorders>
            <w:top w:val="single" w:color="000000" w:sz="1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8985" w:type="dxa"/>
            <w:gridSpan w:val="3"/>
            <w:tcBorders>
              <w:tl2br w:val="nil"/>
              <w:tr2bl w:val="nil"/>
            </w:tcBorders>
            <w:vAlign w:val="top"/>
          </w:tcPr>
          <w:p w14:paraId="29E5B07A">
            <w:pPr>
              <w:pStyle w:val="35"/>
              <w:keepNext w:val="0"/>
              <w:keepLines w:val="0"/>
              <w:pageBreakBefore w:val="0"/>
              <w:kinsoku/>
              <w:wordWrap w:val="0"/>
              <w:overflowPunct/>
              <w:topLinePunct/>
              <w:autoSpaceDE/>
              <w:autoSpaceDN/>
              <w:bidi w:val="0"/>
              <w:adjustRightInd w:val="0"/>
              <w:snapToGrid w:val="0"/>
              <w:spacing w:before="70" w:line="214"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eastAsia="宋体" w:cs="Times New Roman"/>
                <w:b/>
                <w:bCs/>
                <w:color w:val="auto"/>
                <w:spacing w:val="-3"/>
                <w:sz w:val="21"/>
                <w:szCs w:val="21"/>
                <w:highlight w:val="none"/>
              </w:rPr>
              <w:t>土石方阶段主要设备噪声情况</w:t>
            </w:r>
          </w:p>
        </w:tc>
      </w:tr>
      <w:tr w14:paraId="70BC8189">
        <w:tblPrEx>
          <w:tblBorders>
            <w:top w:val="single" w:color="000000" w:sz="1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2996" w:type="dxa"/>
            <w:tcBorders>
              <w:tl2br w:val="nil"/>
              <w:tr2bl w:val="nil"/>
            </w:tcBorders>
            <w:shd w:val="clear" w:color="auto" w:fill="auto"/>
            <w:vAlign w:val="top"/>
          </w:tcPr>
          <w:p w14:paraId="3704B67C">
            <w:pPr>
              <w:pStyle w:val="35"/>
              <w:keepNext w:val="0"/>
              <w:keepLines w:val="0"/>
              <w:pageBreakBefore w:val="0"/>
              <w:kinsoku/>
              <w:wordWrap w:val="0"/>
              <w:overflowPunct/>
              <w:topLinePunct/>
              <w:autoSpaceDE/>
              <w:autoSpaceDN/>
              <w:bidi w:val="0"/>
              <w:adjustRightInd w:val="0"/>
              <w:snapToGrid w:val="0"/>
              <w:spacing w:before="70" w:line="222" w:lineRule="auto"/>
              <w:ind w:left="1086" w:leftChars="0"/>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3"/>
                <w:highlight w:val="none"/>
              </w:rPr>
              <w:t>设备名称</w:t>
            </w:r>
          </w:p>
        </w:tc>
        <w:tc>
          <w:tcPr>
            <w:tcW w:w="2993" w:type="dxa"/>
            <w:tcBorders>
              <w:tl2br w:val="nil"/>
              <w:tr2bl w:val="nil"/>
            </w:tcBorders>
            <w:shd w:val="clear" w:color="auto" w:fill="auto"/>
            <w:vAlign w:val="top"/>
          </w:tcPr>
          <w:p w14:paraId="17708DF0">
            <w:pPr>
              <w:pStyle w:val="35"/>
              <w:keepNext w:val="0"/>
              <w:keepLines w:val="0"/>
              <w:pageBreakBefore w:val="0"/>
              <w:kinsoku/>
              <w:wordWrap w:val="0"/>
              <w:overflowPunct/>
              <w:topLinePunct/>
              <w:autoSpaceDE/>
              <w:autoSpaceDN/>
              <w:bidi w:val="0"/>
              <w:adjustRightInd w:val="0"/>
              <w:snapToGrid w:val="0"/>
              <w:spacing w:before="70" w:line="214" w:lineRule="auto"/>
              <w:ind w:left="921" w:leftChars="0"/>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2"/>
                <w:highlight w:val="none"/>
              </w:rPr>
              <w:t>声级，</w:t>
            </w:r>
            <w:r>
              <w:rPr>
                <w:rFonts w:hint="default" w:ascii="Times New Roman" w:hAnsi="Times New Roman" w:eastAsia="Times New Roman" w:cs="Times New Roman"/>
                <w:color w:val="auto"/>
                <w:spacing w:val="-2"/>
                <w:highlight w:val="none"/>
              </w:rPr>
              <w:t>dB(A)</w:t>
            </w:r>
          </w:p>
        </w:tc>
        <w:tc>
          <w:tcPr>
            <w:tcW w:w="2996" w:type="dxa"/>
            <w:tcBorders>
              <w:tl2br w:val="nil"/>
              <w:tr2bl w:val="nil"/>
            </w:tcBorders>
            <w:shd w:val="clear" w:color="auto" w:fill="auto"/>
            <w:vAlign w:val="top"/>
          </w:tcPr>
          <w:p w14:paraId="33769DD0">
            <w:pPr>
              <w:pStyle w:val="35"/>
              <w:keepNext w:val="0"/>
              <w:keepLines w:val="0"/>
              <w:pageBreakBefore w:val="0"/>
              <w:kinsoku/>
              <w:wordWrap w:val="0"/>
              <w:overflowPunct/>
              <w:topLinePunct/>
              <w:autoSpaceDE/>
              <w:autoSpaceDN/>
              <w:bidi w:val="0"/>
              <w:adjustRightInd w:val="0"/>
              <w:snapToGrid w:val="0"/>
              <w:spacing w:before="70" w:line="214" w:lineRule="auto"/>
              <w:ind w:left="1140" w:leftChars="0"/>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1"/>
                <w:highlight w:val="none"/>
              </w:rPr>
              <w:t>距离</w:t>
            </w:r>
            <w:r>
              <w:rPr>
                <w:rFonts w:hint="default" w:ascii="Times New Roman" w:hAnsi="Times New Roman" w:eastAsia="Times New Roman" w:cs="Times New Roman"/>
                <w:color w:val="auto"/>
                <w:spacing w:val="-1"/>
                <w:highlight w:val="none"/>
              </w:rPr>
              <w:t>(m)</w:t>
            </w:r>
          </w:p>
        </w:tc>
      </w:tr>
      <w:tr w14:paraId="4FF8FF89">
        <w:tblPrEx>
          <w:tblBorders>
            <w:top w:val="single" w:color="000000" w:sz="1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996" w:type="dxa"/>
            <w:tcBorders>
              <w:tl2br w:val="nil"/>
              <w:tr2bl w:val="nil"/>
            </w:tcBorders>
            <w:vAlign w:val="top"/>
          </w:tcPr>
          <w:p w14:paraId="0E7E5507">
            <w:pPr>
              <w:pStyle w:val="35"/>
              <w:keepNext w:val="0"/>
              <w:keepLines w:val="0"/>
              <w:pageBreakBefore w:val="0"/>
              <w:kinsoku/>
              <w:wordWrap w:val="0"/>
              <w:overflowPunct/>
              <w:topLinePunct/>
              <w:autoSpaceDE/>
              <w:autoSpaceDN/>
              <w:bidi w:val="0"/>
              <w:adjustRightInd w:val="0"/>
              <w:snapToGrid w:val="0"/>
              <w:spacing w:before="64" w:line="220" w:lineRule="auto"/>
              <w:ind w:left="1187"/>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翻斗机</w:t>
            </w:r>
          </w:p>
        </w:tc>
        <w:tc>
          <w:tcPr>
            <w:tcW w:w="2993" w:type="dxa"/>
            <w:tcBorders>
              <w:tl2br w:val="nil"/>
              <w:tr2bl w:val="nil"/>
            </w:tcBorders>
            <w:vAlign w:val="top"/>
          </w:tcPr>
          <w:p w14:paraId="360BED60">
            <w:pPr>
              <w:keepNext w:val="0"/>
              <w:keepLines w:val="0"/>
              <w:pageBreakBefore w:val="0"/>
              <w:kinsoku/>
              <w:wordWrap w:val="0"/>
              <w:overflowPunct/>
              <w:topLinePunct/>
              <w:autoSpaceDE/>
              <w:autoSpaceDN/>
              <w:bidi w:val="0"/>
              <w:adjustRightInd w:val="0"/>
              <w:snapToGrid w:val="0"/>
              <w:spacing w:before="94" w:line="234" w:lineRule="auto"/>
              <w:ind w:left="140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85</w:t>
            </w:r>
          </w:p>
        </w:tc>
        <w:tc>
          <w:tcPr>
            <w:tcW w:w="2996" w:type="dxa"/>
            <w:tcBorders>
              <w:tl2br w:val="nil"/>
              <w:tr2bl w:val="nil"/>
            </w:tcBorders>
            <w:vAlign w:val="top"/>
          </w:tcPr>
          <w:p w14:paraId="12A066B1">
            <w:pPr>
              <w:keepNext w:val="0"/>
              <w:keepLines w:val="0"/>
              <w:pageBreakBefore w:val="0"/>
              <w:kinsoku/>
              <w:wordWrap w:val="0"/>
              <w:overflowPunct/>
              <w:topLinePunct/>
              <w:autoSpaceDE/>
              <w:autoSpaceDN/>
              <w:bidi w:val="0"/>
              <w:adjustRightInd w:val="0"/>
              <w:snapToGrid w:val="0"/>
              <w:spacing w:before="94" w:line="234" w:lineRule="auto"/>
              <w:ind w:left="144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r>
      <w:tr w14:paraId="72C65087">
        <w:tblPrEx>
          <w:tblBorders>
            <w:top w:val="single" w:color="000000" w:sz="1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2996" w:type="dxa"/>
            <w:tcBorders>
              <w:tl2br w:val="nil"/>
              <w:tr2bl w:val="nil"/>
            </w:tcBorders>
            <w:vAlign w:val="top"/>
          </w:tcPr>
          <w:p w14:paraId="49701BB9">
            <w:pPr>
              <w:pStyle w:val="35"/>
              <w:keepNext w:val="0"/>
              <w:keepLines w:val="0"/>
              <w:pageBreakBefore w:val="0"/>
              <w:kinsoku/>
              <w:wordWrap w:val="0"/>
              <w:overflowPunct/>
              <w:topLinePunct/>
              <w:autoSpaceDE/>
              <w:autoSpaceDN/>
              <w:bidi w:val="0"/>
              <w:adjustRightInd w:val="0"/>
              <w:snapToGrid w:val="0"/>
              <w:spacing w:before="65" w:line="220" w:lineRule="auto"/>
              <w:ind w:left="118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推土机</w:t>
            </w:r>
          </w:p>
        </w:tc>
        <w:tc>
          <w:tcPr>
            <w:tcW w:w="2993" w:type="dxa"/>
            <w:tcBorders>
              <w:tl2br w:val="nil"/>
              <w:tr2bl w:val="nil"/>
            </w:tcBorders>
            <w:vAlign w:val="top"/>
          </w:tcPr>
          <w:p w14:paraId="760500BA">
            <w:pPr>
              <w:keepNext w:val="0"/>
              <w:keepLines w:val="0"/>
              <w:pageBreakBefore w:val="0"/>
              <w:kinsoku/>
              <w:wordWrap w:val="0"/>
              <w:overflowPunct/>
              <w:topLinePunct/>
              <w:autoSpaceDE/>
              <w:autoSpaceDN/>
              <w:bidi w:val="0"/>
              <w:adjustRightInd w:val="0"/>
              <w:snapToGrid w:val="0"/>
              <w:spacing w:before="95" w:line="234" w:lineRule="auto"/>
              <w:ind w:left="140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86</w:t>
            </w:r>
          </w:p>
        </w:tc>
        <w:tc>
          <w:tcPr>
            <w:tcW w:w="2996" w:type="dxa"/>
            <w:tcBorders>
              <w:tl2br w:val="nil"/>
              <w:tr2bl w:val="nil"/>
            </w:tcBorders>
            <w:vAlign w:val="top"/>
          </w:tcPr>
          <w:p w14:paraId="4DA0EFD3">
            <w:pPr>
              <w:keepNext w:val="0"/>
              <w:keepLines w:val="0"/>
              <w:pageBreakBefore w:val="0"/>
              <w:kinsoku/>
              <w:wordWrap w:val="0"/>
              <w:overflowPunct/>
              <w:topLinePunct/>
              <w:autoSpaceDE/>
              <w:autoSpaceDN/>
              <w:bidi w:val="0"/>
              <w:adjustRightInd w:val="0"/>
              <w:snapToGrid w:val="0"/>
              <w:spacing w:before="95" w:line="234" w:lineRule="auto"/>
              <w:ind w:left="145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r>
      <w:tr w14:paraId="5D02380B">
        <w:tblPrEx>
          <w:tblBorders>
            <w:top w:val="single" w:color="000000" w:sz="1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996" w:type="dxa"/>
            <w:tcBorders>
              <w:tl2br w:val="nil"/>
              <w:tr2bl w:val="nil"/>
            </w:tcBorders>
            <w:vAlign w:val="top"/>
          </w:tcPr>
          <w:p w14:paraId="20CB0EC6">
            <w:pPr>
              <w:pStyle w:val="35"/>
              <w:keepNext w:val="0"/>
              <w:keepLines w:val="0"/>
              <w:pageBreakBefore w:val="0"/>
              <w:kinsoku/>
              <w:wordWrap w:val="0"/>
              <w:overflowPunct/>
              <w:topLinePunct/>
              <w:autoSpaceDE/>
              <w:autoSpaceDN/>
              <w:bidi w:val="0"/>
              <w:adjustRightInd w:val="0"/>
              <w:snapToGrid w:val="0"/>
              <w:spacing w:before="66" w:line="220" w:lineRule="auto"/>
              <w:ind w:left="118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装载机</w:t>
            </w:r>
          </w:p>
        </w:tc>
        <w:tc>
          <w:tcPr>
            <w:tcW w:w="2993" w:type="dxa"/>
            <w:tcBorders>
              <w:tl2br w:val="nil"/>
              <w:tr2bl w:val="nil"/>
            </w:tcBorders>
            <w:vAlign w:val="top"/>
          </w:tcPr>
          <w:p w14:paraId="32F32027">
            <w:pPr>
              <w:keepNext w:val="0"/>
              <w:keepLines w:val="0"/>
              <w:pageBreakBefore w:val="0"/>
              <w:kinsoku/>
              <w:wordWrap w:val="0"/>
              <w:overflowPunct/>
              <w:topLinePunct/>
              <w:autoSpaceDE/>
              <w:autoSpaceDN/>
              <w:bidi w:val="0"/>
              <w:adjustRightInd w:val="0"/>
              <w:snapToGrid w:val="0"/>
              <w:spacing w:before="97" w:line="233" w:lineRule="auto"/>
              <w:ind w:left="139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90</w:t>
            </w:r>
          </w:p>
        </w:tc>
        <w:tc>
          <w:tcPr>
            <w:tcW w:w="2996" w:type="dxa"/>
            <w:tcBorders>
              <w:tl2br w:val="nil"/>
              <w:tr2bl w:val="nil"/>
            </w:tcBorders>
            <w:vAlign w:val="top"/>
          </w:tcPr>
          <w:p w14:paraId="292C674C">
            <w:pPr>
              <w:keepNext w:val="0"/>
              <w:keepLines w:val="0"/>
              <w:pageBreakBefore w:val="0"/>
              <w:kinsoku/>
              <w:wordWrap w:val="0"/>
              <w:overflowPunct/>
              <w:topLinePunct/>
              <w:autoSpaceDE/>
              <w:autoSpaceDN/>
              <w:bidi w:val="0"/>
              <w:adjustRightInd w:val="0"/>
              <w:snapToGrid w:val="0"/>
              <w:spacing w:before="96" w:line="234" w:lineRule="auto"/>
              <w:ind w:left="145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r>
      <w:tr w14:paraId="08713FDF">
        <w:tblPrEx>
          <w:tblBorders>
            <w:top w:val="single" w:color="000000" w:sz="1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2996" w:type="dxa"/>
            <w:tcBorders>
              <w:tl2br w:val="nil"/>
              <w:tr2bl w:val="nil"/>
            </w:tcBorders>
            <w:vAlign w:val="top"/>
          </w:tcPr>
          <w:p w14:paraId="1126B33B">
            <w:pPr>
              <w:pStyle w:val="35"/>
              <w:keepNext w:val="0"/>
              <w:keepLines w:val="0"/>
              <w:pageBreakBefore w:val="0"/>
              <w:kinsoku/>
              <w:wordWrap w:val="0"/>
              <w:overflowPunct/>
              <w:topLinePunct/>
              <w:autoSpaceDE/>
              <w:autoSpaceDN/>
              <w:bidi w:val="0"/>
              <w:adjustRightInd w:val="0"/>
              <w:snapToGrid w:val="0"/>
              <w:spacing w:before="67" w:line="220" w:lineRule="auto"/>
              <w:ind w:left="118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挖掘机</w:t>
            </w:r>
          </w:p>
        </w:tc>
        <w:tc>
          <w:tcPr>
            <w:tcW w:w="2993" w:type="dxa"/>
            <w:tcBorders>
              <w:tl2br w:val="nil"/>
              <w:tr2bl w:val="nil"/>
            </w:tcBorders>
            <w:vAlign w:val="top"/>
          </w:tcPr>
          <w:p w14:paraId="63EE6D7C">
            <w:pPr>
              <w:keepNext w:val="0"/>
              <w:keepLines w:val="0"/>
              <w:pageBreakBefore w:val="0"/>
              <w:kinsoku/>
              <w:wordWrap w:val="0"/>
              <w:overflowPunct/>
              <w:topLinePunct/>
              <w:autoSpaceDE/>
              <w:autoSpaceDN/>
              <w:bidi w:val="0"/>
              <w:adjustRightInd w:val="0"/>
              <w:snapToGrid w:val="0"/>
              <w:spacing w:before="94" w:line="234" w:lineRule="auto"/>
              <w:ind w:left="140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84</w:t>
            </w:r>
          </w:p>
        </w:tc>
        <w:tc>
          <w:tcPr>
            <w:tcW w:w="2996" w:type="dxa"/>
            <w:tcBorders>
              <w:tl2br w:val="nil"/>
              <w:tr2bl w:val="nil"/>
            </w:tcBorders>
            <w:vAlign w:val="top"/>
          </w:tcPr>
          <w:p w14:paraId="56108BD1">
            <w:pPr>
              <w:keepNext w:val="0"/>
              <w:keepLines w:val="0"/>
              <w:pageBreakBefore w:val="0"/>
              <w:kinsoku/>
              <w:wordWrap w:val="0"/>
              <w:overflowPunct/>
              <w:topLinePunct/>
              <w:autoSpaceDE/>
              <w:autoSpaceDN/>
              <w:bidi w:val="0"/>
              <w:adjustRightInd w:val="0"/>
              <w:snapToGrid w:val="0"/>
              <w:spacing w:before="94" w:line="234" w:lineRule="auto"/>
              <w:ind w:left="145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r>
    </w:tbl>
    <w:p w14:paraId="165CF01A">
      <w:pPr>
        <w:keepNext w:val="0"/>
        <w:keepLines w:val="0"/>
        <w:pageBreakBefore w:val="0"/>
        <w:kinsoku/>
        <w:wordWrap w:val="0"/>
        <w:overflowPunct/>
        <w:topLinePunct/>
        <w:autoSpaceDE/>
        <w:autoSpaceDN/>
        <w:bidi w:val="0"/>
        <w:adjustRightInd w:val="0"/>
        <w:snapToGrid w:val="0"/>
        <w:spacing w:before="63" w:line="221" w:lineRule="auto"/>
        <w:ind w:left="3042"/>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基础施工阶段主要设备噪声情况</w:t>
      </w:r>
    </w:p>
    <w:p w14:paraId="7723109B">
      <w:pPr>
        <w:keepNext w:val="0"/>
        <w:keepLines w:val="0"/>
        <w:pageBreakBefore w:val="0"/>
        <w:kinsoku/>
        <w:wordWrap w:val="0"/>
        <w:overflowPunct/>
        <w:topLinePunct/>
        <w:autoSpaceDE/>
        <w:autoSpaceDN/>
        <w:bidi w:val="0"/>
        <w:adjustRightInd w:val="0"/>
        <w:snapToGrid w:val="0"/>
        <w:spacing w:line="24" w:lineRule="exact"/>
        <w:textAlignment w:val="baseline"/>
        <w:rPr>
          <w:rFonts w:hint="default" w:ascii="Times New Roman" w:hAnsi="Times New Roman" w:cs="Times New Roman"/>
          <w:color w:val="auto"/>
          <w:highlight w:val="none"/>
        </w:rPr>
      </w:pPr>
    </w:p>
    <w:tbl>
      <w:tblPr>
        <w:tblStyle w:val="34"/>
        <w:tblW w:w="8985" w:type="dxa"/>
        <w:tblInd w:w="1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996"/>
        <w:gridCol w:w="2993"/>
        <w:gridCol w:w="2996"/>
      </w:tblGrid>
      <w:tr w14:paraId="06C375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2996" w:type="dxa"/>
            <w:tcBorders>
              <w:left w:val="nil"/>
            </w:tcBorders>
            <w:vAlign w:val="top"/>
          </w:tcPr>
          <w:p w14:paraId="113BC9D7">
            <w:pPr>
              <w:pStyle w:val="35"/>
              <w:keepNext w:val="0"/>
              <w:keepLines w:val="0"/>
              <w:pageBreakBefore w:val="0"/>
              <w:kinsoku/>
              <w:wordWrap w:val="0"/>
              <w:overflowPunct/>
              <w:topLinePunct/>
              <w:autoSpaceDE/>
              <w:autoSpaceDN/>
              <w:bidi w:val="0"/>
              <w:adjustRightInd w:val="0"/>
              <w:snapToGrid w:val="0"/>
              <w:spacing w:before="70" w:line="222" w:lineRule="auto"/>
              <w:ind w:left="108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设备名称</w:t>
            </w:r>
          </w:p>
        </w:tc>
        <w:tc>
          <w:tcPr>
            <w:tcW w:w="2993" w:type="dxa"/>
            <w:vAlign w:val="top"/>
          </w:tcPr>
          <w:p w14:paraId="2BFDF563">
            <w:pPr>
              <w:pStyle w:val="35"/>
              <w:keepNext w:val="0"/>
              <w:keepLines w:val="0"/>
              <w:pageBreakBefore w:val="0"/>
              <w:kinsoku/>
              <w:wordWrap w:val="0"/>
              <w:overflowPunct/>
              <w:topLinePunct/>
              <w:autoSpaceDE/>
              <w:autoSpaceDN/>
              <w:bidi w:val="0"/>
              <w:adjustRightInd w:val="0"/>
              <w:snapToGrid w:val="0"/>
              <w:spacing w:before="70" w:line="214" w:lineRule="auto"/>
              <w:ind w:left="921"/>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声级，</w:t>
            </w:r>
            <w:r>
              <w:rPr>
                <w:rFonts w:hint="default" w:ascii="Times New Roman" w:hAnsi="Times New Roman" w:eastAsia="Times New Roman" w:cs="Times New Roman"/>
                <w:color w:val="auto"/>
                <w:spacing w:val="-2"/>
                <w:highlight w:val="none"/>
              </w:rPr>
              <w:t>dB(A)</w:t>
            </w:r>
          </w:p>
        </w:tc>
        <w:tc>
          <w:tcPr>
            <w:tcW w:w="2996" w:type="dxa"/>
            <w:tcBorders>
              <w:right w:val="nil"/>
            </w:tcBorders>
            <w:vAlign w:val="top"/>
          </w:tcPr>
          <w:p w14:paraId="6CEFFDE8">
            <w:pPr>
              <w:pStyle w:val="35"/>
              <w:keepNext w:val="0"/>
              <w:keepLines w:val="0"/>
              <w:pageBreakBefore w:val="0"/>
              <w:kinsoku/>
              <w:wordWrap w:val="0"/>
              <w:overflowPunct/>
              <w:topLinePunct/>
              <w:autoSpaceDE/>
              <w:autoSpaceDN/>
              <w:bidi w:val="0"/>
              <w:adjustRightInd w:val="0"/>
              <w:snapToGrid w:val="0"/>
              <w:spacing w:before="70" w:line="214" w:lineRule="auto"/>
              <w:ind w:left="1140"/>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
                <w:highlight w:val="none"/>
              </w:rPr>
              <w:t>距离</w:t>
            </w:r>
            <w:r>
              <w:rPr>
                <w:rFonts w:hint="default" w:ascii="Times New Roman" w:hAnsi="Times New Roman" w:eastAsia="Times New Roman" w:cs="Times New Roman"/>
                <w:color w:val="auto"/>
                <w:spacing w:val="-1"/>
                <w:highlight w:val="none"/>
              </w:rPr>
              <w:t>(m)</w:t>
            </w:r>
          </w:p>
        </w:tc>
      </w:tr>
      <w:tr w14:paraId="118D74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2996" w:type="dxa"/>
            <w:tcBorders>
              <w:left w:val="nil"/>
            </w:tcBorders>
            <w:vAlign w:val="top"/>
          </w:tcPr>
          <w:p w14:paraId="61D18650">
            <w:pPr>
              <w:pStyle w:val="35"/>
              <w:keepNext w:val="0"/>
              <w:keepLines w:val="0"/>
              <w:pageBreakBefore w:val="0"/>
              <w:kinsoku/>
              <w:wordWrap w:val="0"/>
              <w:overflowPunct/>
              <w:topLinePunct/>
              <w:autoSpaceDE/>
              <w:autoSpaceDN/>
              <w:bidi w:val="0"/>
              <w:adjustRightInd w:val="0"/>
              <w:snapToGrid w:val="0"/>
              <w:spacing w:before="64" w:line="220" w:lineRule="auto"/>
              <w:ind w:left="119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打桩机</w:t>
            </w:r>
          </w:p>
        </w:tc>
        <w:tc>
          <w:tcPr>
            <w:tcW w:w="2993" w:type="dxa"/>
            <w:vAlign w:val="top"/>
          </w:tcPr>
          <w:p w14:paraId="01F85166">
            <w:pPr>
              <w:pStyle w:val="35"/>
              <w:keepNext w:val="0"/>
              <w:keepLines w:val="0"/>
              <w:pageBreakBefore w:val="0"/>
              <w:kinsoku/>
              <w:wordWrap w:val="0"/>
              <w:overflowPunct/>
              <w:topLinePunct/>
              <w:autoSpaceDE/>
              <w:autoSpaceDN/>
              <w:bidi w:val="0"/>
              <w:adjustRightInd w:val="0"/>
              <w:snapToGrid w:val="0"/>
              <w:spacing w:before="64" w:line="237" w:lineRule="auto"/>
              <w:ind w:left="1138"/>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spacing w:val="-2"/>
                <w:highlight w:val="none"/>
              </w:rPr>
              <w:t>85</w:t>
            </w:r>
            <w:r>
              <w:rPr>
                <w:rFonts w:hint="default" w:ascii="Times New Roman" w:hAnsi="Times New Roman" w:cs="Times New Roman"/>
                <w:color w:val="auto"/>
                <w:spacing w:val="-2"/>
                <w:highlight w:val="none"/>
              </w:rPr>
              <w:t>～</w:t>
            </w:r>
            <w:r>
              <w:rPr>
                <w:rFonts w:hint="default" w:ascii="Times New Roman" w:hAnsi="Times New Roman" w:eastAsia="Times New Roman" w:cs="Times New Roman"/>
                <w:color w:val="auto"/>
                <w:spacing w:val="-2"/>
                <w:highlight w:val="none"/>
              </w:rPr>
              <w:t>105</w:t>
            </w:r>
          </w:p>
        </w:tc>
        <w:tc>
          <w:tcPr>
            <w:tcW w:w="2996" w:type="dxa"/>
            <w:tcBorders>
              <w:right w:val="nil"/>
            </w:tcBorders>
            <w:vAlign w:val="top"/>
          </w:tcPr>
          <w:p w14:paraId="5DFAB0EC">
            <w:pPr>
              <w:keepNext w:val="0"/>
              <w:keepLines w:val="0"/>
              <w:pageBreakBefore w:val="0"/>
              <w:kinsoku/>
              <w:wordWrap w:val="0"/>
              <w:overflowPunct/>
              <w:topLinePunct/>
              <w:autoSpaceDE/>
              <w:autoSpaceDN/>
              <w:bidi w:val="0"/>
              <w:adjustRightInd w:val="0"/>
              <w:snapToGrid w:val="0"/>
              <w:spacing w:before="94" w:line="234" w:lineRule="auto"/>
              <w:ind w:left="141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15</w:t>
            </w:r>
          </w:p>
        </w:tc>
      </w:tr>
      <w:tr w14:paraId="2E44E1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996" w:type="dxa"/>
            <w:tcBorders>
              <w:left w:val="nil"/>
            </w:tcBorders>
            <w:vAlign w:val="top"/>
          </w:tcPr>
          <w:p w14:paraId="33C7C05B">
            <w:pPr>
              <w:pStyle w:val="35"/>
              <w:keepNext w:val="0"/>
              <w:keepLines w:val="0"/>
              <w:pageBreakBefore w:val="0"/>
              <w:kinsoku/>
              <w:wordWrap w:val="0"/>
              <w:overflowPunct/>
              <w:topLinePunct/>
              <w:autoSpaceDE/>
              <w:autoSpaceDN/>
              <w:bidi w:val="0"/>
              <w:adjustRightInd w:val="0"/>
              <w:snapToGrid w:val="0"/>
              <w:spacing w:before="65" w:line="220" w:lineRule="auto"/>
              <w:ind w:left="118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平地机</w:t>
            </w:r>
          </w:p>
        </w:tc>
        <w:tc>
          <w:tcPr>
            <w:tcW w:w="2993" w:type="dxa"/>
            <w:vAlign w:val="top"/>
          </w:tcPr>
          <w:p w14:paraId="3DEA3896">
            <w:pPr>
              <w:keepNext w:val="0"/>
              <w:keepLines w:val="0"/>
              <w:pageBreakBefore w:val="0"/>
              <w:kinsoku/>
              <w:wordWrap w:val="0"/>
              <w:overflowPunct/>
              <w:topLinePunct/>
              <w:autoSpaceDE/>
              <w:autoSpaceDN/>
              <w:bidi w:val="0"/>
              <w:adjustRightInd w:val="0"/>
              <w:snapToGrid w:val="0"/>
              <w:spacing w:before="95" w:line="234" w:lineRule="auto"/>
              <w:ind w:left="140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86</w:t>
            </w:r>
          </w:p>
        </w:tc>
        <w:tc>
          <w:tcPr>
            <w:tcW w:w="2996" w:type="dxa"/>
            <w:tcBorders>
              <w:right w:val="nil"/>
            </w:tcBorders>
            <w:vAlign w:val="top"/>
          </w:tcPr>
          <w:p w14:paraId="2086EC18">
            <w:pPr>
              <w:keepNext w:val="0"/>
              <w:keepLines w:val="0"/>
              <w:pageBreakBefore w:val="0"/>
              <w:kinsoku/>
              <w:wordWrap w:val="0"/>
              <w:overflowPunct/>
              <w:topLinePunct/>
              <w:autoSpaceDE/>
              <w:autoSpaceDN/>
              <w:bidi w:val="0"/>
              <w:adjustRightInd w:val="0"/>
              <w:snapToGrid w:val="0"/>
              <w:spacing w:before="95" w:line="234" w:lineRule="auto"/>
              <w:ind w:left="141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15</w:t>
            </w:r>
          </w:p>
        </w:tc>
      </w:tr>
      <w:tr w14:paraId="4F8642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2996" w:type="dxa"/>
            <w:tcBorders>
              <w:left w:val="nil"/>
            </w:tcBorders>
            <w:vAlign w:val="top"/>
          </w:tcPr>
          <w:p w14:paraId="6251807D">
            <w:pPr>
              <w:pStyle w:val="35"/>
              <w:keepNext w:val="0"/>
              <w:keepLines w:val="0"/>
              <w:pageBreakBefore w:val="0"/>
              <w:kinsoku/>
              <w:wordWrap w:val="0"/>
              <w:overflowPunct/>
              <w:topLinePunct/>
              <w:autoSpaceDE/>
              <w:autoSpaceDN/>
              <w:bidi w:val="0"/>
              <w:adjustRightInd w:val="0"/>
              <w:snapToGrid w:val="0"/>
              <w:spacing w:before="66" w:line="220" w:lineRule="auto"/>
              <w:ind w:left="119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打井机</w:t>
            </w:r>
          </w:p>
        </w:tc>
        <w:tc>
          <w:tcPr>
            <w:tcW w:w="2993" w:type="dxa"/>
            <w:vAlign w:val="top"/>
          </w:tcPr>
          <w:p w14:paraId="6418819A">
            <w:pPr>
              <w:keepNext w:val="0"/>
              <w:keepLines w:val="0"/>
              <w:pageBreakBefore w:val="0"/>
              <w:kinsoku/>
              <w:wordWrap w:val="0"/>
              <w:overflowPunct/>
              <w:topLinePunct/>
              <w:autoSpaceDE/>
              <w:autoSpaceDN/>
              <w:bidi w:val="0"/>
              <w:adjustRightInd w:val="0"/>
              <w:snapToGrid w:val="0"/>
              <w:spacing w:before="95" w:line="234" w:lineRule="auto"/>
              <w:ind w:left="140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85</w:t>
            </w:r>
          </w:p>
        </w:tc>
        <w:tc>
          <w:tcPr>
            <w:tcW w:w="2996" w:type="dxa"/>
            <w:tcBorders>
              <w:right w:val="nil"/>
            </w:tcBorders>
            <w:vAlign w:val="top"/>
          </w:tcPr>
          <w:p w14:paraId="5B5ACE90">
            <w:pPr>
              <w:keepNext w:val="0"/>
              <w:keepLines w:val="0"/>
              <w:pageBreakBefore w:val="0"/>
              <w:kinsoku/>
              <w:wordWrap w:val="0"/>
              <w:overflowPunct/>
              <w:topLinePunct/>
              <w:autoSpaceDE/>
              <w:autoSpaceDN/>
              <w:bidi w:val="0"/>
              <w:adjustRightInd w:val="0"/>
              <w:snapToGrid w:val="0"/>
              <w:spacing w:before="95" w:line="234" w:lineRule="auto"/>
              <w:ind w:left="144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r>
      <w:tr w14:paraId="6E5CEF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2996" w:type="dxa"/>
            <w:tcBorders>
              <w:left w:val="nil"/>
            </w:tcBorders>
            <w:vAlign w:val="top"/>
          </w:tcPr>
          <w:p w14:paraId="30AF9AEF">
            <w:pPr>
              <w:pStyle w:val="35"/>
              <w:keepNext w:val="0"/>
              <w:keepLines w:val="0"/>
              <w:pageBreakBefore w:val="0"/>
              <w:kinsoku/>
              <w:wordWrap w:val="0"/>
              <w:overflowPunct/>
              <w:topLinePunct/>
              <w:autoSpaceDE/>
              <w:autoSpaceDN/>
              <w:bidi w:val="0"/>
              <w:adjustRightInd w:val="0"/>
              <w:snapToGrid w:val="0"/>
              <w:spacing w:before="67" w:line="220" w:lineRule="auto"/>
              <w:ind w:left="1195"/>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空压机</w:t>
            </w:r>
          </w:p>
        </w:tc>
        <w:tc>
          <w:tcPr>
            <w:tcW w:w="2993" w:type="dxa"/>
            <w:vAlign w:val="top"/>
          </w:tcPr>
          <w:p w14:paraId="536DA1CA">
            <w:pPr>
              <w:keepNext w:val="0"/>
              <w:keepLines w:val="0"/>
              <w:pageBreakBefore w:val="0"/>
              <w:kinsoku/>
              <w:wordWrap w:val="0"/>
              <w:overflowPunct/>
              <w:topLinePunct/>
              <w:autoSpaceDE/>
              <w:autoSpaceDN/>
              <w:bidi w:val="0"/>
              <w:adjustRightInd w:val="0"/>
              <w:snapToGrid w:val="0"/>
              <w:spacing w:before="95" w:line="233" w:lineRule="auto"/>
              <w:ind w:left="139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92</w:t>
            </w:r>
          </w:p>
        </w:tc>
        <w:tc>
          <w:tcPr>
            <w:tcW w:w="2996" w:type="dxa"/>
            <w:tcBorders>
              <w:right w:val="nil"/>
            </w:tcBorders>
            <w:vAlign w:val="top"/>
          </w:tcPr>
          <w:p w14:paraId="5F38E616">
            <w:pPr>
              <w:keepNext w:val="0"/>
              <w:keepLines w:val="0"/>
              <w:pageBreakBefore w:val="0"/>
              <w:kinsoku/>
              <w:wordWrap w:val="0"/>
              <w:overflowPunct/>
              <w:topLinePunct/>
              <w:autoSpaceDE/>
              <w:autoSpaceDN/>
              <w:bidi w:val="0"/>
              <w:adjustRightInd w:val="0"/>
              <w:snapToGrid w:val="0"/>
              <w:spacing w:before="94" w:line="234" w:lineRule="auto"/>
              <w:ind w:left="144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r>
    </w:tbl>
    <w:p w14:paraId="4A118E1C">
      <w:pPr>
        <w:keepNext w:val="0"/>
        <w:keepLines w:val="0"/>
        <w:pageBreakBefore w:val="0"/>
        <w:kinsoku/>
        <w:wordWrap w:val="0"/>
        <w:overflowPunct/>
        <w:topLinePunct/>
        <w:autoSpaceDE/>
        <w:autoSpaceDN/>
        <w:bidi w:val="0"/>
        <w:adjustRightInd w:val="0"/>
        <w:snapToGrid w:val="0"/>
        <w:spacing w:before="64" w:line="221" w:lineRule="auto"/>
        <w:ind w:left="3047"/>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结构施工阶段主要设备噪声情况</w:t>
      </w:r>
    </w:p>
    <w:p w14:paraId="68367968">
      <w:pPr>
        <w:keepNext w:val="0"/>
        <w:keepLines w:val="0"/>
        <w:pageBreakBefore w:val="0"/>
        <w:kinsoku/>
        <w:wordWrap w:val="0"/>
        <w:overflowPunct/>
        <w:topLinePunct/>
        <w:autoSpaceDE/>
        <w:autoSpaceDN/>
        <w:bidi w:val="0"/>
        <w:adjustRightInd w:val="0"/>
        <w:snapToGrid w:val="0"/>
        <w:spacing w:line="23" w:lineRule="exact"/>
        <w:textAlignment w:val="baseline"/>
        <w:rPr>
          <w:rFonts w:hint="default" w:ascii="Times New Roman" w:hAnsi="Times New Roman" w:cs="Times New Roman"/>
          <w:color w:val="auto"/>
          <w:highlight w:val="none"/>
        </w:rPr>
      </w:pPr>
    </w:p>
    <w:tbl>
      <w:tblPr>
        <w:tblStyle w:val="34"/>
        <w:tblW w:w="8985" w:type="dxa"/>
        <w:tblInd w:w="1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996"/>
        <w:gridCol w:w="2993"/>
        <w:gridCol w:w="2996"/>
      </w:tblGrid>
      <w:tr w14:paraId="148635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trPr>
        <w:tc>
          <w:tcPr>
            <w:tcW w:w="2996" w:type="dxa"/>
            <w:tcBorders>
              <w:left w:val="nil"/>
            </w:tcBorders>
            <w:vAlign w:val="top"/>
          </w:tcPr>
          <w:p w14:paraId="44B90E4F">
            <w:pPr>
              <w:pStyle w:val="35"/>
              <w:keepNext w:val="0"/>
              <w:keepLines w:val="0"/>
              <w:pageBreakBefore w:val="0"/>
              <w:kinsoku/>
              <w:wordWrap w:val="0"/>
              <w:overflowPunct/>
              <w:topLinePunct/>
              <w:autoSpaceDE/>
              <w:autoSpaceDN/>
              <w:bidi w:val="0"/>
              <w:adjustRightInd w:val="0"/>
              <w:snapToGrid w:val="0"/>
              <w:spacing w:before="70" w:line="222" w:lineRule="auto"/>
              <w:ind w:left="108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设备名称</w:t>
            </w:r>
          </w:p>
        </w:tc>
        <w:tc>
          <w:tcPr>
            <w:tcW w:w="2993" w:type="dxa"/>
            <w:vAlign w:val="top"/>
          </w:tcPr>
          <w:p w14:paraId="63BE73B0">
            <w:pPr>
              <w:pStyle w:val="35"/>
              <w:keepNext w:val="0"/>
              <w:keepLines w:val="0"/>
              <w:pageBreakBefore w:val="0"/>
              <w:kinsoku/>
              <w:wordWrap w:val="0"/>
              <w:overflowPunct/>
              <w:topLinePunct/>
              <w:autoSpaceDE/>
              <w:autoSpaceDN/>
              <w:bidi w:val="0"/>
              <w:adjustRightInd w:val="0"/>
              <w:snapToGrid w:val="0"/>
              <w:spacing w:before="70" w:line="214" w:lineRule="auto"/>
              <w:ind w:left="921"/>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声级，</w:t>
            </w:r>
            <w:r>
              <w:rPr>
                <w:rFonts w:hint="default" w:ascii="Times New Roman" w:hAnsi="Times New Roman" w:eastAsia="Times New Roman" w:cs="Times New Roman"/>
                <w:color w:val="auto"/>
                <w:spacing w:val="-2"/>
                <w:highlight w:val="none"/>
              </w:rPr>
              <w:t>dB(A)</w:t>
            </w:r>
          </w:p>
        </w:tc>
        <w:tc>
          <w:tcPr>
            <w:tcW w:w="2996" w:type="dxa"/>
            <w:tcBorders>
              <w:right w:val="nil"/>
            </w:tcBorders>
            <w:vAlign w:val="top"/>
          </w:tcPr>
          <w:p w14:paraId="06B2DAFB">
            <w:pPr>
              <w:pStyle w:val="35"/>
              <w:keepNext w:val="0"/>
              <w:keepLines w:val="0"/>
              <w:pageBreakBefore w:val="0"/>
              <w:kinsoku/>
              <w:wordWrap w:val="0"/>
              <w:overflowPunct/>
              <w:topLinePunct/>
              <w:autoSpaceDE/>
              <w:autoSpaceDN/>
              <w:bidi w:val="0"/>
              <w:adjustRightInd w:val="0"/>
              <w:snapToGrid w:val="0"/>
              <w:spacing w:before="70" w:line="214" w:lineRule="auto"/>
              <w:ind w:left="1140"/>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
                <w:highlight w:val="none"/>
              </w:rPr>
              <w:t>距离</w:t>
            </w:r>
            <w:r>
              <w:rPr>
                <w:rFonts w:hint="default" w:ascii="Times New Roman" w:hAnsi="Times New Roman" w:eastAsia="Times New Roman" w:cs="Times New Roman"/>
                <w:color w:val="auto"/>
                <w:spacing w:val="-1"/>
                <w:highlight w:val="none"/>
              </w:rPr>
              <w:t>(m)</w:t>
            </w:r>
          </w:p>
        </w:tc>
      </w:tr>
      <w:tr w14:paraId="38C1FE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2996" w:type="dxa"/>
            <w:tcBorders>
              <w:left w:val="nil"/>
            </w:tcBorders>
            <w:vAlign w:val="top"/>
          </w:tcPr>
          <w:p w14:paraId="6400A8AF">
            <w:pPr>
              <w:pStyle w:val="35"/>
              <w:keepNext w:val="0"/>
              <w:keepLines w:val="0"/>
              <w:pageBreakBefore w:val="0"/>
              <w:kinsoku/>
              <w:wordWrap w:val="0"/>
              <w:overflowPunct/>
              <w:topLinePunct/>
              <w:autoSpaceDE/>
              <w:autoSpaceDN/>
              <w:bidi w:val="0"/>
              <w:adjustRightInd w:val="0"/>
              <w:snapToGrid w:val="0"/>
              <w:spacing w:before="64" w:line="221" w:lineRule="auto"/>
              <w:ind w:left="118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振捣棒</w:t>
            </w:r>
          </w:p>
        </w:tc>
        <w:tc>
          <w:tcPr>
            <w:tcW w:w="2993" w:type="dxa"/>
            <w:vAlign w:val="top"/>
          </w:tcPr>
          <w:p w14:paraId="2886AD19">
            <w:pPr>
              <w:keepNext w:val="0"/>
              <w:keepLines w:val="0"/>
              <w:pageBreakBefore w:val="0"/>
              <w:kinsoku/>
              <w:wordWrap w:val="0"/>
              <w:overflowPunct/>
              <w:topLinePunct/>
              <w:autoSpaceDE/>
              <w:autoSpaceDN/>
              <w:bidi w:val="0"/>
              <w:adjustRightInd w:val="0"/>
              <w:snapToGrid w:val="0"/>
              <w:spacing w:before="95" w:line="234" w:lineRule="auto"/>
              <w:ind w:left="1400"/>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80</w:t>
            </w:r>
          </w:p>
        </w:tc>
        <w:tc>
          <w:tcPr>
            <w:tcW w:w="2996" w:type="dxa"/>
            <w:tcBorders>
              <w:right w:val="nil"/>
            </w:tcBorders>
            <w:vAlign w:val="top"/>
          </w:tcPr>
          <w:p w14:paraId="4CD1E2A1">
            <w:pPr>
              <w:keepNext w:val="0"/>
              <w:keepLines w:val="0"/>
              <w:pageBreakBefore w:val="0"/>
              <w:kinsoku/>
              <w:wordWrap w:val="0"/>
              <w:overflowPunct/>
              <w:topLinePunct/>
              <w:autoSpaceDE/>
              <w:autoSpaceDN/>
              <w:bidi w:val="0"/>
              <w:adjustRightInd w:val="0"/>
              <w:snapToGrid w:val="0"/>
              <w:spacing w:before="95" w:line="236" w:lineRule="auto"/>
              <w:ind w:left="1444"/>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r>
      <w:tr w14:paraId="76A9F3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trPr>
        <w:tc>
          <w:tcPr>
            <w:tcW w:w="2996" w:type="dxa"/>
            <w:tcBorders>
              <w:left w:val="nil"/>
            </w:tcBorders>
            <w:vAlign w:val="top"/>
          </w:tcPr>
          <w:p w14:paraId="7AC36E1D">
            <w:pPr>
              <w:pStyle w:val="35"/>
              <w:keepNext w:val="0"/>
              <w:keepLines w:val="0"/>
              <w:pageBreakBefore w:val="0"/>
              <w:kinsoku/>
              <w:wordWrap w:val="0"/>
              <w:overflowPunct/>
              <w:topLinePunct/>
              <w:autoSpaceDE/>
              <w:autoSpaceDN/>
              <w:bidi w:val="0"/>
              <w:adjustRightInd w:val="0"/>
              <w:snapToGrid w:val="0"/>
              <w:spacing w:before="66" w:line="223" w:lineRule="auto"/>
              <w:ind w:left="131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8"/>
                <w:highlight w:val="none"/>
              </w:rPr>
              <w:t>电锯</w:t>
            </w:r>
          </w:p>
        </w:tc>
        <w:tc>
          <w:tcPr>
            <w:tcW w:w="2993" w:type="dxa"/>
            <w:vAlign w:val="top"/>
          </w:tcPr>
          <w:p w14:paraId="779BE9E6">
            <w:pPr>
              <w:keepNext w:val="0"/>
              <w:keepLines w:val="0"/>
              <w:pageBreakBefore w:val="0"/>
              <w:kinsoku/>
              <w:wordWrap w:val="0"/>
              <w:overflowPunct/>
              <w:topLinePunct/>
              <w:autoSpaceDE/>
              <w:autoSpaceDN/>
              <w:bidi w:val="0"/>
              <w:adjustRightInd w:val="0"/>
              <w:snapToGrid w:val="0"/>
              <w:spacing w:before="96" w:line="234" w:lineRule="auto"/>
              <w:ind w:left="1359"/>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103</w:t>
            </w:r>
          </w:p>
        </w:tc>
        <w:tc>
          <w:tcPr>
            <w:tcW w:w="2996" w:type="dxa"/>
            <w:tcBorders>
              <w:right w:val="nil"/>
            </w:tcBorders>
            <w:vAlign w:val="top"/>
          </w:tcPr>
          <w:p w14:paraId="5EFDC8B2">
            <w:pPr>
              <w:keepNext w:val="0"/>
              <w:keepLines w:val="0"/>
              <w:pageBreakBefore w:val="0"/>
              <w:kinsoku/>
              <w:wordWrap w:val="0"/>
              <w:overflowPunct/>
              <w:topLinePunct/>
              <w:autoSpaceDE/>
              <w:autoSpaceDN/>
              <w:bidi w:val="0"/>
              <w:adjustRightInd w:val="0"/>
              <w:snapToGrid w:val="0"/>
              <w:spacing w:before="96" w:line="236" w:lineRule="auto"/>
              <w:ind w:left="146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r>
    </w:tbl>
    <w:p w14:paraId="716C2115">
      <w:pPr>
        <w:keepNext w:val="0"/>
        <w:keepLines w:val="0"/>
        <w:pageBreakBefore w:val="0"/>
        <w:kinsoku/>
        <w:wordWrap w:val="0"/>
        <w:overflowPunct/>
        <w:topLinePunct/>
        <w:autoSpaceDE/>
        <w:autoSpaceDN/>
        <w:bidi w:val="0"/>
        <w:adjustRightInd w:val="0"/>
        <w:snapToGrid w:val="0"/>
        <w:spacing w:before="63" w:line="221" w:lineRule="auto"/>
        <w:ind w:left="3253"/>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装修阶段主要设备噪声情况</w:t>
      </w:r>
    </w:p>
    <w:p w14:paraId="1CFA89BE">
      <w:pPr>
        <w:keepNext w:val="0"/>
        <w:keepLines w:val="0"/>
        <w:pageBreakBefore w:val="0"/>
        <w:kinsoku/>
        <w:wordWrap w:val="0"/>
        <w:overflowPunct/>
        <w:topLinePunct/>
        <w:autoSpaceDE/>
        <w:autoSpaceDN/>
        <w:bidi w:val="0"/>
        <w:adjustRightInd w:val="0"/>
        <w:snapToGrid w:val="0"/>
        <w:spacing w:line="27" w:lineRule="exact"/>
        <w:textAlignment w:val="baseline"/>
        <w:rPr>
          <w:rFonts w:hint="default" w:ascii="Times New Roman" w:hAnsi="Times New Roman" w:cs="Times New Roman"/>
          <w:color w:val="auto"/>
          <w:highlight w:val="none"/>
        </w:rPr>
      </w:pPr>
    </w:p>
    <w:tbl>
      <w:tblPr>
        <w:tblStyle w:val="34"/>
        <w:tblW w:w="8985" w:type="dxa"/>
        <w:tblInd w:w="0" w:type="dxa"/>
        <w:tblBorders>
          <w:top w:val="single" w:color="000000" w:sz="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14"/>
        <w:gridCol w:w="2996"/>
        <w:gridCol w:w="2993"/>
        <w:gridCol w:w="2996"/>
      </w:tblGrid>
      <w:tr w14:paraId="2259A23A">
        <w:tblPrEx>
          <w:tblBorders>
            <w:top w:val="single" w:color="000000" w:sz="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350" w:hRule="atLeast"/>
        </w:trPr>
        <w:tc>
          <w:tcPr>
            <w:tcW w:w="2996" w:type="dxa"/>
            <w:tcBorders>
              <w:tl2br w:val="nil"/>
              <w:tr2bl w:val="nil"/>
            </w:tcBorders>
            <w:vAlign w:val="top"/>
          </w:tcPr>
          <w:p w14:paraId="260744F2">
            <w:pPr>
              <w:pStyle w:val="35"/>
              <w:keepNext w:val="0"/>
              <w:keepLines w:val="0"/>
              <w:pageBreakBefore w:val="0"/>
              <w:kinsoku/>
              <w:wordWrap w:val="0"/>
              <w:overflowPunct/>
              <w:topLinePunct/>
              <w:autoSpaceDE/>
              <w:autoSpaceDN/>
              <w:bidi w:val="0"/>
              <w:adjustRightInd w:val="0"/>
              <w:snapToGrid w:val="0"/>
              <w:spacing w:before="67" w:line="222" w:lineRule="auto"/>
              <w:ind w:left="1086"/>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设备名称</w:t>
            </w:r>
          </w:p>
        </w:tc>
        <w:tc>
          <w:tcPr>
            <w:tcW w:w="2993" w:type="dxa"/>
            <w:tcBorders>
              <w:tl2br w:val="nil"/>
              <w:tr2bl w:val="nil"/>
            </w:tcBorders>
            <w:vAlign w:val="top"/>
          </w:tcPr>
          <w:p w14:paraId="0838AF7F">
            <w:pPr>
              <w:pStyle w:val="35"/>
              <w:keepNext w:val="0"/>
              <w:keepLines w:val="0"/>
              <w:pageBreakBefore w:val="0"/>
              <w:kinsoku/>
              <w:wordWrap w:val="0"/>
              <w:overflowPunct/>
              <w:topLinePunct/>
              <w:autoSpaceDE/>
              <w:autoSpaceDN/>
              <w:bidi w:val="0"/>
              <w:adjustRightInd w:val="0"/>
              <w:snapToGrid w:val="0"/>
              <w:spacing w:before="67" w:line="214" w:lineRule="auto"/>
              <w:ind w:left="921"/>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rPr>
              <w:t>声级，</w:t>
            </w:r>
            <w:r>
              <w:rPr>
                <w:rFonts w:hint="default" w:ascii="Times New Roman" w:hAnsi="Times New Roman" w:eastAsia="Times New Roman" w:cs="Times New Roman"/>
                <w:color w:val="auto"/>
                <w:spacing w:val="-2"/>
                <w:highlight w:val="none"/>
              </w:rPr>
              <w:t>dB(A)</w:t>
            </w:r>
          </w:p>
        </w:tc>
        <w:tc>
          <w:tcPr>
            <w:tcW w:w="2996" w:type="dxa"/>
            <w:tcBorders>
              <w:tl2br w:val="nil"/>
              <w:tr2bl w:val="nil"/>
            </w:tcBorders>
            <w:vAlign w:val="top"/>
          </w:tcPr>
          <w:p w14:paraId="750A83A8">
            <w:pPr>
              <w:pStyle w:val="35"/>
              <w:keepNext w:val="0"/>
              <w:keepLines w:val="0"/>
              <w:pageBreakBefore w:val="0"/>
              <w:kinsoku/>
              <w:wordWrap w:val="0"/>
              <w:overflowPunct/>
              <w:topLinePunct/>
              <w:autoSpaceDE/>
              <w:autoSpaceDN/>
              <w:bidi w:val="0"/>
              <w:adjustRightInd w:val="0"/>
              <w:snapToGrid w:val="0"/>
              <w:spacing w:before="67" w:line="214" w:lineRule="auto"/>
              <w:ind w:left="1140"/>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
                <w:highlight w:val="none"/>
              </w:rPr>
              <w:t>距离</w:t>
            </w:r>
            <w:r>
              <w:rPr>
                <w:rFonts w:hint="default" w:ascii="Times New Roman" w:hAnsi="Times New Roman" w:eastAsia="Times New Roman" w:cs="Times New Roman"/>
                <w:color w:val="auto"/>
                <w:spacing w:val="-1"/>
                <w:highlight w:val="none"/>
              </w:rPr>
              <w:t>(m)</w:t>
            </w:r>
          </w:p>
        </w:tc>
      </w:tr>
      <w:tr w14:paraId="3BDE7ACA">
        <w:tblPrEx>
          <w:tblBorders>
            <w:top w:val="single" w:color="000000" w:sz="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343" w:hRule="atLeast"/>
        </w:trPr>
        <w:tc>
          <w:tcPr>
            <w:tcW w:w="2996" w:type="dxa"/>
            <w:tcBorders>
              <w:tl2br w:val="nil"/>
              <w:tr2bl w:val="nil"/>
            </w:tcBorders>
            <w:vAlign w:val="top"/>
          </w:tcPr>
          <w:p w14:paraId="5385B6CD">
            <w:pPr>
              <w:pStyle w:val="35"/>
              <w:keepNext w:val="0"/>
              <w:keepLines w:val="0"/>
              <w:pageBreakBefore w:val="0"/>
              <w:kinsoku/>
              <w:wordWrap w:val="0"/>
              <w:overflowPunct/>
              <w:topLinePunct/>
              <w:autoSpaceDE/>
              <w:autoSpaceDN/>
              <w:bidi w:val="0"/>
              <w:adjustRightInd w:val="0"/>
              <w:snapToGrid w:val="0"/>
              <w:spacing w:before="63" w:line="220" w:lineRule="auto"/>
              <w:ind w:left="118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砂轮机</w:t>
            </w:r>
          </w:p>
        </w:tc>
        <w:tc>
          <w:tcPr>
            <w:tcW w:w="2993" w:type="dxa"/>
            <w:tcBorders>
              <w:tl2br w:val="nil"/>
              <w:tr2bl w:val="nil"/>
            </w:tcBorders>
            <w:vAlign w:val="top"/>
          </w:tcPr>
          <w:p w14:paraId="055846E5">
            <w:pPr>
              <w:pStyle w:val="35"/>
              <w:keepNext w:val="0"/>
              <w:keepLines w:val="0"/>
              <w:pageBreakBefore w:val="0"/>
              <w:kinsoku/>
              <w:wordWrap w:val="0"/>
              <w:overflowPunct/>
              <w:topLinePunct/>
              <w:autoSpaceDE/>
              <w:autoSpaceDN/>
              <w:bidi w:val="0"/>
              <w:adjustRightInd w:val="0"/>
              <w:snapToGrid w:val="0"/>
              <w:spacing w:before="63" w:line="237" w:lineRule="auto"/>
              <w:ind w:left="1134"/>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spacing w:val="-1"/>
                <w:highlight w:val="none"/>
              </w:rPr>
              <w:t>91</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105</w:t>
            </w:r>
          </w:p>
        </w:tc>
        <w:tc>
          <w:tcPr>
            <w:tcW w:w="2996" w:type="dxa"/>
            <w:tcBorders>
              <w:tl2br w:val="nil"/>
              <w:tr2bl w:val="nil"/>
            </w:tcBorders>
            <w:vAlign w:val="top"/>
          </w:tcPr>
          <w:p w14:paraId="116342EA">
            <w:pPr>
              <w:keepNext w:val="0"/>
              <w:keepLines w:val="0"/>
              <w:pageBreakBefore w:val="0"/>
              <w:kinsoku/>
              <w:wordWrap w:val="0"/>
              <w:overflowPunct/>
              <w:topLinePunct/>
              <w:autoSpaceDE/>
              <w:autoSpaceDN/>
              <w:bidi w:val="0"/>
              <w:adjustRightInd w:val="0"/>
              <w:snapToGrid w:val="0"/>
              <w:spacing w:before="91" w:line="236" w:lineRule="auto"/>
              <w:ind w:left="146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r>
      <w:tr w14:paraId="1B2E6476">
        <w:tblPrEx>
          <w:tblBorders>
            <w:top w:val="single" w:color="000000" w:sz="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345" w:hRule="atLeast"/>
        </w:trPr>
        <w:tc>
          <w:tcPr>
            <w:tcW w:w="2996" w:type="dxa"/>
            <w:tcBorders>
              <w:tl2br w:val="nil"/>
              <w:tr2bl w:val="nil"/>
            </w:tcBorders>
            <w:vAlign w:val="top"/>
          </w:tcPr>
          <w:p w14:paraId="4774217F">
            <w:pPr>
              <w:pStyle w:val="35"/>
              <w:keepNext w:val="0"/>
              <w:keepLines w:val="0"/>
              <w:pageBreakBefore w:val="0"/>
              <w:kinsoku/>
              <w:wordWrap w:val="0"/>
              <w:overflowPunct/>
              <w:topLinePunct/>
              <w:autoSpaceDE/>
              <w:autoSpaceDN/>
              <w:bidi w:val="0"/>
              <w:adjustRightInd w:val="0"/>
              <w:snapToGrid w:val="0"/>
              <w:spacing w:before="65" w:line="220" w:lineRule="auto"/>
              <w:ind w:left="978"/>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木工圆锯机</w:t>
            </w:r>
          </w:p>
        </w:tc>
        <w:tc>
          <w:tcPr>
            <w:tcW w:w="2993" w:type="dxa"/>
            <w:tcBorders>
              <w:tl2br w:val="nil"/>
              <w:tr2bl w:val="nil"/>
            </w:tcBorders>
            <w:vAlign w:val="top"/>
          </w:tcPr>
          <w:p w14:paraId="5D018358">
            <w:pPr>
              <w:pStyle w:val="35"/>
              <w:keepNext w:val="0"/>
              <w:keepLines w:val="0"/>
              <w:pageBreakBefore w:val="0"/>
              <w:kinsoku/>
              <w:wordWrap w:val="0"/>
              <w:overflowPunct/>
              <w:topLinePunct/>
              <w:autoSpaceDE/>
              <w:autoSpaceDN/>
              <w:bidi w:val="0"/>
              <w:adjustRightInd w:val="0"/>
              <w:snapToGrid w:val="0"/>
              <w:spacing w:before="65" w:line="237" w:lineRule="auto"/>
              <w:ind w:left="1134"/>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spacing w:val="-1"/>
                <w:highlight w:val="none"/>
              </w:rPr>
              <w:t>93</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101</w:t>
            </w:r>
          </w:p>
        </w:tc>
        <w:tc>
          <w:tcPr>
            <w:tcW w:w="2996" w:type="dxa"/>
            <w:tcBorders>
              <w:tl2br w:val="nil"/>
              <w:tr2bl w:val="nil"/>
            </w:tcBorders>
            <w:vAlign w:val="top"/>
          </w:tcPr>
          <w:p w14:paraId="3C487487">
            <w:pPr>
              <w:keepNext w:val="0"/>
              <w:keepLines w:val="0"/>
              <w:pageBreakBefore w:val="0"/>
              <w:kinsoku/>
              <w:wordWrap w:val="0"/>
              <w:overflowPunct/>
              <w:topLinePunct/>
              <w:autoSpaceDE/>
              <w:autoSpaceDN/>
              <w:bidi w:val="0"/>
              <w:adjustRightInd w:val="0"/>
              <w:snapToGrid w:val="0"/>
              <w:spacing w:before="93" w:line="236" w:lineRule="auto"/>
              <w:ind w:left="146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r>
      <w:tr w14:paraId="580FC5DD">
        <w:tblPrEx>
          <w:tblBorders>
            <w:top w:val="single" w:color="000000" w:sz="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gridBefore w:val="1"/>
          <w:wBefore w:w="14" w:type="dxa"/>
          <w:trHeight w:val="341" w:hRule="atLeast"/>
        </w:trPr>
        <w:tc>
          <w:tcPr>
            <w:tcW w:w="2996" w:type="dxa"/>
            <w:tcBorders>
              <w:tl2br w:val="nil"/>
              <w:tr2bl w:val="nil"/>
            </w:tcBorders>
            <w:vAlign w:val="top"/>
          </w:tcPr>
          <w:p w14:paraId="62F6A1B8">
            <w:pPr>
              <w:pStyle w:val="35"/>
              <w:keepNext w:val="0"/>
              <w:keepLines w:val="0"/>
              <w:pageBreakBefore w:val="0"/>
              <w:kinsoku/>
              <w:wordWrap w:val="0"/>
              <w:overflowPunct/>
              <w:topLinePunct/>
              <w:autoSpaceDE/>
              <w:autoSpaceDN/>
              <w:bidi w:val="0"/>
              <w:adjustRightInd w:val="0"/>
              <w:snapToGrid w:val="0"/>
              <w:spacing w:before="64" w:line="223" w:lineRule="auto"/>
              <w:ind w:left="1319"/>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8"/>
                <w:highlight w:val="none"/>
              </w:rPr>
              <w:t>电钻</w:t>
            </w:r>
          </w:p>
        </w:tc>
        <w:tc>
          <w:tcPr>
            <w:tcW w:w="2993" w:type="dxa"/>
            <w:tcBorders>
              <w:tl2br w:val="nil"/>
              <w:tr2bl w:val="nil"/>
            </w:tcBorders>
            <w:vAlign w:val="top"/>
          </w:tcPr>
          <w:p w14:paraId="4E6255EB">
            <w:pPr>
              <w:pStyle w:val="35"/>
              <w:keepNext w:val="0"/>
              <w:keepLines w:val="0"/>
              <w:pageBreakBefore w:val="0"/>
              <w:kinsoku/>
              <w:wordWrap w:val="0"/>
              <w:overflowPunct/>
              <w:topLinePunct/>
              <w:autoSpaceDE/>
              <w:autoSpaceDN/>
              <w:bidi w:val="0"/>
              <w:adjustRightInd w:val="0"/>
              <w:snapToGrid w:val="0"/>
              <w:spacing w:before="63" w:line="235" w:lineRule="auto"/>
              <w:ind w:left="1185"/>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spacing w:val="-2"/>
                <w:highlight w:val="none"/>
              </w:rPr>
              <w:t>62</w:t>
            </w:r>
            <w:r>
              <w:rPr>
                <w:rFonts w:hint="default" w:ascii="Times New Roman" w:hAnsi="Times New Roman" w:cs="Times New Roman"/>
                <w:color w:val="auto"/>
                <w:spacing w:val="-2"/>
                <w:highlight w:val="none"/>
              </w:rPr>
              <w:t>～</w:t>
            </w:r>
            <w:r>
              <w:rPr>
                <w:rFonts w:hint="default" w:ascii="Times New Roman" w:hAnsi="Times New Roman" w:eastAsia="Times New Roman" w:cs="Times New Roman"/>
                <w:color w:val="auto"/>
                <w:spacing w:val="-2"/>
                <w:highlight w:val="none"/>
              </w:rPr>
              <w:t>82</w:t>
            </w:r>
          </w:p>
        </w:tc>
        <w:tc>
          <w:tcPr>
            <w:tcW w:w="2996" w:type="dxa"/>
            <w:tcBorders>
              <w:tl2br w:val="nil"/>
              <w:tr2bl w:val="nil"/>
            </w:tcBorders>
            <w:vAlign w:val="top"/>
          </w:tcPr>
          <w:p w14:paraId="695B5FDB">
            <w:pPr>
              <w:keepNext w:val="0"/>
              <w:keepLines w:val="0"/>
              <w:pageBreakBefore w:val="0"/>
              <w:kinsoku/>
              <w:wordWrap w:val="0"/>
              <w:overflowPunct/>
              <w:topLinePunct/>
              <w:autoSpaceDE/>
              <w:autoSpaceDN/>
              <w:bidi w:val="0"/>
              <w:adjustRightInd w:val="0"/>
              <w:snapToGrid w:val="0"/>
              <w:spacing w:before="93" w:line="234" w:lineRule="auto"/>
              <w:ind w:left="1412"/>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10</w:t>
            </w:r>
          </w:p>
        </w:tc>
      </w:tr>
      <w:tr w14:paraId="356C34F9">
        <w:tblPrEx>
          <w:tblBorders>
            <w:top w:val="single" w:color="000000" w:sz="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3010" w:type="dxa"/>
            <w:gridSpan w:val="2"/>
            <w:tcBorders>
              <w:tl2br w:val="nil"/>
              <w:tr2bl w:val="nil"/>
            </w:tcBorders>
            <w:vAlign w:val="top"/>
          </w:tcPr>
          <w:p w14:paraId="18264F44">
            <w:pPr>
              <w:pStyle w:val="35"/>
              <w:keepNext w:val="0"/>
              <w:keepLines w:val="0"/>
              <w:pageBreakBefore w:val="0"/>
              <w:kinsoku/>
              <w:wordWrap w:val="0"/>
              <w:overflowPunct/>
              <w:topLinePunct/>
              <w:autoSpaceDE/>
              <w:autoSpaceDN/>
              <w:bidi w:val="0"/>
              <w:adjustRightInd w:val="0"/>
              <w:snapToGrid w:val="0"/>
              <w:spacing w:before="68" w:line="220" w:lineRule="auto"/>
              <w:ind w:left="1202"/>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切割机</w:t>
            </w:r>
          </w:p>
        </w:tc>
        <w:tc>
          <w:tcPr>
            <w:tcW w:w="2993" w:type="dxa"/>
            <w:tcBorders>
              <w:tl2br w:val="nil"/>
              <w:tr2bl w:val="nil"/>
            </w:tcBorders>
            <w:vAlign w:val="top"/>
          </w:tcPr>
          <w:p w14:paraId="0D4FFABC">
            <w:pPr>
              <w:pStyle w:val="35"/>
              <w:keepNext w:val="0"/>
              <w:keepLines w:val="0"/>
              <w:pageBreakBefore w:val="0"/>
              <w:kinsoku/>
              <w:wordWrap w:val="0"/>
              <w:overflowPunct/>
              <w:topLinePunct/>
              <w:autoSpaceDE/>
              <w:autoSpaceDN/>
              <w:bidi w:val="0"/>
              <w:adjustRightInd w:val="0"/>
              <w:snapToGrid w:val="0"/>
              <w:spacing w:before="68" w:line="238" w:lineRule="auto"/>
              <w:ind w:left="1184"/>
              <w:textAlignment w:val="baseline"/>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spacing w:val="-1"/>
                <w:highlight w:val="none"/>
              </w:rPr>
              <w:t>91</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95</w:t>
            </w:r>
          </w:p>
        </w:tc>
        <w:tc>
          <w:tcPr>
            <w:tcW w:w="2996" w:type="dxa"/>
            <w:tcBorders>
              <w:tl2br w:val="nil"/>
              <w:tr2bl w:val="nil"/>
            </w:tcBorders>
            <w:vAlign w:val="top"/>
          </w:tcPr>
          <w:p w14:paraId="3259F7F6">
            <w:pPr>
              <w:keepNext w:val="0"/>
              <w:keepLines w:val="0"/>
              <w:pageBreakBefore w:val="0"/>
              <w:kinsoku/>
              <w:wordWrap w:val="0"/>
              <w:overflowPunct/>
              <w:topLinePunct/>
              <w:autoSpaceDE/>
              <w:autoSpaceDN/>
              <w:bidi w:val="0"/>
              <w:adjustRightInd w:val="0"/>
              <w:snapToGrid w:val="0"/>
              <w:spacing w:before="98" w:line="236" w:lineRule="auto"/>
              <w:ind w:left="1465"/>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r>
    </w:tbl>
    <w:p w14:paraId="4D483A8D">
      <w:pPr>
        <w:keepNext w:val="0"/>
        <w:keepLines w:val="0"/>
        <w:pageBreakBefore w:val="0"/>
        <w:widowControl/>
        <w:kinsoku/>
        <w:wordWrap w:val="0"/>
        <w:overflowPunct/>
        <w:topLinePunct/>
        <w:autoSpaceDE/>
        <w:autoSpaceDN/>
        <w:bidi w:val="0"/>
        <w:adjustRightInd w:val="0"/>
        <w:snapToGrid w:val="0"/>
        <w:spacing w:before="34" w:line="360" w:lineRule="auto"/>
        <w:ind w:left="126"/>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1"/>
          <w:sz w:val="24"/>
          <w:szCs w:val="24"/>
          <w:highlight w:val="none"/>
        </w:rPr>
        <w:t>3.</w:t>
      </w:r>
      <w:r>
        <w:rPr>
          <w:rFonts w:hint="default" w:ascii="Times New Roman" w:hAnsi="Times New Roman" w:eastAsia="宋体" w:cs="Times New Roman"/>
          <w:b/>
          <w:bCs/>
          <w:color w:val="auto"/>
          <w:spacing w:val="-1"/>
          <w:sz w:val="24"/>
          <w:szCs w:val="24"/>
          <w:highlight w:val="none"/>
          <w:lang w:val="en-US" w:eastAsia="zh-CN"/>
        </w:rPr>
        <w:t>3.3.4</w:t>
      </w:r>
      <w:r>
        <w:rPr>
          <w:rFonts w:hint="default" w:ascii="Times New Roman" w:hAnsi="Times New Roman" w:eastAsia="宋体" w:cs="Times New Roman"/>
          <w:b/>
          <w:bCs/>
          <w:color w:val="auto"/>
          <w:spacing w:val="-1"/>
          <w:sz w:val="24"/>
          <w:szCs w:val="24"/>
          <w:highlight w:val="none"/>
        </w:rPr>
        <w:t>建筑垃圾</w:t>
      </w:r>
    </w:p>
    <w:p w14:paraId="471E01BA">
      <w:pPr>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施工期固体废物包括：</w:t>
      </w:r>
    </w:p>
    <w:p w14:paraId="57AAE5E7">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3"/>
          <w:sz w:val="24"/>
          <w:szCs w:val="24"/>
          <w:highlight w:val="none"/>
        </w:rPr>
        <w:t>①场地平整产生的地表表土，暂时堆放，施工后用于绿化</w:t>
      </w:r>
      <w:r>
        <w:rPr>
          <w:rFonts w:hint="default" w:ascii="Times New Roman" w:hAnsi="Times New Roman" w:eastAsia="宋体" w:cs="Times New Roman"/>
          <w:color w:val="auto"/>
          <w:spacing w:val="-3"/>
          <w:sz w:val="24"/>
          <w:szCs w:val="24"/>
          <w:highlight w:val="none"/>
          <w:lang w:eastAsia="zh-CN"/>
        </w:rPr>
        <w:t>。</w:t>
      </w:r>
    </w:p>
    <w:p w14:paraId="7E880965">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pacing w:val="-11"/>
          <w:sz w:val="24"/>
          <w:szCs w:val="24"/>
          <w:highlight w:val="none"/>
        </w:rPr>
      </w:pPr>
      <w:r>
        <w:rPr>
          <w:rFonts w:hint="default" w:ascii="Times New Roman" w:hAnsi="Times New Roman" w:eastAsia="宋体" w:cs="Times New Roman"/>
          <w:color w:val="auto"/>
          <w:spacing w:val="-4"/>
          <w:sz w:val="24"/>
          <w:szCs w:val="24"/>
          <w:highlight w:val="none"/>
        </w:rPr>
        <w:t>②本项目主体建筑物为轻钢屋架结构，辅助建筑物主要为钢筋混凝土结构，施工</w:t>
      </w:r>
      <w:r>
        <w:rPr>
          <w:rFonts w:hint="default" w:ascii="Times New Roman" w:hAnsi="Times New Roman" w:eastAsia="宋体" w:cs="Times New Roman"/>
          <w:color w:val="auto"/>
          <w:spacing w:val="-10"/>
          <w:sz w:val="24"/>
          <w:szCs w:val="24"/>
          <w:highlight w:val="none"/>
        </w:rPr>
        <w:t>建设过程中产生的废建筑材料，</w:t>
      </w:r>
      <w:r>
        <w:rPr>
          <w:rFonts w:hint="default" w:ascii="Times New Roman" w:hAnsi="Times New Roman" w:eastAsia="宋体" w:cs="Times New Roman"/>
          <w:color w:val="auto"/>
          <w:spacing w:val="-10"/>
          <w:sz w:val="24"/>
          <w:szCs w:val="24"/>
          <w:highlight w:val="none"/>
          <w:lang w:eastAsia="zh-CN"/>
        </w:rPr>
        <w:t>主要成分为</w:t>
      </w:r>
      <w:r>
        <w:rPr>
          <w:rFonts w:hint="default" w:ascii="Times New Roman" w:hAnsi="Times New Roman" w:eastAsia="宋体" w:cs="Times New Roman"/>
          <w:color w:val="auto"/>
          <w:spacing w:val="-10"/>
          <w:sz w:val="24"/>
          <w:szCs w:val="24"/>
          <w:highlight w:val="none"/>
        </w:rPr>
        <w:t>：</w:t>
      </w:r>
      <w:r>
        <w:rPr>
          <w:rFonts w:hint="default" w:ascii="Times New Roman" w:hAnsi="Times New Roman" w:eastAsia="宋体" w:cs="Times New Roman"/>
          <w:color w:val="auto"/>
          <w:spacing w:val="-10"/>
          <w:sz w:val="24"/>
          <w:szCs w:val="24"/>
          <w:highlight w:val="none"/>
          <w:lang w:eastAsia="zh-CN"/>
        </w:rPr>
        <w:t>土砂石</w:t>
      </w:r>
      <w:r>
        <w:rPr>
          <w:rFonts w:hint="default" w:ascii="Times New Roman" w:hAnsi="Times New Roman" w:eastAsia="宋体" w:cs="Times New Roman"/>
          <w:color w:val="auto"/>
          <w:spacing w:val="-11"/>
          <w:sz w:val="24"/>
          <w:szCs w:val="24"/>
          <w:highlight w:val="none"/>
        </w:rPr>
        <w:t>、水泥、废金属等，产生量较少。</w:t>
      </w:r>
    </w:p>
    <w:p w14:paraId="000DDEBF">
      <w:pPr>
        <w:pStyle w:val="11"/>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spacing w:val="-2"/>
          <w:sz w:val="24"/>
          <w:szCs w:val="24"/>
          <w:highlight w:val="none"/>
        </w:rPr>
        <w:t>③施工人员产生的生活</w:t>
      </w:r>
      <w:r>
        <w:rPr>
          <w:rFonts w:hint="default" w:ascii="Times New Roman" w:hAnsi="Times New Roman" w:eastAsia="宋体" w:cs="Times New Roman"/>
          <w:color w:val="auto"/>
          <w:spacing w:val="-2"/>
          <w:sz w:val="24"/>
          <w:szCs w:val="24"/>
          <w:highlight w:val="none"/>
          <w:lang w:eastAsia="zh-CN"/>
        </w:rPr>
        <w:t>垃圾</w:t>
      </w:r>
      <w:r>
        <w:rPr>
          <w:rFonts w:hint="default" w:ascii="Times New Roman" w:hAnsi="Times New Roman" w:eastAsia="宋体" w:cs="Times New Roman"/>
          <w:color w:val="auto"/>
          <w:spacing w:val="-2"/>
          <w:sz w:val="24"/>
          <w:szCs w:val="24"/>
          <w:highlight w:val="none"/>
        </w:rPr>
        <w:t>委托当地环卫部门处置</w:t>
      </w:r>
      <w:r>
        <w:rPr>
          <w:rFonts w:hint="default" w:ascii="Times New Roman" w:hAnsi="Times New Roman" w:eastAsia="宋体" w:cs="Times New Roman"/>
          <w:color w:val="auto"/>
          <w:spacing w:val="-2"/>
          <w:sz w:val="24"/>
          <w:szCs w:val="24"/>
          <w:highlight w:val="none"/>
          <w:lang w:eastAsia="zh-CN"/>
        </w:rPr>
        <w:t>。</w:t>
      </w:r>
    </w:p>
    <w:p w14:paraId="46DA2DD4">
      <w:pPr>
        <w:keepNext w:val="0"/>
        <w:keepLines w:val="0"/>
        <w:pageBreakBefore w:val="0"/>
        <w:kinsoku/>
        <w:wordWrap w:val="0"/>
        <w:overflowPunct/>
        <w:topLinePunct/>
        <w:autoSpaceDE/>
        <w:autoSpaceDN/>
        <w:bidi w:val="0"/>
        <w:adjustRightInd w:val="0"/>
        <w:snapToGrid w:val="0"/>
        <w:spacing w:before="128" w:line="234" w:lineRule="auto"/>
        <w:jc w:val="both"/>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cs="Times New Roman"/>
          <w:color w:val="auto"/>
          <w:highlight w:val="none"/>
        </w:rPr>
        <w:drawing>
          <wp:inline distT="0" distB="0" distL="114300" distR="114300">
            <wp:extent cx="4953000" cy="2876550"/>
            <wp:effectExtent l="0" t="0" r="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76"/>
                    <a:stretch>
                      <a:fillRect/>
                    </a:stretch>
                  </pic:blipFill>
                  <pic:spPr>
                    <a:xfrm>
                      <a:off x="0" y="0"/>
                      <a:ext cx="4953000" cy="2876550"/>
                    </a:xfrm>
                    <a:prstGeom prst="rect">
                      <a:avLst/>
                    </a:prstGeom>
                    <a:noFill/>
                    <a:ln>
                      <a:noFill/>
                    </a:ln>
                  </pic:spPr>
                </pic:pic>
              </a:graphicData>
            </a:graphic>
          </wp:inline>
        </w:drawing>
      </w:r>
    </w:p>
    <w:p w14:paraId="4FF744FC">
      <w:pPr>
        <w:keepNext w:val="0"/>
        <w:keepLines w:val="0"/>
        <w:pageBreakBefore w:val="0"/>
        <w:kinsoku/>
        <w:wordWrap w:val="0"/>
        <w:overflowPunct/>
        <w:topLinePunct/>
        <w:autoSpaceDE/>
        <w:autoSpaceDN/>
        <w:bidi w:val="0"/>
        <w:adjustRightInd w:val="0"/>
        <w:snapToGrid w:val="0"/>
        <w:spacing w:before="128" w:line="234" w:lineRule="auto"/>
        <w:ind w:left="2782"/>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3"/>
          <w:sz w:val="24"/>
          <w:szCs w:val="24"/>
          <w:highlight w:val="none"/>
        </w:rPr>
        <w:t>图</w:t>
      </w:r>
      <w:r>
        <w:rPr>
          <w:rFonts w:hint="default" w:ascii="Times New Roman" w:hAnsi="Times New Roman" w:eastAsia="Times New Roman" w:cs="Times New Roman"/>
          <w:b/>
          <w:bCs/>
          <w:color w:val="auto"/>
          <w:spacing w:val="-3"/>
          <w:sz w:val="24"/>
          <w:szCs w:val="24"/>
          <w:highlight w:val="none"/>
        </w:rPr>
        <w:t>3.</w:t>
      </w:r>
      <w:r>
        <w:rPr>
          <w:rFonts w:hint="default" w:ascii="Times New Roman" w:hAnsi="Times New Roman" w:eastAsia="宋体" w:cs="Times New Roman"/>
          <w:b/>
          <w:bCs/>
          <w:color w:val="auto"/>
          <w:spacing w:val="-3"/>
          <w:sz w:val="24"/>
          <w:szCs w:val="24"/>
          <w:highlight w:val="none"/>
          <w:lang w:val="en-US" w:eastAsia="zh-CN"/>
        </w:rPr>
        <w:t>3</w:t>
      </w:r>
      <w:r>
        <w:rPr>
          <w:rFonts w:hint="default" w:ascii="Times New Roman" w:hAnsi="Times New Roman" w:eastAsia="Times New Roman" w:cs="Times New Roman"/>
          <w:b/>
          <w:bCs/>
          <w:color w:val="auto"/>
          <w:spacing w:val="-3"/>
          <w:sz w:val="24"/>
          <w:szCs w:val="24"/>
          <w:highlight w:val="none"/>
        </w:rPr>
        <w:t>-1</w:t>
      </w:r>
      <w:r>
        <w:rPr>
          <w:rFonts w:hint="default" w:ascii="Times New Roman" w:hAnsi="Times New Roman" w:eastAsia="宋体" w:cs="Times New Roman"/>
          <w:b/>
          <w:bCs/>
          <w:color w:val="auto"/>
          <w:spacing w:val="-3"/>
          <w:sz w:val="24"/>
          <w:szCs w:val="24"/>
          <w:highlight w:val="none"/>
        </w:rPr>
        <w:t>施工流程及排污节点图</w:t>
      </w:r>
    </w:p>
    <w:p w14:paraId="3DAF155E">
      <w:pPr>
        <w:keepNext w:val="0"/>
        <w:keepLines w:val="0"/>
        <w:pageBreakBefore w:val="0"/>
        <w:widowControl/>
        <w:kinsoku/>
        <w:wordWrap w:val="0"/>
        <w:overflowPunct/>
        <w:topLinePunct/>
        <w:autoSpaceDE/>
        <w:autoSpaceDN/>
        <w:bidi w:val="0"/>
        <w:adjustRightInd w:val="0"/>
        <w:snapToGrid w:val="0"/>
        <w:spacing w:before="34" w:line="360" w:lineRule="auto"/>
        <w:ind w:left="126"/>
        <w:textAlignment w:val="baseline"/>
        <w:outlineLvl w:val="3"/>
        <w:rPr>
          <w:rFonts w:hint="default" w:ascii="Times New Roman" w:hAnsi="Times New Roman" w:eastAsia="Times New Roman" w:cs="Times New Roman"/>
          <w:b/>
          <w:bCs/>
          <w:color w:val="auto"/>
          <w:spacing w:val="-1"/>
          <w:sz w:val="24"/>
          <w:szCs w:val="24"/>
          <w:highlight w:val="none"/>
        </w:rPr>
      </w:pPr>
      <w:bookmarkStart w:id="124" w:name="_Toc25651"/>
      <w:bookmarkStart w:id="125" w:name="_Toc8579"/>
      <w:r>
        <w:rPr>
          <w:rFonts w:hint="default" w:ascii="Times New Roman" w:hAnsi="Times New Roman" w:eastAsia="Times New Roman" w:cs="Times New Roman"/>
          <w:b/>
          <w:bCs/>
          <w:color w:val="auto"/>
          <w:spacing w:val="-1"/>
          <w:sz w:val="24"/>
          <w:szCs w:val="24"/>
          <w:highlight w:val="none"/>
        </w:rPr>
        <w:t>3.</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Times New Roman"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Times New Roman" w:cs="Times New Roman"/>
          <w:b/>
          <w:bCs/>
          <w:color w:val="auto"/>
          <w:spacing w:val="-1"/>
          <w:sz w:val="24"/>
          <w:szCs w:val="24"/>
          <w:highlight w:val="none"/>
        </w:rPr>
        <w:t>.5生态环境</w:t>
      </w:r>
    </w:p>
    <w:p w14:paraId="4DE9A107">
      <w:pPr>
        <w:pStyle w:val="40"/>
        <w:keepNext w:val="0"/>
        <w:keepLines w:val="0"/>
        <w:pageBreakBefore w:val="0"/>
        <w:widowControl/>
        <w:kinsoku/>
        <w:wordWrap w:val="0"/>
        <w:overflowPunct/>
        <w:topLinePunct/>
        <w:autoSpaceDE/>
        <w:autoSpaceDN/>
        <w:bidi w:val="0"/>
        <w:adjustRightInd/>
        <w:snapToGrid/>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t>工程在原有场地内进行施工，部分土建工程施工过程中的挖方、填方等施工活动，将会在短期内加大水土流失量。施工场地土方的临时堆放、开挖面的裸露，土质松散，遇到降雨影响，如果防护不当，将使水土流失现象加剧。</w:t>
      </w:r>
    </w:p>
    <w:p w14:paraId="16D37418">
      <w:pPr>
        <w:pStyle w:val="40"/>
        <w:keepNext w:val="0"/>
        <w:keepLines w:val="0"/>
        <w:pageBreakBefore w:val="0"/>
        <w:widowControl/>
        <w:kinsoku w:val="0"/>
        <w:wordWrap/>
        <w:overflowPunct/>
        <w:topLinePunct w:val="0"/>
        <w:autoSpaceDE w:val="0"/>
        <w:autoSpaceDN w:val="0"/>
        <w:bidi w:val="0"/>
        <w:adjustRightInd/>
        <w:snapToGrid/>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t>项目总占地面积</w:t>
      </w:r>
      <w:r>
        <w:rPr>
          <w:rFonts w:hint="default" w:ascii="Times New Roman" w:hAnsi="Times New Roman" w:eastAsia="宋体" w:cs="Times New Roman"/>
          <w:snapToGrid w:val="0"/>
          <w:color w:val="auto"/>
          <w:spacing w:val="-4"/>
          <w:kern w:val="0"/>
          <w:sz w:val="24"/>
          <w:szCs w:val="24"/>
          <w:highlight w:val="none"/>
          <w:lang w:val="en-US" w:eastAsia="zh-CN" w:bidi="ar-SA"/>
        </w:rPr>
        <w:t>128037.95</w:t>
      </w:r>
      <w:r>
        <w:rPr>
          <w:rFonts w:hint="default" w:ascii="Times New Roman" w:hAnsi="Times New Roman" w:eastAsia="宋体" w:cs="Times New Roman"/>
          <w:snapToGrid w:val="0"/>
          <w:color w:val="auto"/>
          <w:spacing w:val="-4"/>
          <w:kern w:val="0"/>
          <w:sz w:val="24"/>
          <w:szCs w:val="24"/>
          <w:highlight w:val="none"/>
          <w:lang w:val="en-US" w:eastAsia="en-US" w:bidi="ar-SA"/>
        </w:rPr>
        <w:t>平方米，占地类型为设施农用地，占地内无国家和地方保护物种，现状场区地表基本硬化。项目建成后通过绿化工程等措施，将最大程度减缓对生态环境的影响。</w:t>
      </w:r>
    </w:p>
    <w:bookmarkEnd w:id="124"/>
    <w:bookmarkEnd w:id="125"/>
    <w:p w14:paraId="60D911E2">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1"/>
        <w:rPr>
          <w:rFonts w:hint="default" w:ascii="Times New Roman" w:hAnsi="Times New Roman" w:eastAsia="宋体" w:cs="Times New Roman"/>
          <w:color w:val="auto"/>
          <w:sz w:val="28"/>
          <w:szCs w:val="28"/>
          <w:highlight w:val="none"/>
        </w:rPr>
      </w:pPr>
      <w:bookmarkStart w:id="126" w:name="_Toc15406"/>
      <w:r>
        <w:rPr>
          <w:rFonts w:hint="default" w:ascii="Times New Roman" w:hAnsi="Times New Roman" w:eastAsia="Times New Roman" w:cs="Times New Roman"/>
          <w:b/>
          <w:bCs/>
          <w:color w:val="auto"/>
          <w:spacing w:val="-3"/>
          <w:sz w:val="28"/>
          <w:szCs w:val="28"/>
          <w:highlight w:val="none"/>
        </w:rPr>
        <w:t>3.3.</w:t>
      </w:r>
      <w:r>
        <w:rPr>
          <w:rFonts w:hint="default" w:ascii="Times New Roman" w:hAnsi="Times New Roman" w:eastAsia="宋体" w:cs="Times New Roman"/>
          <w:b/>
          <w:bCs/>
          <w:color w:val="auto"/>
          <w:spacing w:val="-3"/>
          <w:sz w:val="28"/>
          <w:szCs w:val="28"/>
          <w:highlight w:val="none"/>
          <w:lang w:val="en-US" w:eastAsia="zh-CN"/>
        </w:rPr>
        <w:t>2运营期污染源及源强分析</w:t>
      </w:r>
      <w:bookmarkEnd w:id="126"/>
    </w:p>
    <w:p w14:paraId="57874541">
      <w:pPr>
        <w:keepNext w:val="0"/>
        <w:keepLines w:val="0"/>
        <w:pageBreakBefore w:val="0"/>
        <w:widowControl/>
        <w:kinsoku/>
        <w:wordWrap w:val="0"/>
        <w:overflowPunct/>
        <w:topLinePunct/>
        <w:autoSpaceDE/>
        <w:autoSpaceDN/>
        <w:bidi w:val="0"/>
        <w:adjustRightInd w:val="0"/>
        <w:snapToGrid w:val="0"/>
        <w:spacing w:before="34" w:line="360" w:lineRule="auto"/>
        <w:textAlignment w:val="baseline"/>
        <w:outlineLvl w:val="3"/>
        <w:rPr>
          <w:rFonts w:hint="default" w:ascii="Times New Roman" w:hAnsi="Times New Roman" w:eastAsia="宋体" w:cs="Times New Roman"/>
          <w:b/>
          <w:bCs/>
          <w:color w:val="auto"/>
          <w:spacing w:val="-1"/>
          <w:sz w:val="24"/>
          <w:szCs w:val="24"/>
          <w:highlight w:val="none"/>
          <w:lang w:eastAsia="zh-CN"/>
        </w:rPr>
      </w:pPr>
      <w:r>
        <w:rPr>
          <w:rFonts w:hint="default" w:ascii="Times New Roman" w:hAnsi="Times New Roman" w:eastAsia="宋体" w:cs="Times New Roman"/>
          <w:b/>
          <w:bCs/>
          <w:color w:val="auto"/>
          <w:spacing w:val="-1"/>
          <w:sz w:val="24"/>
          <w:szCs w:val="24"/>
          <w:highlight w:val="none"/>
          <w:lang w:val="en-US" w:eastAsia="zh-CN"/>
        </w:rPr>
        <w:t>3.3.2.1废气</w:t>
      </w:r>
    </w:p>
    <w:p w14:paraId="78A2721C">
      <w:pPr>
        <w:keepNext w:val="0"/>
        <w:keepLines w:val="0"/>
        <w:pageBreakBefore w:val="0"/>
        <w:widowControl/>
        <w:kinsoku/>
        <w:wordWrap w:val="0"/>
        <w:overflowPunct/>
        <w:topLinePunct/>
        <w:autoSpaceDE/>
        <w:autoSpaceDN/>
        <w:bidi w:val="0"/>
        <w:adjustRightInd w:val="0"/>
        <w:snapToGrid w:val="0"/>
        <w:spacing w:line="360" w:lineRule="auto"/>
        <w:ind w:firstLine="464" w:firstLineChars="200"/>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bookmarkStart w:id="127" w:name="_Hlk45201299"/>
      <w:r>
        <w:rPr>
          <w:rFonts w:hint="default" w:ascii="Times New Roman" w:hAnsi="Times New Roman" w:eastAsia="宋体" w:cs="Times New Roman"/>
          <w:snapToGrid w:val="0"/>
          <w:color w:val="auto"/>
          <w:spacing w:val="-4"/>
          <w:kern w:val="0"/>
          <w:sz w:val="24"/>
          <w:szCs w:val="24"/>
          <w:highlight w:val="none"/>
          <w:lang w:val="en-US" w:eastAsia="en-US" w:bidi="ar-SA"/>
        </w:rPr>
        <w:t>本项目运营期大气污染源主要是牛舍、</w:t>
      </w:r>
      <w:r>
        <w:rPr>
          <w:rFonts w:hint="default" w:ascii="Times New Roman" w:hAnsi="Times New Roman" w:eastAsia="宋体" w:cs="Times New Roman"/>
          <w:snapToGrid w:val="0"/>
          <w:color w:val="auto"/>
          <w:spacing w:val="-4"/>
          <w:kern w:val="0"/>
          <w:sz w:val="24"/>
          <w:szCs w:val="24"/>
          <w:highlight w:val="none"/>
          <w:lang w:val="en-US" w:eastAsia="zh-CN" w:bidi="ar-SA"/>
        </w:rPr>
        <w:t>粪污储存间</w:t>
      </w:r>
      <w:r>
        <w:rPr>
          <w:rFonts w:hint="default" w:ascii="Times New Roman" w:hAnsi="Times New Roman" w:eastAsia="宋体" w:cs="Times New Roman"/>
          <w:snapToGrid w:val="0"/>
          <w:color w:val="auto"/>
          <w:spacing w:val="-4"/>
          <w:kern w:val="0"/>
          <w:sz w:val="24"/>
          <w:szCs w:val="24"/>
          <w:highlight w:val="none"/>
          <w:lang w:val="en-US" w:eastAsia="en-US" w:bidi="ar-SA"/>
        </w:rPr>
        <w:t>等。</w:t>
      </w:r>
      <w:bookmarkEnd w:id="127"/>
    </w:p>
    <w:p w14:paraId="4131A5AA">
      <w:pPr>
        <w:keepNext w:val="0"/>
        <w:keepLines w:val="0"/>
        <w:pageBreakBefore w:val="0"/>
        <w:widowControl/>
        <w:kinsoku/>
        <w:wordWrap w:val="0"/>
        <w:overflowPunct/>
        <w:topLinePunct/>
        <w:autoSpaceDE/>
        <w:autoSpaceDN/>
        <w:bidi w:val="0"/>
        <w:adjustRightInd w:val="0"/>
        <w:snapToGrid w:val="0"/>
        <w:spacing w:line="360" w:lineRule="auto"/>
        <w:ind w:left="0" w:firstLine="472" w:firstLineChars="200"/>
        <w:jc w:val="both"/>
        <w:textAlignment w:val="baseline"/>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pacing w:val="-2"/>
          <w:sz w:val="24"/>
          <w:szCs w:val="24"/>
          <w:highlight w:val="none"/>
        </w:rPr>
        <w:t>（一）牛舍</w:t>
      </w:r>
      <w:r>
        <w:rPr>
          <w:rFonts w:hint="default" w:ascii="Times New Roman" w:hAnsi="Times New Roman" w:eastAsia="宋体" w:cs="Times New Roman"/>
          <w:color w:val="auto"/>
          <w:spacing w:val="-2"/>
          <w:sz w:val="24"/>
          <w:szCs w:val="24"/>
          <w:highlight w:val="none"/>
          <w:lang w:val="en-US" w:eastAsia="zh-CN"/>
        </w:rPr>
        <w:t>及运动场</w:t>
      </w:r>
    </w:p>
    <w:p w14:paraId="37EDF2D5">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cs="Times New Roman"/>
          <w:color w:val="FF0000"/>
          <w:sz w:val="24"/>
          <w:szCs w:val="24"/>
        </w:rPr>
      </w:pPr>
      <w:r>
        <w:rPr>
          <w:rFonts w:hint="default" w:ascii="Times New Roman" w:hAnsi="Times New Roman" w:eastAsia="宋体" w:cs="Times New Roman"/>
          <w:snapToGrid w:val="0"/>
          <w:color w:val="FF0000"/>
          <w:kern w:val="0"/>
          <w:sz w:val="24"/>
          <w:szCs w:val="24"/>
          <w:lang w:val="en-US" w:eastAsia="zh-CN" w:bidi="ar"/>
        </w:rPr>
        <w:t>养殖场恶臭的成分十分复杂，牲畜种类不同、清粪、尿的方式、日粮组成、粪便等的不同，恶臭的构成和强度也会有差异。本评价参考《恶臭污染物排放标准》等，考虑评价的代表性和可操作性，选取 H</w:t>
      </w:r>
      <w:r>
        <w:rPr>
          <w:rFonts w:hint="default" w:ascii="Times New Roman" w:hAnsi="Times New Roman" w:eastAsia="宋体" w:cs="Times New Roman"/>
          <w:snapToGrid w:val="0"/>
          <w:color w:val="FF0000"/>
          <w:kern w:val="0"/>
          <w:sz w:val="24"/>
          <w:szCs w:val="24"/>
          <w:vertAlign w:val="subscript"/>
          <w:lang w:val="en-US" w:eastAsia="zh-CN" w:bidi="ar"/>
        </w:rPr>
        <w:t>2</w:t>
      </w:r>
      <w:r>
        <w:rPr>
          <w:rFonts w:hint="default" w:ascii="Times New Roman" w:hAnsi="Times New Roman" w:eastAsia="宋体" w:cs="Times New Roman"/>
          <w:snapToGrid w:val="0"/>
          <w:color w:val="FF0000"/>
          <w:kern w:val="0"/>
          <w:sz w:val="24"/>
          <w:szCs w:val="24"/>
          <w:lang w:val="en-US" w:eastAsia="zh-CN" w:bidi="ar"/>
        </w:rPr>
        <w:t>S、NH</w:t>
      </w:r>
      <w:r>
        <w:rPr>
          <w:rFonts w:hint="default" w:ascii="Times New Roman" w:hAnsi="Times New Roman" w:eastAsia="宋体" w:cs="Times New Roman"/>
          <w:snapToGrid w:val="0"/>
          <w:color w:val="FF0000"/>
          <w:kern w:val="0"/>
          <w:sz w:val="24"/>
          <w:szCs w:val="24"/>
          <w:vertAlign w:val="subscript"/>
          <w:lang w:val="en-US" w:eastAsia="zh-CN" w:bidi="ar"/>
        </w:rPr>
        <w:t>3</w:t>
      </w:r>
      <w:r>
        <w:rPr>
          <w:rFonts w:hint="eastAsia" w:ascii="Times New Roman" w:hAnsi="Times New Roman" w:eastAsia="宋体" w:cs="Times New Roman"/>
          <w:snapToGrid w:val="0"/>
          <w:color w:val="FF0000"/>
          <w:kern w:val="0"/>
          <w:sz w:val="24"/>
          <w:szCs w:val="24"/>
          <w:vertAlign w:val="baseline"/>
          <w:lang w:val="en-US" w:eastAsia="zh-CN" w:bidi="ar"/>
        </w:rPr>
        <w:t>作为</w:t>
      </w:r>
      <w:r>
        <w:rPr>
          <w:rFonts w:hint="default" w:ascii="Times New Roman" w:hAnsi="Times New Roman" w:eastAsia="宋体" w:cs="Times New Roman"/>
          <w:snapToGrid w:val="0"/>
          <w:color w:val="FF0000"/>
          <w:kern w:val="0"/>
          <w:sz w:val="24"/>
          <w:szCs w:val="24"/>
          <w:lang w:val="en-US" w:eastAsia="zh-CN" w:bidi="ar"/>
        </w:rPr>
        <w:t xml:space="preserve">预测和评价因子。本次评价采用资料调查法，参考相关文献报道确定恶臭污染物源强。 </w:t>
      </w:r>
    </w:p>
    <w:p w14:paraId="79072DC5">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snapToGrid w:val="0"/>
          <w:color w:val="FF0000"/>
          <w:kern w:val="0"/>
          <w:sz w:val="24"/>
          <w:szCs w:val="24"/>
          <w:lang w:val="en-US" w:eastAsia="zh-CN" w:bidi="ar"/>
        </w:rPr>
      </w:pPr>
      <w:r>
        <w:rPr>
          <w:rFonts w:hint="default" w:ascii="Times New Roman" w:hAnsi="Times New Roman" w:eastAsia="宋体" w:cs="Times New Roman"/>
          <w:snapToGrid w:val="0"/>
          <w:color w:val="FF0000"/>
          <w:kern w:val="0"/>
          <w:sz w:val="24"/>
          <w:szCs w:val="24"/>
          <w:lang w:val="en-US" w:eastAsia="zh-CN" w:bidi="ar"/>
        </w:rPr>
        <w:t>根据论文《中国畜禽粪产生量估算及环境效应》（中国环境科学，2006，26（5）：614-617），牛粪中含氮量约 0.351%、含硫量约 0.596‰。据牛场粪污处理的相关技术资料，尿液中均含有氮元素（蛋白质、氨基酸、腐殖质等），其含量大致为0.20%。在饲料配方合理，栏舍管理得当的前提下，总硫、总氮转化</w:t>
      </w:r>
      <w:r>
        <w:rPr>
          <w:rFonts w:hint="eastAsia" w:ascii="Times New Roman" w:hAnsi="Times New Roman" w:eastAsia="宋体" w:cs="Times New Roman"/>
          <w:snapToGrid w:val="0"/>
          <w:color w:val="FF0000"/>
          <w:kern w:val="0"/>
          <w:sz w:val="24"/>
          <w:szCs w:val="24"/>
          <w:lang w:val="en-US" w:eastAsia="zh-CN" w:bidi="ar"/>
        </w:rPr>
        <w:t>。硫化氢</w:t>
      </w:r>
      <w:r>
        <w:rPr>
          <w:rFonts w:hint="default" w:ascii="Times New Roman" w:hAnsi="Times New Roman" w:eastAsia="宋体" w:cs="Times New Roman"/>
          <w:snapToGrid w:val="0"/>
          <w:color w:val="FF0000"/>
          <w:kern w:val="0"/>
          <w:sz w:val="24"/>
          <w:szCs w:val="24"/>
          <w:lang w:val="en-US" w:eastAsia="zh-CN" w:bidi="ar"/>
        </w:rPr>
        <w:t xml:space="preserve">、氨气的总量不超过其总量的4%，本次评价按其最不利条件，转化率按4%计算。牛粪含水按60%计。本项目肉牛饲料中拟定加入菌剂，并采用生物除臭剂以雾化方式喷洒牛舍及运动 场，可以加速氨氮分解，降低氨气的浓度。可从源头上减少约 50%的粪污恶臭产生量。 </w:t>
      </w:r>
    </w:p>
    <w:p w14:paraId="19699FF1">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snapToGrid w:val="0"/>
          <w:color w:val="FF0000"/>
          <w:kern w:val="0"/>
          <w:sz w:val="24"/>
          <w:szCs w:val="24"/>
          <w:lang w:val="en-US" w:eastAsia="zh-CN" w:bidi="ar"/>
        </w:rPr>
      </w:pPr>
      <w:r>
        <w:rPr>
          <w:rFonts w:hint="default" w:ascii="Times New Roman" w:hAnsi="Times New Roman" w:eastAsia="宋体" w:cs="Times New Roman"/>
          <w:snapToGrid w:val="0"/>
          <w:color w:val="FF0000"/>
          <w:kern w:val="0"/>
          <w:sz w:val="24"/>
          <w:szCs w:val="24"/>
          <w:lang w:val="en-US" w:eastAsia="zh-CN" w:bidi="ar"/>
        </w:rPr>
        <w:t>综上分析，按照本项目出栏量核算由粪污中挥发出的恶臭物质量。</w:t>
      </w:r>
    </w:p>
    <w:p w14:paraId="1074877B">
      <w:pPr>
        <w:keepNext w:val="0"/>
        <w:keepLines w:val="0"/>
        <w:pageBreakBefore w:val="0"/>
        <w:widowControl/>
        <w:kinsoku/>
        <w:wordWrap w:val="0"/>
        <w:overflowPunct/>
        <w:topLinePunct/>
        <w:autoSpaceDE/>
        <w:autoSpaceDN/>
        <w:bidi w:val="0"/>
        <w:adjustRightInd w:val="0"/>
        <w:snapToGrid w:val="0"/>
        <w:spacing w:line="360" w:lineRule="auto"/>
        <w:ind w:right="0" w:firstLine="480" w:firstLineChars="200"/>
        <w:jc w:val="both"/>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snapToGrid w:val="0"/>
          <w:color w:val="FF0000"/>
          <w:kern w:val="0"/>
          <w:sz w:val="24"/>
          <w:szCs w:val="24"/>
          <w:highlight w:val="none"/>
          <w:lang w:val="en-US" w:eastAsia="zh-CN" w:bidi="ar"/>
        </w:rPr>
        <w:t>根据下文固体</w:t>
      </w:r>
      <w:r>
        <w:rPr>
          <w:rFonts w:hint="default" w:ascii="Times New Roman" w:hAnsi="Times New Roman" w:eastAsia="宋体" w:cs="Times New Roman"/>
          <w:color w:val="FF0000"/>
          <w:sz w:val="24"/>
          <w:szCs w:val="24"/>
          <w:highlight w:val="none"/>
        </w:rPr>
        <w:t>废物产生的分析，本项目牛粪</w:t>
      </w:r>
      <w:r>
        <w:rPr>
          <w:rFonts w:hint="default" w:ascii="Times New Roman" w:hAnsi="Times New Roman" w:eastAsia="宋体" w:cs="Times New Roman"/>
          <w:color w:val="FF0000"/>
          <w:sz w:val="24"/>
          <w:szCs w:val="24"/>
          <w:highlight w:val="none"/>
          <w:lang w:val="en-US" w:eastAsia="zh-CN"/>
        </w:rPr>
        <w:t>54.4</w:t>
      </w:r>
      <w:r>
        <w:rPr>
          <w:rFonts w:hint="default" w:ascii="Times New Roman" w:hAnsi="Times New Roman" w:eastAsia="Times New Roman" w:cs="Times New Roman"/>
          <w:color w:val="FF0000"/>
          <w:sz w:val="24"/>
          <w:szCs w:val="24"/>
          <w:highlight w:val="none"/>
        </w:rPr>
        <w:t>t/d</w:t>
      </w: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highlight w:val="none"/>
          <w:lang w:val="en-US" w:eastAsia="zh-CN"/>
        </w:rPr>
        <w:t>19856t/a</w:t>
      </w: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highlight w:val="none"/>
        </w:rPr>
        <w:t>，牛尿</w:t>
      </w:r>
      <w:r>
        <w:rPr>
          <w:rFonts w:hint="default" w:ascii="Times New Roman" w:hAnsi="Times New Roman" w:eastAsia="宋体" w:cs="Times New Roman"/>
          <w:color w:val="FF0000"/>
          <w:sz w:val="24"/>
          <w:szCs w:val="24"/>
          <w:highlight w:val="none"/>
          <w:lang w:val="en-US" w:eastAsia="zh-CN"/>
        </w:rPr>
        <w:t>50</w:t>
      </w:r>
      <w:r>
        <w:rPr>
          <w:rFonts w:hint="default" w:ascii="Times New Roman" w:hAnsi="Times New Roman" w:eastAsia="Times New Roman" w:cs="Times New Roman"/>
          <w:color w:val="FF0000"/>
          <w:spacing w:val="-1"/>
          <w:sz w:val="24"/>
          <w:szCs w:val="24"/>
          <w:highlight w:val="none"/>
        </w:rPr>
        <w:t>t/d</w:t>
      </w:r>
      <w:r>
        <w:rPr>
          <w:rFonts w:hint="default" w:ascii="Times New Roman" w:hAnsi="Times New Roman" w:eastAsia="宋体" w:cs="Times New Roman"/>
          <w:color w:val="FF0000"/>
          <w:spacing w:val="-1"/>
          <w:sz w:val="24"/>
          <w:szCs w:val="24"/>
          <w:highlight w:val="none"/>
          <w:lang w:eastAsia="zh-CN"/>
        </w:rPr>
        <w:t>（</w:t>
      </w:r>
      <w:r>
        <w:rPr>
          <w:rFonts w:hint="default" w:ascii="Times New Roman" w:hAnsi="Times New Roman" w:eastAsia="宋体" w:cs="Times New Roman"/>
          <w:color w:val="FF0000"/>
          <w:spacing w:val="-1"/>
          <w:sz w:val="24"/>
          <w:szCs w:val="24"/>
          <w:highlight w:val="none"/>
          <w:lang w:val="en-US" w:eastAsia="zh-CN"/>
        </w:rPr>
        <w:t>18250t/a</w:t>
      </w:r>
      <w:r>
        <w:rPr>
          <w:rFonts w:hint="default" w:ascii="Times New Roman" w:hAnsi="Times New Roman" w:eastAsia="宋体" w:cs="Times New Roman"/>
          <w:color w:val="FF0000"/>
          <w:spacing w:val="-1"/>
          <w:sz w:val="24"/>
          <w:szCs w:val="24"/>
          <w:highlight w:val="none"/>
          <w:lang w:eastAsia="zh-CN"/>
        </w:rPr>
        <w:t>）</w:t>
      </w:r>
      <w:r>
        <w:rPr>
          <w:rFonts w:hint="default" w:ascii="Times New Roman" w:hAnsi="Times New Roman" w:eastAsia="宋体" w:cs="Times New Roman"/>
          <w:color w:val="FF0000"/>
          <w:spacing w:val="-1"/>
          <w:sz w:val="24"/>
          <w:szCs w:val="24"/>
          <w:highlight w:val="none"/>
        </w:rPr>
        <w:t>。</w:t>
      </w:r>
    </w:p>
    <w:p w14:paraId="2BD00255">
      <w:pPr>
        <w:keepNext w:val="0"/>
        <w:keepLines w:val="0"/>
        <w:pageBreakBefore w:val="0"/>
        <w:widowControl/>
        <w:kinsoku/>
        <w:wordWrap w:val="0"/>
        <w:overflowPunct/>
        <w:topLinePunct/>
        <w:autoSpaceDE/>
        <w:autoSpaceDN/>
        <w:bidi w:val="0"/>
        <w:adjustRightInd w:val="0"/>
        <w:snapToGrid w:val="0"/>
        <w:spacing w:line="360" w:lineRule="auto"/>
        <w:ind w:left="485"/>
        <w:textAlignment w:val="baseline"/>
        <w:rPr>
          <w:rFonts w:hint="default" w:ascii="Times New Roman" w:hAnsi="Times New Roman" w:eastAsia="Times New Roman" w:cs="Times New Roman"/>
          <w:color w:val="0000FF"/>
          <w:sz w:val="24"/>
          <w:szCs w:val="24"/>
          <w:highlight w:val="none"/>
        </w:rPr>
      </w:pPr>
      <w:r>
        <w:rPr>
          <w:rFonts w:hint="default" w:ascii="Times New Roman" w:hAnsi="Times New Roman" w:eastAsia="宋体" w:cs="Times New Roman"/>
          <w:color w:val="0000FF"/>
          <w:sz w:val="24"/>
          <w:szCs w:val="24"/>
          <w:highlight w:val="none"/>
        </w:rPr>
        <w:t>则氨气产生量</w:t>
      </w:r>
      <w:r>
        <w:rPr>
          <w:rFonts w:hint="default" w:ascii="Times New Roman" w:hAnsi="Times New Roman" w:eastAsia="Times New Roman" w:cs="Times New Roman"/>
          <w:color w:val="0000FF"/>
          <w:sz w:val="24"/>
          <w:szCs w:val="24"/>
          <w:highlight w:val="none"/>
        </w:rPr>
        <w:t>=</w:t>
      </w:r>
      <w:r>
        <w:rPr>
          <w:rFonts w:hint="default" w:ascii="Times New Roman" w:hAnsi="Times New Roman" w:eastAsia="Times New Roman" w:cs="Times New Roman"/>
          <w:color w:val="0000FF"/>
          <w:sz w:val="24"/>
          <w:szCs w:val="24"/>
          <w:highlight w:val="none"/>
          <w:lang w:val="en-US" w:eastAsia="zh-CN"/>
        </w:rPr>
        <w:t>牛粪×40%×0.351%×4%×</w:t>
      </w:r>
      <w:r>
        <w:rPr>
          <w:rFonts w:hint="eastAsia" w:ascii="Times New Roman" w:hAnsi="Times New Roman" w:eastAsia="Times New Roman" w:cs="Times New Roman"/>
          <w:color w:val="0000FF"/>
          <w:sz w:val="24"/>
          <w:szCs w:val="24"/>
          <w:highlight w:val="none"/>
          <w:lang w:val="en-US" w:eastAsia="zh-CN"/>
        </w:rPr>
        <w:t>50</w:t>
      </w:r>
      <w:r>
        <w:rPr>
          <w:rFonts w:hint="default" w:ascii="Times New Roman" w:hAnsi="Times New Roman" w:eastAsia="Times New Roman" w:cs="Times New Roman"/>
          <w:color w:val="0000FF"/>
          <w:sz w:val="24"/>
          <w:szCs w:val="24"/>
          <w:highlight w:val="none"/>
          <w:lang w:val="en-US" w:eastAsia="zh-CN"/>
        </w:rPr>
        <w:t>%+牛尿×0.20%×4%×</w:t>
      </w:r>
      <w:r>
        <w:rPr>
          <w:rFonts w:hint="eastAsia" w:ascii="Times New Roman" w:hAnsi="Times New Roman" w:eastAsia="Times New Roman" w:cs="Times New Roman"/>
          <w:color w:val="0000FF"/>
          <w:sz w:val="24"/>
          <w:szCs w:val="24"/>
          <w:highlight w:val="none"/>
          <w:lang w:val="en-US" w:eastAsia="zh-CN"/>
        </w:rPr>
        <w:t>50</w:t>
      </w:r>
      <w:r>
        <w:rPr>
          <w:rFonts w:hint="default" w:ascii="Times New Roman" w:hAnsi="Times New Roman" w:eastAsia="Times New Roman" w:cs="Times New Roman"/>
          <w:color w:val="0000FF"/>
          <w:sz w:val="24"/>
          <w:szCs w:val="24"/>
          <w:highlight w:val="none"/>
          <w:lang w:val="en-US" w:eastAsia="zh-CN"/>
        </w:rPr>
        <w:t>%</w:t>
      </w:r>
    </w:p>
    <w:p w14:paraId="784E53AF">
      <w:pPr>
        <w:keepNext w:val="0"/>
        <w:keepLines w:val="0"/>
        <w:pageBreakBefore w:val="0"/>
        <w:widowControl/>
        <w:kinsoku/>
        <w:wordWrap w:val="0"/>
        <w:overflowPunct/>
        <w:topLinePunct/>
        <w:autoSpaceDE/>
        <w:autoSpaceDN/>
        <w:bidi w:val="0"/>
        <w:adjustRightInd w:val="0"/>
        <w:snapToGrid w:val="0"/>
        <w:spacing w:line="360" w:lineRule="auto"/>
        <w:ind w:left="485"/>
        <w:textAlignment w:val="baseline"/>
        <w:rPr>
          <w:rFonts w:hint="default" w:ascii="Times New Roman" w:hAnsi="Times New Roman" w:eastAsia="宋体" w:cs="Times New Roman"/>
          <w:color w:val="0000FF"/>
          <w:sz w:val="24"/>
          <w:szCs w:val="24"/>
          <w:highlight w:val="none"/>
          <w:lang w:val="en-US" w:eastAsia="zh-CN"/>
        </w:rPr>
      </w:pPr>
      <w:r>
        <w:rPr>
          <w:rFonts w:hint="default" w:ascii="Times New Roman" w:hAnsi="Times New Roman" w:eastAsia="Times New Roman" w:cs="Times New Roman"/>
          <w:color w:val="0000FF"/>
          <w:spacing w:val="-1"/>
          <w:sz w:val="24"/>
          <w:szCs w:val="24"/>
          <w:highlight w:val="none"/>
        </w:rPr>
        <w:t>=</w:t>
      </w:r>
      <w:r>
        <w:rPr>
          <w:rFonts w:hint="default" w:ascii="Times New Roman" w:hAnsi="Times New Roman" w:eastAsia="宋体" w:cs="Times New Roman"/>
          <w:color w:val="0000FF"/>
          <w:sz w:val="24"/>
          <w:szCs w:val="24"/>
          <w:highlight w:val="none"/>
          <w:lang w:val="en-US" w:eastAsia="zh-CN"/>
        </w:rPr>
        <w:t>19856</w:t>
      </w:r>
      <w:r>
        <w:rPr>
          <w:rFonts w:hint="default" w:ascii="Times New Roman" w:hAnsi="Times New Roman" w:eastAsia="Times New Roman" w:cs="Times New Roman"/>
          <w:color w:val="0000FF"/>
          <w:sz w:val="24"/>
          <w:szCs w:val="24"/>
          <w:highlight w:val="none"/>
          <w:lang w:val="en-US" w:eastAsia="zh-CN"/>
        </w:rPr>
        <w:t>×40%×0.351%×4%×</w:t>
      </w:r>
      <w:r>
        <w:rPr>
          <w:rFonts w:hint="eastAsia" w:ascii="Times New Roman" w:hAnsi="Times New Roman" w:eastAsia="Times New Roman" w:cs="Times New Roman"/>
          <w:color w:val="0000FF"/>
          <w:sz w:val="24"/>
          <w:szCs w:val="24"/>
          <w:highlight w:val="none"/>
          <w:lang w:val="en-US" w:eastAsia="zh-CN"/>
        </w:rPr>
        <w:t>50</w:t>
      </w:r>
      <w:r>
        <w:rPr>
          <w:rFonts w:hint="default" w:ascii="Times New Roman" w:hAnsi="Times New Roman" w:eastAsia="Times New Roman" w:cs="Times New Roman"/>
          <w:color w:val="0000FF"/>
          <w:sz w:val="24"/>
          <w:szCs w:val="24"/>
          <w:highlight w:val="none"/>
          <w:lang w:val="en-US" w:eastAsia="zh-CN"/>
        </w:rPr>
        <w:t>%+18250×0.20%×4%×</w:t>
      </w:r>
      <w:r>
        <w:rPr>
          <w:rFonts w:hint="eastAsia" w:ascii="Times New Roman" w:hAnsi="Times New Roman" w:eastAsia="Times New Roman" w:cs="Times New Roman"/>
          <w:color w:val="0000FF"/>
          <w:sz w:val="24"/>
          <w:szCs w:val="24"/>
          <w:highlight w:val="none"/>
          <w:lang w:val="en-US" w:eastAsia="zh-CN"/>
        </w:rPr>
        <w:t>50</w:t>
      </w:r>
      <w:r>
        <w:rPr>
          <w:rFonts w:hint="default" w:ascii="Times New Roman" w:hAnsi="Times New Roman" w:eastAsia="Times New Roman" w:cs="Times New Roman"/>
          <w:color w:val="0000FF"/>
          <w:sz w:val="24"/>
          <w:szCs w:val="24"/>
          <w:highlight w:val="none"/>
          <w:lang w:val="en-US" w:eastAsia="zh-CN"/>
        </w:rPr>
        <w:t>%</w:t>
      </w:r>
      <w:r>
        <w:rPr>
          <w:rFonts w:hint="default" w:ascii="Times New Roman" w:hAnsi="Times New Roman" w:eastAsia="宋体" w:cs="Times New Roman"/>
          <w:color w:val="0000FF"/>
          <w:sz w:val="24"/>
          <w:szCs w:val="24"/>
          <w:highlight w:val="none"/>
          <w:lang w:val="en-US" w:eastAsia="zh-CN"/>
        </w:rPr>
        <w:t>=</w:t>
      </w:r>
      <w:r>
        <w:rPr>
          <w:rFonts w:hint="eastAsia" w:ascii="Times New Roman" w:hAnsi="Times New Roman" w:eastAsia="宋体" w:cs="Times New Roman"/>
          <w:color w:val="0000FF"/>
          <w:sz w:val="24"/>
          <w:szCs w:val="24"/>
          <w:highlight w:val="none"/>
          <w:lang w:val="en-US" w:eastAsia="zh-CN"/>
        </w:rPr>
        <w:t>1.288</w:t>
      </w:r>
      <w:r>
        <w:rPr>
          <w:rFonts w:hint="default" w:ascii="Times New Roman" w:hAnsi="Times New Roman" w:eastAsia="宋体" w:cs="Times New Roman"/>
          <w:color w:val="0000FF"/>
          <w:sz w:val="24"/>
          <w:szCs w:val="24"/>
          <w:highlight w:val="none"/>
          <w:lang w:val="en-US" w:eastAsia="zh-CN"/>
        </w:rPr>
        <w:t>t/a</w:t>
      </w:r>
    </w:p>
    <w:p w14:paraId="49D9BDCE">
      <w:pPr>
        <w:keepNext w:val="0"/>
        <w:keepLines w:val="0"/>
        <w:pageBreakBefore w:val="0"/>
        <w:widowControl/>
        <w:kinsoku/>
        <w:wordWrap w:val="0"/>
        <w:overflowPunct/>
        <w:topLinePunct/>
        <w:autoSpaceDE/>
        <w:autoSpaceDN/>
        <w:bidi w:val="0"/>
        <w:adjustRightInd w:val="0"/>
        <w:snapToGrid w:val="0"/>
        <w:spacing w:line="360" w:lineRule="auto"/>
        <w:ind w:left="0" w:firstLine="480" w:firstLineChars="200"/>
        <w:textAlignment w:val="baseline"/>
        <w:rPr>
          <w:rFonts w:hint="default" w:ascii="Times New Roman" w:hAnsi="Times New Roman" w:eastAsia="Times New Roman" w:cs="Times New Roman"/>
          <w:color w:val="0000FF"/>
          <w:sz w:val="24"/>
          <w:szCs w:val="24"/>
          <w:highlight w:val="none"/>
          <w:lang w:val="en-US"/>
        </w:rPr>
      </w:pPr>
      <w:r>
        <w:rPr>
          <w:rFonts w:hint="default" w:ascii="Times New Roman" w:hAnsi="Times New Roman" w:eastAsia="宋体" w:cs="Times New Roman"/>
          <w:color w:val="0000FF"/>
          <w:sz w:val="24"/>
          <w:szCs w:val="24"/>
          <w:highlight w:val="none"/>
        </w:rPr>
        <w:t>硫化氢产生量</w:t>
      </w:r>
      <w:r>
        <w:rPr>
          <w:rFonts w:hint="default" w:ascii="Times New Roman" w:hAnsi="Times New Roman" w:eastAsia="Times New Roman" w:cs="Times New Roman"/>
          <w:color w:val="0000FF"/>
          <w:sz w:val="24"/>
          <w:szCs w:val="24"/>
          <w:highlight w:val="none"/>
        </w:rPr>
        <w:t>=</w:t>
      </w:r>
      <w:r>
        <w:rPr>
          <w:rFonts w:hint="default" w:ascii="Times New Roman" w:hAnsi="Times New Roman" w:eastAsia="宋体" w:cs="Times New Roman"/>
          <w:color w:val="0000FF"/>
          <w:sz w:val="24"/>
          <w:szCs w:val="24"/>
          <w:highlight w:val="none"/>
        </w:rPr>
        <w:t>牛粪</w:t>
      </w:r>
      <w:r>
        <w:rPr>
          <w:rFonts w:hint="default" w:ascii="Times New Roman" w:hAnsi="Times New Roman" w:eastAsia="Times New Roman" w:cs="Times New Roman"/>
          <w:color w:val="0000FF"/>
          <w:sz w:val="24"/>
          <w:szCs w:val="24"/>
          <w:highlight w:val="none"/>
        </w:rPr>
        <w:t>×</w:t>
      </w:r>
      <w:r>
        <w:rPr>
          <w:rFonts w:hint="eastAsia" w:ascii="Times New Roman" w:hAnsi="Times New Roman" w:eastAsia="宋体" w:cs="Times New Roman"/>
          <w:color w:val="0000FF"/>
          <w:sz w:val="24"/>
          <w:szCs w:val="24"/>
          <w:highlight w:val="none"/>
          <w:lang w:val="en-US" w:eastAsia="zh-CN"/>
        </w:rPr>
        <w:t>40</w:t>
      </w:r>
      <w:r>
        <w:rPr>
          <w:rFonts w:hint="default" w:ascii="Times New Roman" w:hAnsi="Times New Roman" w:eastAsia="Times New Roman" w:cs="Times New Roman"/>
          <w:color w:val="0000FF"/>
          <w:sz w:val="24"/>
          <w:szCs w:val="24"/>
          <w:highlight w:val="none"/>
        </w:rPr>
        <w:t>%×0.596</w:t>
      </w:r>
      <w:r>
        <w:rPr>
          <w:rFonts w:hint="default" w:ascii="Times New Roman" w:hAnsi="Times New Roman" w:eastAsia="宋体" w:cs="Times New Roman"/>
          <w:color w:val="0000FF"/>
          <w:sz w:val="24"/>
          <w:szCs w:val="24"/>
          <w:highlight w:val="none"/>
        </w:rPr>
        <w:t>‰</w:t>
      </w:r>
      <w:r>
        <w:rPr>
          <w:rFonts w:hint="default" w:ascii="Times New Roman" w:hAnsi="Times New Roman" w:eastAsia="Times New Roman" w:cs="Times New Roman"/>
          <w:color w:val="0000FF"/>
          <w:sz w:val="24"/>
          <w:szCs w:val="24"/>
          <w:highlight w:val="none"/>
        </w:rPr>
        <w:t>×</w:t>
      </w:r>
      <w:r>
        <w:rPr>
          <w:rFonts w:hint="eastAsia" w:ascii="Times New Roman" w:hAnsi="Times New Roman" w:eastAsia="宋体" w:cs="Times New Roman"/>
          <w:color w:val="0000FF"/>
          <w:sz w:val="24"/>
          <w:szCs w:val="24"/>
          <w:highlight w:val="none"/>
          <w:lang w:val="en-US" w:eastAsia="zh-CN"/>
        </w:rPr>
        <w:t>4</w:t>
      </w:r>
      <w:r>
        <w:rPr>
          <w:rFonts w:hint="default" w:ascii="Times New Roman" w:hAnsi="Times New Roman" w:eastAsia="Times New Roman" w:cs="Times New Roman"/>
          <w:color w:val="0000FF"/>
          <w:sz w:val="24"/>
          <w:szCs w:val="24"/>
          <w:highlight w:val="none"/>
        </w:rPr>
        <w:t>%×</w:t>
      </w:r>
      <w:r>
        <w:rPr>
          <w:rFonts w:hint="eastAsia" w:ascii="Times New Roman" w:hAnsi="Times New Roman" w:eastAsia="宋体" w:cs="Times New Roman"/>
          <w:color w:val="0000FF"/>
          <w:sz w:val="24"/>
          <w:szCs w:val="24"/>
          <w:highlight w:val="none"/>
          <w:lang w:val="en-US" w:eastAsia="zh-CN"/>
        </w:rPr>
        <w:t>50</w:t>
      </w:r>
      <w:r>
        <w:rPr>
          <w:rFonts w:hint="default" w:ascii="Times New Roman" w:hAnsi="Times New Roman" w:eastAsia="Times New Roman" w:cs="Times New Roman"/>
          <w:color w:val="0000FF"/>
          <w:sz w:val="24"/>
          <w:szCs w:val="24"/>
          <w:highlight w:val="none"/>
        </w:rPr>
        <w:t>%=</w:t>
      </w:r>
      <w:r>
        <w:rPr>
          <w:rFonts w:hint="default" w:ascii="Times New Roman" w:hAnsi="Times New Roman" w:eastAsia="宋体" w:cs="Times New Roman"/>
          <w:color w:val="0000FF"/>
          <w:spacing w:val="-1"/>
          <w:sz w:val="24"/>
          <w:szCs w:val="24"/>
          <w:highlight w:val="none"/>
          <w:lang w:val="en-US" w:eastAsia="zh-CN"/>
        </w:rPr>
        <w:t>0.0</w:t>
      </w:r>
      <w:r>
        <w:rPr>
          <w:rFonts w:hint="eastAsia" w:ascii="Times New Roman" w:hAnsi="Times New Roman" w:eastAsia="宋体" w:cs="Times New Roman"/>
          <w:color w:val="0000FF"/>
          <w:spacing w:val="-1"/>
          <w:sz w:val="24"/>
          <w:szCs w:val="24"/>
          <w:highlight w:val="none"/>
          <w:lang w:val="en-US" w:eastAsia="zh-CN"/>
        </w:rPr>
        <w:t>095</w:t>
      </w:r>
      <w:r>
        <w:rPr>
          <w:rFonts w:hint="default" w:ascii="Times New Roman" w:hAnsi="Times New Roman" w:eastAsia="宋体" w:cs="Times New Roman"/>
          <w:color w:val="0000FF"/>
          <w:spacing w:val="-1"/>
          <w:sz w:val="24"/>
          <w:szCs w:val="24"/>
          <w:highlight w:val="none"/>
          <w:lang w:val="en-US" w:eastAsia="zh-CN"/>
        </w:rPr>
        <w:t>t/a</w:t>
      </w:r>
    </w:p>
    <w:p w14:paraId="0D360212">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snapToGrid w:val="0"/>
          <w:color w:val="FF0000"/>
          <w:kern w:val="0"/>
          <w:sz w:val="24"/>
          <w:szCs w:val="24"/>
          <w:highlight w:val="none"/>
          <w:lang w:val="en-US" w:eastAsia="zh-CN" w:bidi="ar"/>
        </w:rPr>
      </w:pPr>
      <w:r>
        <w:rPr>
          <w:rFonts w:hint="default" w:ascii="Times New Roman" w:hAnsi="Times New Roman" w:eastAsia="宋体" w:cs="Times New Roman"/>
          <w:snapToGrid w:val="0"/>
          <w:color w:val="FF0000"/>
          <w:kern w:val="0"/>
          <w:sz w:val="24"/>
          <w:szCs w:val="24"/>
          <w:lang w:val="en-US" w:eastAsia="zh-CN" w:bidi="ar"/>
        </w:rPr>
        <w:t>本项目养殖饲料在采用牛舍采用干撒式发酵床工艺，干撒式发酵床发酵菌剂可将牛尿、牛粪一部分降解为水蒸气和二氧化碳，另一部分转化为粗蛋白、菌体蛋白和维生素等营养物质。从源头上消除了粪尿对生态环境的污染</w:t>
      </w:r>
      <w:r>
        <w:rPr>
          <w:rFonts w:hint="eastAsia" w:ascii="Times New Roman" w:hAnsi="Times New Roman" w:eastAsia="宋体" w:cs="Times New Roman"/>
          <w:snapToGrid w:val="0"/>
          <w:color w:val="FF0000"/>
          <w:kern w:val="0"/>
          <w:sz w:val="24"/>
          <w:szCs w:val="24"/>
          <w:lang w:val="en-US" w:eastAsia="zh-CN" w:bidi="ar"/>
        </w:rPr>
        <w:t>，采取</w:t>
      </w:r>
      <w:r>
        <w:rPr>
          <w:rFonts w:hint="default" w:ascii="Times New Roman" w:hAnsi="Times New Roman" w:eastAsia="宋体" w:cs="Times New Roman"/>
          <w:snapToGrid w:val="0"/>
          <w:color w:val="FF0000"/>
          <w:kern w:val="0"/>
          <w:sz w:val="24"/>
          <w:szCs w:val="24"/>
          <w:lang w:val="en-US" w:eastAsia="zh-CN" w:bidi="ar"/>
        </w:rPr>
        <w:t>TMR 饲喂的同时，还应采用理想蛋白质体系配方，使肠内的有益细菌增殖，使肠的活动能力增强，以提高蛋白质及其它营养的吸收效率，从而达到抑制粪尿恶臭的目的。但值得注意的是，使用饲料添加剂时，应选择微生物、低聚糖等无公害添加剂，以保证畜产品的安全和无公害。本项目肉牛饲料中拟定加入菌剂，并采用</w:t>
      </w:r>
      <w:r>
        <w:rPr>
          <w:rFonts w:hint="eastAsia" w:ascii="Times New Roman" w:hAnsi="Times New Roman" w:eastAsia="宋体" w:cs="Times New Roman"/>
          <w:snapToGrid w:val="0"/>
          <w:color w:val="FF0000"/>
          <w:kern w:val="0"/>
          <w:sz w:val="24"/>
          <w:szCs w:val="24"/>
          <w:lang w:val="en-US" w:eastAsia="zh-CN" w:bidi="ar"/>
        </w:rPr>
        <w:t>微生物除臭剂</w:t>
      </w:r>
      <w:r>
        <w:rPr>
          <w:rFonts w:hint="default" w:ascii="Times New Roman" w:hAnsi="Times New Roman" w:eastAsia="宋体" w:cs="Times New Roman"/>
          <w:snapToGrid w:val="0"/>
          <w:color w:val="FF0000"/>
          <w:kern w:val="0"/>
          <w:sz w:val="24"/>
          <w:szCs w:val="24"/>
          <w:lang w:val="en-US" w:eastAsia="zh-CN" w:bidi="ar"/>
        </w:rPr>
        <w:t>以雾化方式喷洒牛舍及运动场，可以加速氨氮分解，降低氨气的浓度。可从源头上减少约90%的粪污恶臭产生</w:t>
      </w:r>
      <w:r>
        <w:rPr>
          <w:rFonts w:hint="default" w:ascii="Times New Roman" w:hAnsi="Times New Roman" w:eastAsia="宋体" w:cs="Times New Roman"/>
          <w:snapToGrid w:val="0"/>
          <w:color w:val="FF0000"/>
          <w:kern w:val="0"/>
          <w:sz w:val="24"/>
          <w:szCs w:val="24"/>
          <w:highlight w:val="none"/>
          <w:lang w:val="en-US" w:eastAsia="zh-CN" w:bidi="ar"/>
        </w:rPr>
        <w:t>量。综上分析，按照本项目出栏量核算由粪污中挥发出的恶臭物质量。</w:t>
      </w:r>
    </w:p>
    <w:p w14:paraId="17F3B814">
      <w:pPr>
        <w:keepNext w:val="0"/>
        <w:keepLines w:val="0"/>
        <w:pageBreakBefore w:val="0"/>
        <w:widowControl/>
        <w:kinsoku/>
        <w:wordWrap/>
        <w:overflowPunct/>
        <w:topLinePunct/>
        <w:autoSpaceDE w:val="0"/>
        <w:autoSpaceDN w:val="0"/>
        <w:bidi w:val="0"/>
        <w:adjustRightInd w:val="0"/>
        <w:snapToGrid w:val="0"/>
        <w:spacing w:line="360" w:lineRule="auto"/>
        <w:ind w:right="0" w:firstLine="480" w:firstLineChars="200"/>
        <w:jc w:val="both"/>
        <w:textAlignment w:val="baseline"/>
        <w:rPr>
          <w:rFonts w:hint="default" w:ascii="Times New Roman" w:hAnsi="Times New Roman" w:eastAsia="宋体" w:cs="Times New Roman"/>
          <w:snapToGrid w:val="0"/>
          <w:color w:val="0000FF"/>
          <w:kern w:val="0"/>
          <w:sz w:val="24"/>
          <w:szCs w:val="24"/>
          <w:highlight w:val="none"/>
          <w:lang w:val="en-US" w:eastAsia="zh-CN" w:bidi="ar"/>
        </w:rPr>
      </w:pPr>
      <w:r>
        <w:rPr>
          <w:rFonts w:hint="default" w:ascii="Times New Roman" w:hAnsi="Times New Roman" w:eastAsia="宋体" w:cs="Times New Roman"/>
          <w:snapToGrid w:val="0"/>
          <w:color w:val="0000FF"/>
          <w:kern w:val="0"/>
          <w:sz w:val="24"/>
          <w:szCs w:val="24"/>
          <w:highlight w:val="none"/>
          <w:lang w:val="en-US" w:eastAsia="zh-CN" w:bidi="ar"/>
        </w:rPr>
        <w:t>根据文献研究，《微生物除臭剂研究进展》NH</w:t>
      </w:r>
      <w:r>
        <w:rPr>
          <w:rFonts w:hint="eastAsia" w:ascii="Times New Roman" w:hAnsi="Times New Roman" w:eastAsia="宋体" w:cs="Times New Roman"/>
          <w:snapToGrid w:val="0"/>
          <w:color w:val="0000FF"/>
          <w:kern w:val="0"/>
          <w:sz w:val="24"/>
          <w:szCs w:val="24"/>
          <w:highlight w:val="none"/>
          <w:vertAlign w:val="subscript"/>
          <w:lang w:val="en-US" w:eastAsia="zh-CN" w:bidi="ar"/>
        </w:rPr>
        <w:t>3</w:t>
      </w:r>
      <w:r>
        <w:rPr>
          <w:rFonts w:hint="default" w:ascii="Times New Roman" w:hAnsi="Times New Roman" w:eastAsia="宋体" w:cs="Times New Roman"/>
          <w:snapToGrid w:val="0"/>
          <w:color w:val="0000FF"/>
          <w:kern w:val="0"/>
          <w:sz w:val="24"/>
          <w:szCs w:val="24"/>
          <w:highlight w:val="none"/>
          <w:lang w:val="en-US" w:eastAsia="zh-CN" w:bidi="ar"/>
        </w:rPr>
        <w:t>和 H</w:t>
      </w:r>
      <w:r>
        <w:rPr>
          <w:rFonts w:hint="eastAsia" w:ascii="Times New Roman" w:hAnsi="Times New Roman" w:eastAsia="宋体" w:cs="Times New Roman"/>
          <w:snapToGrid w:val="0"/>
          <w:color w:val="0000FF"/>
          <w:kern w:val="0"/>
          <w:sz w:val="24"/>
          <w:szCs w:val="24"/>
          <w:highlight w:val="none"/>
          <w:vertAlign w:val="subscript"/>
          <w:lang w:val="en-US" w:eastAsia="zh-CN" w:bidi="ar"/>
        </w:rPr>
        <w:t>2</w:t>
      </w:r>
      <w:r>
        <w:rPr>
          <w:rFonts w:hint="default" w:ascii="Times New Roman" w:hAnsi="Times New Roman" w:eastAsia="宋体" w:cs="Times New Roman"/>
          <w:snapToGrid w:val="0"/>
          <w:color w:val="0000FF"/>
          <w:kern w:val="0"/>
          <w:sz w:val="24"/>
          <w:szCs w:val="24"/>
          <w:highlight w:val="none"/>
          <w:lang w:val="en-US" w:eastAsia="zh-CN" w:bidi="ar"/>
        </w:rPr>
        <w:t>S的去除效率分别</w:t>
      </w:r>
      <w:r>
        <w:rPr>
          <w:rFonts w:hint="eastAsia" w:ascii="Times New Roman" w:hAnsi="Times New Roman" w:eastAsia="宋体" w:cs="Times New Roman"/>
          <w:snapToGrid w:val="0"/>
          <w:color w:val="0000FF"/>
          <w:kern w:val="0"/>
          <w:sz w:val="24"/>
          <w:szCs w:val="24"/>
          <w:highlight w:val="none"/>
          <w:lang w:val="en-US" w:eastAsia="zh-CN" w:bidi="ar"/>
        </w:rPr>
        <w:t>9</w:t>
      </w:r>
      <w:r>
        <w:rPr>
          <w:rFonts w:hint="default" w:ascii="Times New Roman" w:hAnsi="Times New Roman" w:eastAsia="宋体" w:cs="Times New Roman"/>
          <w:snapToGrid w:val="0"/>
          <w:color w:val="0000FF"/>
          <w:kern w:val="0"/>
          <w:sz w:val="24"/>
          <w:szCs w:val="24"/>
          <w:highlight w:val="none"/>
          <w:lang w:val="en-US" w:eastAsia="zh-CN" w:bidi="ar"/>
        </w:rPr>
        <w:t>2.6%和 89%，《家禽环境卫生学》添加有益菌 NH</w:t>
      </w:r>
      <w:r>
        <w:rPr>
          <w:rFonts w:hint="eastAsia" w:ascii="Times New Roman" w:hAnsi="Times New Roman" w:eastAsia="宋体" w:cs="Times New Roman"/>
          <w:snapToGrid w:val="0"/>
          <w:color w:val="0000FF"/>
          <w:kern w:val="0"/>
          <w:sz w:val="24"/>
          <w:szCs w:val="24"/>
          <w:highlight w:val="none"/>
          <w:vertAlign w:val="subscript"/>
          <w:lang w:val="en-US" w:eastAsia="zh-CN" w:bidi="ar"/>
        </w:rPr>
        <w:t>3</w:t>
      </w:r>
      <w:r>
        <w:rPr>
          <w:rFonts w:hint="default" w:ascii="Times New Roman" w:hAnsi="Times New Roman" w:eastAsia="宋体" w:cs="Times New Roman"/>
          <w:snapToGrid w:val="0"/>
          <w:color w:val="0000FF"/>
          <w:kern w:val="0"/>
          <w:sz w:val="24"/>
          <w:szCs w:val="24"/>
          <w:highlight w:val="none"/>
          <w:lang w:val="en-US" w:eastAsia="zh-CN" w:bidi="ar"/>
        </w:rPr>
        <w:t>降解率&gt;40%，H</w:t>
      </w:r>
      <w:r>
        <w:rPr>
          <w:rFonts w:hint="eastAsia" w:ascii="Times New Roman" w:hAnsi="Times New Roman" w:eastAsia="宋体" w:cs="Times New Roman"/>
          <w:snapToGrid w:val="0"/>
          <w:color w:val="0000FF"/>
          <w:kern w:val="0"/>
          <w:sz w:val="24"/>
          <w:szCs w:val="24"/>
          <w:highlight w:val="none"/>
          <w:vertAlign w:val="subscript"/>
          <w:lang w:val="en-US" w:eastAsia="zh-CN" w:bidi="ar"/>
        </w:rPr>
        <w:t>2</w:t>
      </w:r>
      <w:r>
        <w:rPr>
          <w:rFonts w:hint="default" w:ascii="Times New Roman" w:hAnsi="Times New Roman" w:eastAsia="宋体" w:cs="Times New Roman"/>
          <w:snapToGrid w:val="0"/>
          <w:color w:val="0000FF"/>
          <w:kern w:val="0"/>
          <w:sz w:val="24"/>
          <w:szCs w:val="24"/>
          <w:highlight w:val="none"/>
          <w:lang w:val="en-US" w:eastAsia="zh-CN" w:bidi="ar"/>
        </w:rPr>
        <w:t>S 降解率&gt;80%，发酵床生产技术可减少60%的臭气排放，经过上述综合措施处理后，预计牛的粪污恶臭污染物去除率可达到 85%以上。</w:t>
      </w:r>
    </w:p>
    <w:p w14:paraId="43D6E654">
      <w:pPr>
        <w:pStyle w:val="2"/>
        <w:keepNext w:val="0"/>
        <w:keepLines w:val="0"/>
        <w:pageBreakBefore w:val="0"/>
        <w:overflowPunct/>
        <w:bidi w:val="0"/>
        <w:adjustRightInd w:val="0"/>
        <w:snapToGrid w:val="0"/>
        <w:spacing w:line="360" w:lineRule="auto"/>
        <w:textAlignment w:val="baseline"/>
        <w:rPr>
          <w:rFonts w:hint="eastAsia" w:ascii="Times New Roman" w:hAnsi="Times New Roman" w:cs="Times New Roman"/>
          <w:snapToGrid w:val="0"/>
          <w:color w:val="0000FF"/>
          <w:kern w:val="0"/>
          <w:sz w:val="24"/>
          <w:szCs w:val="24"/>
          <w:highlight w:val="yellow"/>
          <w:lang w:val="en-US" w:eastAsia="zh-CN" w:bidi="ar"/>
        </w:rPr>
      </w:pPr>
      <w:r>
        <w:rPr>
          <w:rFonts w:hint="eastAsia" w:ascii="Times New Roman" w:hAnsi="Times New Roman" w:eastAsia="宋体" w:cs="Times New Roman"/>
          <w:snapToGrid w:val="0"/>
          <w:color w:val="0000FF"/>
          <w:kern w:val="0"/>
          <w:sz w:val="24"/>
          <w:szCs w:val="24"/>
          <w:highlight w:val="yellow"/>
          <w:lang w:val="en-US" w:eastAsia="zh-CN" w:bidi="ar"/>
        </w:rPr>
        <w:t>牛</w:t>
      </w:r>
      <w:r>
        <w:rPr>
          <w:rFonts w:hint="default" w:ascii="Times New Roman" w:hAnsi="Times New Roman" w:eastAsia="宋体" w:cs="Times New Roman"/>
          <w:snapToGrid w:val="0"/>
          <w:color w:val="0000FF"/>
          <w:kern w:val="0"/>
          <w:sz w:val="24"/>
          <w:szCs w:val="24"/>
          <w:highlight w:val="yellow"/>
          <w:lang w:val="en-US" w:eastAsia="zh-CN" w:bidi="ar"/>
        </w:rPr>
        <w:t>圈舍除臭时，生物除臭剂用量为1t/a，配比为1:50，则项目运营期间生物除臭剂用水量为0.14m³/d（50m³/a），</w:t>
      </w:r>
      <w:r>
        <w:rPr>
          <w:rFonts w:hint="eastAsia" w:ascii="Times New Roman" w:hAnsi="Times New Roman" w:cs="Times New Roman"/>
          <w:snapToGrid w:val="0"/>
          <w:color w:val="0000FF"/>
          <w:kern w:val="0"/>
          <w:sz w:val="24"/>
          <w:szCs w:val="24"/>
          <w:highlight w:val="yellow"/>
          <w:lang w:val="en-US" w:eastAsia="zh-CN" w:bidi="ar"/>
        </w:rPr>
        <w:t>每天使用0.0028t的稀释后的除臭剂，人工使</w:t>
      </w:r>
      <w:r>
        <w:rPr>
          <w:rFonts w:hint="default" w:ascii="Times New Roman" w:hAnsi="Times New Roman" w:eastAsia="宋体" w:cs="Times New Roman"/>
          <w:snapToGrid w:val="0"/>
          <w:color w:val="0000FF"/>
          <w:kern w:val="0"/>
          <w:sz w:val="24"/>
          <w:szCs w:val="24"/>
          <w:highlight w:val="yellow"/>
          <w:lang w:val="en-US" w:eastAsia="zh-CN" w:bidi="ar"/>
        </w:rPr>
        <w:t>用喷雾器均匀喷洒圈舍各部位</w:t>
      </w:r>
      <w:r>
        <w:rPr>
          <w:rFonts w:hint="eastAsia" w:ascii="Times New Roman" w:hAnsi="Times New Roman" w:eastAsia="宋体" w:cs="Times New Roman"/>
          <w:snapToGrid w:val="0"/>
          <w:color w:val="0000FF"/>
          <w:kern w:val="0"/>
          <w:sz w:val="24"/>
          <w:szCs w:val="24"/>
          <w:highlight w:val="yellow"/>
          <w:lang w:val="en-US" w:eastAsia="zh-CN" w:bidi="ar"/>
        </w:rPr>
        <w:t>，</w:t>
      </w:r>
      <w:r>
        <w:rPr>
          <w:rFonts w:hint="eastAsia" w:ascii="Times New Roman" w:hAnsi="Times New Roman" w:cs="Times New Roman"/>
          <w:snapToGrid w:val="0"/>
          <w:color w:val="0000FF"/>
          <w:kern w:val="0"/>
          <w:sz w:val="24"/>
          <w:szCs w:val="24"/>
          <w:highlight w:val="yellow"/>
          <w:lang w:val="en-US" w:eastAsia="zh-CN" w:bidi="ar"/>
        </w:rPr>
        <w:t>每天喷洒一次。</w:t>
      </w:r>
    </w:p>
    <w:p w14:paraId="4BCC551E">
      <w:pPr>
        <w:keepNext w:val="0"/>
        <w:keepLines w:val="0"/>
        <w:pageBreakBefore w:val="0"/>
        <w:widowControl/>
        <w:kinsoku/>
        <w:wordWrap/>
        <w:overflowPunct/>
        <w:topLinePunct/>
        <w:autoSpaceDE w:val="0"/>
        <w:autoSpaceDN w:val="0"/>
        <w:bidi w:val="0"/>
        <w:adjustRightInd w:val="0"/>
        <w:snapToGrid w:val="0"/>
        <w:spacing w:line="360" w:lineRule="auto"/>
        <w:ind w:right="0" w:firstLine="480" w:firstLineChars="200"/>
        <w:jc w:val="both"/>
        <w:textAlignment w:val="baseline"/>
        <w:rPr>
          <w:rFonts w:hint="default" w:ascii="Times New Roman" w:hAnsi="Times New Roman" w:eastAsia="宋体" w:cs="Times New Roman"/>
          <w:snapToGrid w:val="0"/>
          <w:color w:val="0000FF"/>
          <w:kern w:val="0"/>
          <w:sz w:val="24"/>
          <w:szCs w:val="24"/>
          <w:highlight w:val="green"/>
          <w:lang w:val="en-US" w:eastAsia="zh-CN" w:bidi="ar"/>
        </w:rPr>
      </w:pPr>
      <w:r>
        <w:rPr>
          <w:rFonts w:hint="default" w:ascii="Times New Roman" w:hAnsi="Times New Roman" w:eastAsia="宋体" w:cs="Times New Roman"/>
          <w:snapToGrid w:val="0"/>
          <w:color w:val="0000FF"/>
          <w:kern w:val="0"/>
          <w:sz w:val="24"/>
          <w:szCs w:val="24"/>
          <w:highlight w:val="green"/>
          <w:lang w:val="en-US" w:eastAsia="zh-CN" w:bidi="ar"/>
        </w:rPr>
        <w:t>污染防治措施通过类比龙江元盛食品有限公司优质肉牛养殖项目，该项目规模为年存栏肉牛6000头，年出栏肉牛3000头。采用与本项目相同的干撒式发酵床工艺处置粪污，除采用该工艺外未采用喷洒除臭剂等强化污染防治措施。2016年3月18日龙江元盛食品有限公司优质肉牛养殖项目通过竣工环境保护验收，验收合格的函文号齐环验[2016]18号。环保设施运行效果良好，各项污染物达标排放。通过类比分析本项目干撒式发酵床工艺污染防治措施是可行的。</w:t>
      </w:r>
    </w:p>
    <w:p w14:paraId="2C931DE8">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highlight w:val="none"/>
          <w:lang w:val="en-US" w:eastAsia="zh-CN"/>
        </w:rPr>
        <w:t>二</w:t>
      </w: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highlight w:val="none"/>
          <w:lang w:val="en-US" w:eastAsia="zh-CN"/>
        </w:rPr>
        <w:t>粪污储存间</w:t>
      </w:r>
    </w:p>
    <w:p w14:paraId="2D6DD06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FF0000"/>
          <w:spacing w:val="-5"/>
          <w:sz w:val="24"/>
          <w:szCs w:val="24"/>
          <w:highlight w:val="none"/>
          <w:lang w:val="en-US" w:eastAsia="zh-CN"/>
        </w:rPr>
      </w:pPr>
      <w:r>
        <w:rPr>
          <w:rFonts w:hint="default" w:ascii="Times New Roman" w:hAnsi="Times New Roman" w:eastAsia="宋体" w:cs="Times New Roman"/>
          <w:color w:val="FF0000"/>
          <w:sz w:val="24"/>
          <w:szCs w:val="24"/>
          <w:highlight w:val="none"/>
        </w:rPr>
        <w:t>本项目</w:t>
      </w:r>
      <w:r>
        <w:rPr>
          <w:rFonts w:hint="default" w:ascii="Times New Roman" w:hAnsi="Times New Roman" w:cs="Times New Roman"/>
          <w:color w:val="FF0000"/>
          <w:sz w:val="24"/>
          <w:szCs w:val="24"/>
          <w:highlight w:val="none"/>
          <w:lang w:val="en-US" w:eastAsia="zh-CN"/>
        </w:rPr>
        <w:t>新建</w:t>
      </w:r>
      <w:r>
        <w:rPr>
          <w:rFonts w:hint="default" w:ascii="Times New Roman" w:hAnsi="Times New Roman" w:eastAsia="宋体" w:cs="Times New Roman"/>
          <w:color w:val="FF0000"/>
          <w:sz w:val="24"/>
          <w:szCs w:val="24"/>
          <w:highlight w:val="none"/>
          <w:lang w:val="en-US" w:eastAsia="zh-CN"/>
        </w:rPr>
        <w:t>粪污储存间</w:t>
      </w:r>
      <w:r>
        <w:rPr>
          <w:rFonts w:hint="default" w:ascii="Times New Roman" w:hAnsi="Times New Roman" w:eastAsia="宋体" w:cs="Times New Roman"/>
          <w:color w:val="FF0000"/>
          <w:sz w:val="24"/>
          <w:szCs w:val="24"/>
          <w:highlight w:val="none"/>
        </w:rPr>
        <w:t>，</w:t>
      </w:r>
      <w:r>
        <w:rPr>
          <w:rFonts w:hint="default" w:ascii="Times New Roman" w:hAnsi="Times New Roman" w:eastAsia="宋体" w:cs="Times New Roman"/>
          <w:color w:val="FF0000"/>
          <w:sz w:val="24"/>
          <w:szCs w:val="24"/>
          <w:highlight w:val="none"/>
          <w:lang w:val="en-US" w:eastAsia="zh-CN"/>
        </w:rPr>
        <w:t>发酵床1年使用周期结束，清运至粪污储存间暂存</w:t>
      </w: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highlight w:val="none"/>
        </w:rPr>
        <w:t>本次评价参考《有机肥厂污染分析与控制对策》（现代农业科技2009年第14期资源与环境科学），</w:t>
      </w:r>
      <w:r>
        <w:rPr>
          <w:rFonts w:hint="default" w:ascii="Times New Roman" w:hAnsi="Times New Roman" w:eastAsia="宋体" w:cs="Times New Roman"/>
          <w:color w:val="FF0000"/>
          <w:sz w:val="24"/>
          <w:szCs w:val="24"/>
          <w:highlight w:val="none"/>
          <w:lang w:val="en-US" w:eastAsia="zh-CN"/>
        </w:rPr>
        <w:t>粪污储存间</w:t>
      </w:r>
      <w:r>
        <w:rPr>
          <w:rFonts w:hint="default" w:ascii="Times New Roman" w:hAnsi="Times New Roman" w:eastAsia="宋体" w:cs="Times New Roman"/>
          <w:color w:val="FF0000"/>
          <w:sz w:val="24"/>
          <w:szCs w:val="24"/>
          <w:highlight w:val="none"/>
        </w:rPr>
        <w:t>产生的恶臭应为原料产生恶臭气体的6%~10%，本次评价取牛舍区的10%，则NH</w:t>
      </w:r>
      <w:r>
        <w:rPr>
          <w:rFonts w:hint="default" w:ascii="Times New Roman" w:hAnsi="Times New Roman" w:eastAsia="宋体" w:cs="Times New Roman"/>
          <w:color w:val="FF0000"/>
          <w:sz w:val="24"/>
          <w:szCs w:val="24"/>
          <w:highlight w:val="none"/>
          <w:vertAlign w:val="subscript"/>
        </w:rPr>
        <w:t>3</w:t>
      </w:r>
      <w:r>
        <w:rPr>
          <w:rFonts w:hint="eastAsia" w:ascii="Times New Roman" w:hAnsi="Times New Roman" w:eastAsia="宋体" w:cs="Times New Roman"/>
          <w:color w:val="FF0000"/>
          <w:sz w:val="24"/>
          <w:szCs w:val="24"/>
          <w:highlight w:val="none"/>
          <w:vertAlign w:val="baseline"/>
          <w:lang w:val="en-US" w:eastAsia="zh-CN"/>
        </w:rPr>
        <w:t>产生量</w:t>
      </w:r>
      <w:r>
        <w:rPr>
          <w:rFonts w:hint="default" w:ascii="Times New Roman" w:hAnsi="Times New Roman" w:eastAsia="宋体" w:cs="Times New Roman"/>
          <w:color w:val="FF0000"/>
          <w:sz w:val="24"/>
          <w:szCs w:val="24"/>
          <w:highlight w:val="none"/>
        </w:rPr>
        <w:t>约为</w:t>
      </w:r>
      <w:r>
        <w:rPr>
          <w:rFonts w:hint="eastAsia" w:ascii="Times New Roman" w:hAnsi="Times New Roman" w:eastAsia="宋体" w:cs="Times New Roman"/>
          <w:color w:val="FF0000"/>
          <w:sz w:val="24"/>
          <w:szCs w:val="24"/>
          <w:highlight w:val="none"/>
          <w:lang w:val="en-US" w:eastAsia="zh-CN"/>
        </w:rPr>
        <w:t>0.1288</w:t>
      </w:r>
      <w:r>
        <w:rPr>
          <w:rFonts w:hint="default" w:ascii="Times New Roman" w:hAnsi="Times New Roman" w:eastAsia="宋体" w:cs="Times New Roman"/>
          <w:color w:val="FF0000"/>
          <w:sz w:val="24"/>
          <w:szCs w:val="24"/>
          <w:highlight w:val="none"/>
          <w:lang w:val="en-US" w:eastAsia="zh-CN"/>
        </w:rPr>
        <w:t>t/a</w:t>
      </w: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highlight w:val="none"/>
        </w:rPr>
        <w:t>H</w:t>
      </w:r>
      <w:r>
        <w:rPr>
          <w:rFonts w:hint="default" w:ascii="Times New Roman" w:hAnsi="Times New Roman" w:eastAsia="宋体" w:cs="Times New Roman"/>
          <w:color w:val="FF0000"/>
          <w:sz w:val="24"/>
          <w:szCs w:val="24"/>
          <w:highlight w:val="none"/>
          <w:vertAlign w:val="subscript"/>
        </w:rPr>
        <w:t>2</w:t>
      </w:r>
      <w:r>
        <w:rPr>
          <w:rFonts w:hint="default" w:ascii="Times New Roman" w:hAnsi="Times New Roman" w:eastAsia="宋体" w:cs="Times New Roman"/>
          <w:color w:val="FF0000"/>
          <w:sz w:val="24"/>
          <w:szCs w:val="24"/>
          <w:highlight w:val="none"/>
        </w:rPr>
        <w:t>S</w:t>
      </w:r>
      <w:r>
        <w:rPr>
          <w:rFonts w:hint="eastAsia" w:ascii="Times New Roman" w:hAnsi="Times New Roman" w:eastAsia="宋体" w:cs="Times New Roman"/>
          <w:color w:val="FF0000"/>
          <w:sz w:val="24"/>
          <w:szCs w:val="24"/>
          <w:highlight w:val="none"/>
          <w:vertAlign w:val="baseline"/>
          <w:lang w:val="en-US" w:eastAsia="zh-CN"/>
        </w:rPr>
        <w:t>产生量</w:t>
      </w:r>
      <w:r>
        <w:rPr>
          <w:rFonts w:hint="default" w:ascii="Times New Roman" w:hAnsi="Times New Roman" w:eastAsia="宋体" w:cs="Times New Roman"/>
          <w:color w:val="FF0000"/>
          <w:sz w:val="24"/>
          <w:szCs w:val="24"/>
          <w:highlight w:val="none"/>
        </w:rPr>
        <w:t>约为</w:t>
      </w:r>
      <w:r>
        <w:rPr>
          <w:rFonts w:hint="eastAsia" w:ascii="Times New Roman" w:hAnsi="Times New Roman" w:eastAsia="宋体" w:cs="Times New Roman"/>
          <w:color w:val="FF0000"/>
          <w:sz w:val="24"/>
          <w:szCs w:val="24"/>
          <w:highlight w:val="none"/>
          <w:lang w:val="en-US" w:eastAsia="zh-CN"/>
        </w:rPr>
        <w:t>0.00095</w:t>
      </w:r>
      <w:r>
        <w:rPr>
          <w:rFonts w:hint="default" w:ascii="Times New Roman" w:hAnsi="Times New Roman" w:eastAsia="宋体" w:cs="Times New Roman"/>
          <w:color w:val="FF0000"/>
          <w:sz w:val="24"/>
          <w:szCs w:val="24"/>
          <w:highlight w:val="none"/>
          <w:lang w:val="en-US" w:eastAsia="zh-CN"/>
        </w:rPr>
        <w:t>t/a</w:t>
      </w:r>
      <w:r>
        <w:rPr>
          <w:rFonts w:hint="default" w:ascii="Times New Roman" w:hAnsi="Times New Roman" w:eastAsia="宋体" w:cs="Times New Roman"/>
          <w:color w:val="FF0000"/>
          <w:sz w:val="24"/>
          <w:szCs w:val="24"/>
          <w:highlight w:val="none"/>
        </w:rPr>
        <w:t>。</w:t>
      </w:r>
    </w:p>
    <w:p w14:paraId="0D945C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FF"/>
          <w:sz w:val="24"/>
          <w:szCs w:val="24"/>
          <w:highlight w:val="none"/>
          <w:vertAlign w:val="baseline"/>
          <w:lang w:val="en-US"/>
        </w:rPr>
        <w:sectPr>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r>
        <w:rPr>
          <w:rFonts w:hint="default" w:ascii="Times New Roman" w:hAnsi="Times New Roman" w:eastAsia="宋体" w:cs="Times New Roman"/>
          <w:color w:val="0000FF"/>
          <w:sz w:val="24"/>
          <w:szCs w:val="24"/>
          <w:highlight w:val="none"/>
          <w:lang w:val="en-US" w:eastAsia="zh-CN"/>
        </w:rPr>
        <w:t>粪污储存间</w:t>
      </w:r>
      <w:r>
        <w:rPr>
          <w:rFonts w:hint="default" w:ascii="Times New Roman" w:hAnsi="Times New Roman" w:eastAsia="宋体" w:cs="Times New Roman"/>
          <w:color w:val="0000FF"/>
          <w:sz w:val="24"/>
          <w:szCs w:val="24"/>
          <w:highlight w:val="none"/>
        </w:rPr>
        <w:t>密闭形式，</w:t>
      </w:r>
      <w:r>
        <w:rPr>
          <w:rFonts w:hint="eastAsia" w:ascii="Times New Roman" w:hAnsi="Times New Roman" w:eastAsia="宋体" w:cs="Times New Roman"/>
          <w:color w:val="0000FF"/>
          <w:sz w:val="24"/>
          <w:szCs w:val="24"/>
          <w:highlight w:val="none"/>
          <w:lang w:eastAsia="zh-CN"/>
        </w:rPr>
        <w:t>恶臭</w:t>
      </w:r>
      <w:r>
        <w:rPr>
          <w:rFonts w:hint="default" w:ascii="Times New Roman" w:hAnsi="Times New Roman" w:eastAsia="宋体" w:cs="Times New Roman"/>
          <w:color w:val="0000FF"/>
          <w:sz w:val="24"/>
          <w:szCs w:val="24"/>
          <w:highlight w:val="none"/>
          <w:lang w:val="en-US" w:eastAsia="zh-CN"/>
        </w:rPr>
        <w:t>气体</w:t>
      </w:r>
      <w:r>
        <w:rPr>
          <w:rFonts w:hint="eastAsia" w:ascii="Times New Roman" w:hAnsi="Times New Roman" w:eastAsia="宋体" w:cs="Times New Roman"/>
          <w:color w:val="0000FF"/>
          <w:sz w:val="24"/>
          <w:szCs w:val="24"/>
          <w:lang w:val="en-US" w:eastAsia="zh-CN"/>
        </w:rPr>
        <w:t>经集气罩收集后</w:t>
      </w:r>
      <w:r>
        <w:rPr>
          <w:rFonts w:hint="eastAsia" w:ascii="Times New Roman" w:hAnsi="Times New Roman" w:eastAsia="宋体" w:cs="Times New Roman"/>
          <w:color w:val="0000FF"/>
          <w:sz w:val="24"/>
          <w:szCs w:val="24"/>
          <w:highlight w:val="none"/>
          <w:lang w:val="en-US" w:eastAsia="zh-CN"/>
        </w:rPr>
        <w:t>经</w:t>
      </w:r>
      <w:r>
        <w:rPr>
          <w:rFonts w:hint="default" w:ascii="Times New Roman" w:hAnsi="Times New Roman" w:eastAsia="宋体" w:cs="Times New Roman"/>
          <w:color w:val="0000FF"/>
          <w:sz w:val="24"/>
          <w:szCs w:val="24"/>
          <w:highlight w:val="none"/>
          <w:lang w:val="en-US" w:eastAsia="zh-CN"/>
        </w:rPr>
        <w:t>活性炭</w:t>
      </w:r>
      <w:r>
        <w:rPr>
          <w:rFonts w:hint="eastAsia" w:ascii="Times New Roman" w:hAnsi="Times New Roman" w:eastAsia="宋体" w:cs="Times New Roman"/>
          <w:color w:val="0000FF"/>
          <w:sz w:val="24"/>
          <w:szCs w:val="24"/>
          <w:highlight w:val="none"/>
          <w:lang w:val="en-US" w:eastAsia="zh-CN"/>
        </w:rPr>
        <w:t>吸附经</w:t>
      </w:r>
      <w:r>
        <w:rPr>
          <w:rFonts w:hint="default" w:ascii="Times New Roman" w:hAnsi="Times New Roman" w:eastAsia="宋体" w:cs="Times New Roman"/>
          <w:color w:val="0000FF"/>
          <w:sz w:val="24"/>
          <w:szCs w:val="24"/>
          <w:highlight w:val="none"/>
          <w:lang w:val="en-US" w:eastAsia="zh-CN"/>
        </w:rPr>
        <w:t>15m高排气</w:t>
      </w:r>
      <w:r>
        <w:rPr>
          <w:rFonts w:hint="eastAsia" w:ascii="Times New Roman" w:hAnsi="Times New Roman" w:eastAsia="宋体" w:cs="Times New Roman"/>
          <w:color w:val="0000FF"/>
          <w:sz w:val="24"/>
          <w:szCs w:val="24"/>
          <w:highlight w:val="none"/>
          <w:lang w:val="en-US" w:eastAsia="zh-CN"/>
        </w:rPr>
        <w:t>筒</w:t>
      </w:r>
      <w:r>
        <w:rPr>
          <w:rFonts w:hint="default" w:ascii="Times New Roman" w:hAnsi="Times New Roman" w:eastAsia="宋体" w:cs="Times New Roman"/>
          <w:color w:val="0000FF"/>
          <w:sz w:val="24"/>
          <w:szCs w:val="24"/>
          <w:highlight w:val="none"/>
          <w:lang w:val="en-US" w:eastAsia="zh-CN"/>
        </w:rPr>
        <w:t>有组织排放</w:t>
      </w:r>
      <w:r>
        <w:rPr>
          <w:rFonts w:hint="eastAsia" w:ascii="Times New Roman" w:hAnsi="Times New Roman" w:eastAsia="宋体" w:cs="Times New Roman"/>
          <w:color w:val="0000FF"/>
          <w:sz w:val="24"/>
          <w:szCs w:val="24"/>
          <w:highlight w:val="none"/>
          <w:lang w:val="en-US" w:eastAsia="zh-CN"/>
        </w:rPr>
        <w:t>，</w:t>
      </w:r>
      <w:r>
        <w:rPr>
          <w:rFonts w:hint="eastAsia" w:ascii="Times New Roman" w:hAnsi="Times New Roman" w:eastAsia="宋体" w:cs="Times New Roman"/>
          <w:color w:val="0000FF"/>
          <w:sz w:val="24"/>
          <w:szCs w:val="24"/>
          <w:highlight w:val="green"/>
          <w:lang w:val="en-US" w:eastAsia="zh-CN"/>
        </w:rPr>
        <w:t>集气罩收集效率为80%，活性炭吸附恶臭气体的设计去除效率为80%，</w:t>
      </w:r>
      <w:r>
        <w:rPr>
          <w:rFonts w:hint="eastAsia" w:ascii="Times New Roman" w:hAnsi="Times New Roman" w:eastAsia="宋体" w:cs="Times New Roman"/>
          <w:color w:val="0000FF"/>
          <w:sz w:val="24"/>
          <w:szCs w:val="24"/>
          <w:highlight w:val="none"/>
          <w:lang w:val="en-US" w:eastAsia="zh-CN"/>
        </w:rPr>
        <w:t>设计风机量为1000m</w:t>
      </w:r>
      <w:r>
        <w:rPr>
          <w:rFonts w:hint="eastAsia" w:ascii="Times New Roman" w:hAnsi="Times New Roman" w:eastAsia="宋体" w:cs="Times New Roman"/>
          <w:color w:val="0000FF"/>
          <w:sz w:val="24"/>
          <w:szCs w:val="24"/>
          <w:highlight w:val="none"/>
          <w:vertAlign w:val="superscript"/>
          <w:lang w:val="en-US" w:eastAsia="zh-CN"/>
        </w:rPr>
        <w:t>3</w:t>
      </w:r>
      <w:r>
        <w:rPr>
          <w:rFonts w:hint="eastAsia" w:ascii="Times New Roman" w:hAnsi="Times New Roman" w:eastAsia="宋体" w:cs="Times New Roman"/>
          <w:color w:val="0000FF"/>
          <w:sz w:val="24"/>
          <w:szCs w:val="24"/>
          <w:highlight w:val="none"/>
          <w:lang w:val="en-US" w:eastAsia="zh-CN"/>
        </w:rPr>
        <w:t>/h，则氨气排放量为2.58×10</w:t>
      </w:r>
      <w:r>
        <w:rPr>
          <w:rFonts w:hint="eastAsia" w:ascii="Times New Roman" w:hAnsi="Times New Roman" w:eastAsia="宋体" w:cs="Times New Roman"/>
          <w:color w:val="0000FF"/>
          <w:sz w:val="24"/>
          <w:szCs w:val="24"/>
          <w:highlight w:val="none"/>
          <w:vertAlign w:val="superscript"/>
          <w:lang w:val="en-US" w:eastAsia="zh-CN"/>
        </w:rPr>
        <w:t>-2</w:t>
      </w:r>
      <w:r>
        <w:rPr>
          <w:rFonts w:hint="eastAsia" w:ascii="Times New Roman" w:hAnsi="Times New Roman" w:eastAsia="宋体" w:cs="Times New Roman"/>
          <w:color w:val="0000FF"/>
          <w:sz w:val="24"/>
          <w:szCs w:val="24"/>
          <w:highlight w:val="none"/>
          <w:lang w:val="en-US" w:eastAsia="zh-CN"/>
        </w:rPr>
        <w:t>t/a，排放速率为2.94×10</w:t>
      </w:r>
      <w:r>
        <w:rPr>
          <w:rFonts w:hint="eastAsia" w:ascii="Times New Roman" w:hAnsi="Times New Roman" w:eastAsia="宋体" w:cs="Times New Roman"/>
          <w:color w:val="0000FF"/>
          <w:sz w:val="24"/>
          <w:szCs w:val="24"/>
          <w:highlight w:val="none"/>
          <w:vertAlign w:val="superscript"/>
          <w:lang w:val="en-US" w:eastAsia="zh-CN"/>
        </w:rPr>
        <w:t>-3</w:t>
      </w:r>
      <w:r>
        <w:rPr>
          <w:rFonts w:hint="eastAsia" w:ascii="Times New Roman" w:hAnsi="Times New Roman" w:eastAsia="宋体" w:cs="Times New Roman"/>
          <w:color w:val="0000FF"/>
          <w:sz w:val="24"/>
          <w:szCs w:val="24"/>
          <w:highlight w:val="none"/>
          <w:vertAlign w:val="baseline"/>
          <w:lang w:val="en-US" w:eastAsia="zh-CN"/>
        </w:rPr>
        <w:t>kg/h，</w:t>
      </w:r>
      <w:r>
        <w:rPr>
          <w:rFonts w:hint="eastAsia" w:ascii="Times New Roman" w:hAnsi="Times New Roman" w:eastAsia="宋体" w:cs="Times New Roman"/>
          <w:color w:val="0000FF"/>
          <w:sz w:val="24"/>
          <w:szCs w:val="24"/>
          <w:highlight w:val="none"/>
          <w:lang w:val="en-US" w:eastAsia="zh-CN"/>
        </w:rPr>
        <w:t>排放浓度为2.94mg/m</w:t>
      </w:r>
      <w:r>
        <w:rPr>
          <w:rFonts w:hint="eastAsia" w:ascii="Times New Roman" w:hAnsi="Times New Roman" w:eastAsia="宋体" w:cs="Times New Roman"/>
          <w:color w:val="0000FF"/>
          <w:sz w:val="24"/>
          <w:szCs w:val="24"/>
          <w:highlight w:val="none"/>
          <w:vertAlign w:val="superscript"/>
          <w:lang w:val="en-US" w:eastAsia="zh-CN"/>
        </w:rPr>
        <w:t>3</w:t>
      </w:r>
      <w:r>
        <w:rPr>
          <w:rFonts w:hint="eastAsia" w:ascii="Times New Roman" w:hAnsi="Times New Roman" w:eastAsia="宋体" w:cs="Times New Roman"/>
          <w:color w:val="0000FF"/>
          <w:sz w:val="24"/>
          <w:szCs w:val="24"/>
          <w:highlight w:val="none"/>
          <w:lang w:val="en-US" w:eastAsia="zh-CN"/>
        </w:rPr>
        <w:t>；硫化氢排放量为1.9×10</w:t>
      </w:r>
      <w:r>
        <w:rPr>
          <w:rFonts w:hint="eastAsia" w:ascii="Times New Roman" w:hAnsi="Times New Roman" w:eastAsia="宋体" w:cs="Times New Roman"/>
          <w:color w:val="0000FF"/>
          <w:sz w:val="24"/>
          <w:szCs w:val="24"/>
          <w:highlight w:val="none"/>
          <w:vertAlign w:val="superscript"/>
          <w:lang w:val="en-US" w:eastAsia="zh-CN"/>
        </w:rPr>
        <w:t>-4</w:t>
      </w:r>
      <w:r>
        <w:rPr>
          <w:rFonts w:hint="eastAsia" w:ascii="Times New Roman" w:hAnsi="Times New Roman" w:eastAsia="宋体" w:cs="Times New Roman"/>
          <w:color w:val="0000FF"/>
          <w:sz w:val="24"/>
          <w:szCs w:val="24"/>
          <w:highlight w:val="none"/>
          <w:lang w:val="en-US" w:eastAsia="zh-CN"/>
        </w:rPr>
        <w:t>t/a，排放速率为2.17×10</w:t>
      </w:r>
      <w:r>
        <w:rPr>
          <w:rFonts w:hint="eastAsia" w:ascii="Times New Roman" w:hAnsi="Times New Roman" w:eastAsia="宋体" w:cs="Times New Roman"/>
          <w:color w:val="0000FF"/>
          <w:sz w:val="24"/>
          <w:szCs w:val="24"/>
          <w:highlight w:val="none"/>
          <w:vertAlign w:val="superscript"/>
          <w:lang w:val="en-US" w:eastAsia="zh-CN"/>
        </w:rPr>
        <w:t>-5</w:t>
      </w:r>
      <w:r>
        <w:rPr>
          <w:rFonts w:hint="eastAsia" w:ascii="Times New Roman" w:hAnsi="Times New Roman" w:eastAsia="宋体" w:cs="Times New Roman"/>
          <w:color w:val="0000FF"/>
          <w:sz w:val="24"/>
          <w:szCs w:val="24"/>
          <w:highlight w:val="none"/>
          <w:vertAlign w:val="baseline"/>
          <w:lang w:val="en-US" w:eastAsia="zh-CN"/>
        </w:rPr>
        <w:t>kg/h，</w:t>
      </w:r>
      <w:r>
        <w:rPr>
          <w:rFonts w:hint="eastAsia" w:ascii="Times New Roman" w:hAnsi="Times New Roman" w:eastAsia="宋体" w:cs="Times New Roman"/>
          <w:color w:val="0000FF"/>
          <w:sz w:val="24"/>
          <w:szCs w:val="24"/>
          <w:highlight w:val="none"/>
          <w:lang w:val="en-US" w:eastAsia="zh-CN"/>
        </w:rPr>
        <w:t>排放浓度为0.0217mg/m</w:t>
      </w:r>
      <w:r>
        <w:rPr>
          <w:rFonts w:hint="eastAsia" w:ascii="Times New Roman" w:hAnsi="Times New Roman" w:eastAsia="宋体" w:cs="Times New Roman"/>
          <w:color w:val="0000FF"/>
          <w:sz w:val="24"/>
          <w:szCs w:val="24"/>
          <w:highlight w:val="none"/>
          <w:vertAlign w:val="superscript"/>
          <w:lang w:val="en-US" w:eastAsia="zh-CN"/>
        </w:rPr>
        <w:t>3</w:t>
      </w:r>
      <w:r>
        <w:rPr>
          <w:rFonts w:hint="default" w:ascii="Times New Roman" w:hAnsi="Times New Roman" w:eastAsia="宋体" w:cs="Times New Roman"/>
          <w:color w:val="0000FF"/>
          <w:sz w:val="24"/>
          <w:szCs w:val="24"/>
          <w:highlight w:val="none"/>
        </w:rPr>
        <w:t>。</w:t>
      </w:r>
    </w:p>
    <w:p w14:paraId="56E93830">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3.3-</w:t>
      </w:r>
      <w:r>
        <w:rPr>
          <w:rFonts w:hint="default" w:ascii="Times New Roman" w:hAnsi="Times New Roman" w:eastAsia="宋体" w:cs="Times New Roman"/>
          <w:b/>
          <w:bCs/>
          <w:color w:val="auto"/>
          <w:spacing w:val="-2"/>
          <w:sz w:val="24"/>
          <w:szCs w:val="24"/>
          <w:highlight w:val="none"/>
          <w:lang w:val="en-US" w:eastAsia="zh-CN"/>
        </w:rPr>
        <w:t>1本项目废气源强排放情况一览表</w:t>
      </w:r>
    </w:p>
    <w:tbl>
      <w:tblPr>
        <w:tblStyle w:val="26"/>
        <w:tblW w:w="511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80"/>
        <w:gridCol w:w="600"/>
        <w:gridCol w:w="855"/>
        <w:gridCol w:w="885"/>
        <w:gridCol w:w="675"/>
        <w:gridCol w:w="840"/>
        <w:gridCol w:w="1125"/>
        <w:gridCol w:w="1035"/>
        <w:gridCol w:w="921"/>
        <w:gridCol w:w="1568"/>
        <w:gridCol w:w="536"/>
        <w:gridCol w:w="765"/>
        <w:gridCol w:w="840"/>
        <w:gridCol w:w="945"/>
        <w:gridCol w:w="1238"/>
        <w:gridCol w:w="566"/>
        <w:gridCol w:w="334"/>
      </w:tblGrid>
      <w:tr w14:paraId="472F35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15" w:type="pct"/>
          <w:trHeight w:val="397" w:hRule="atLeast"/>
          <w:tblHeader/>
        </w:trPr>
        <w:tc>
          <w:tcPr>
            <w:tcW w:w="268" w:type="pct"/>
            <w:vMerge w:val="restart"/>
            <w:shd w:val="clear" w:color="auto" w:fill="auto"/>
            <w:vAlign w:val="center"/>
          </w:tcPr>
          <w:p w14:paraId="734EC488">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工序</w:t>
            </w:r>
          </w:p>
        </w:tc>
        <w:tc>
          <w:tcPr>
            <w:tcW w:w="206" w:type="pct"/>
            <w:vMerge w:val="restart"/>
            <w:shd w:val="clear" w:color="auto" w:fill="auto"/>
            <w:vAlign w:val="center"/>
          </w:tcPr>
          <w:p w14:paraId="1CB3A9E1">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装置</w:t>
            </w:r>
          </w:p>
        </w:tc>
        <w:tc>
          <w:tcPr>
            <w:tcW w:w="294" w:type="pct"/>
            <w:vMerge w:val="restart"/>
            <w:shd w:val="clear" w:color="auto" w:fill="auto"/>
            <w:vAlign w:val="center"/>
          </w:tcPr>
          <w:p w14:paraId="1A7BA195">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污染源</w:t>
            </w:r>
          </w:p>
        </w:tc>
        <w:tc>
          <w:tcPr>
            <w:tcW w:w="305" w:type="pct"/>
            <w:vMerge w:val="restart"/>
            <w:shd w:val="clear" w:color="auto" w:fill="auto"/>
            <w:vAlign w:val="center"/>
          </w:tcPr>
          <w:p w14:paraId="076F0071">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污染物</w:t>
            </w:r>
          </w:p>
        </w:tc>
        <w:tc>
          <w:tcPr>
            <w:tcW w:w="1583" w:type="pct"/>
            <w:gridSpan w:val="5"/>
            <w:shd w:val="clear" w:color="auto" w:fill="auto"/>
            <w:vAlign w:val="center"/>
          </w:tcPr>
          <w:p w14:paraId="3F33E7D9">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污染物产生</w:t>
            </w:r>
          </w:p>
        </w:tc>
        <w:tc>
          <w:tcPr>
            <w:tcW w:w="725" w:type="pct"/>
            <w:gridSpan w:val="2"/>
            <w:shd w:val="clear" w:color="auto" w:fill="auto"/>
            <w:vAlign w:val="center"/>
          </w:tcPr>
          <w:p w14:paraId="2DC1E9DC">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治理措施</w:t>
            </w:r>
          </w:p>
        </w:tc>
        <w:tc>
          <w:tcPr>
            <w:tcW w:w="1500" w:type="pct"/>
            <w:gridSpan w:val="5"/>
            <w:shd w:val="clear" w:color="auto" w:fill="auto"/>
            <w:vAlign w:val="center"/>
          </w:tcPr>
          <w:p w14:paraId="63542B90">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污染物排放</w:t>
            </w:r>
          </w:p>
        </w:tc>
      </w:tr>
      <w:tr w14:paraId="689494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268" w:type="pct"/>
            <w:vMerge w:val="continue"/>
            <w:shd w:val="clear" w:color="auto" w:fill="auto"/>
            <w:vAlign w:val="center"/>
          </w:tcPr>
          <w:p w14:paraId="79992AB5">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p>
        </w:tc>
        <w:tc>
          <w:tcPr>
            <w:tcW w:w="206" w:type="pct"/>
            <w:vMerge w:val="continue"/>
            <w:shd w:val="clear" w:color="auto" w:fill="auto"/>
            <w:vAlign w:val="center"/>
          </w:tcPr>
          <w:p w14:paraId="1BFB8C7C">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p>
        </w:tc>
        <w:tc>
          <w:tcPr>
            <w:tcW w:w="294" w:type="pct"/>
            <w:vMerge w:val="continue"/>
            <w:shd w:val="clear" w:color="auto" w:fill="auto"/>
            <w:vAlign w:val="center"/>
          </w:tcPr>
          <w:p w14:paraId="54008B0C">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p>
        </w:tc>
        <w:tc>
          <w:tcPr>
            <w:tcW w:w="305" w:type="pct"/>
            <w:vMerge w:val="continue"/>
            <w:shd w:val="clear" w:color="auto" w:fill="auto"/>
            <w:vAlign w:val="center"/>
          </w:tcPr>
          <w:p w14:paraId="144EFBC9">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p>
        </w:tc>
        <w:tc>
          <w:tcPr>
            <w:tcW w:w="232" w:type="pct"/>
            <w:shd w:val="clear" w:color="auto" w:fill="auto"/>
            <w:vAlign w:val="center"/>
          </w:tcPr>
          <w:p w14:paraId="091D0E69">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核算方法</w:t>
            </w:r>
          </w:p>
        </w:tc>
        <w:tc>
          <w:tcPr>
            <w:tcW w:w="289" w:type="pct"/>
            <w:shd w:val="clear" w:color="auto" w:fill="auto"/>
            <w:vAlign w:val="center"/>
          </w:tcPr>
          <w:p w14:paraId="1A0F9468">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废气产生量(m</w:t>
            </w:r>
            <w:r>
              <w:rPr>
                <w:rFonts w:hint="default" w:ascii="Times New Roman" w:hAnsi="Times New Roman" w:eastAsia="宋体" w:cs="Times New Roman"/>
                <w:b/>
                <w:bCs/>
                <w:snapToGrid w:val="0"/>
                <w:color w:val="auto"/>
                <w:sz w:val="21"/>
                <w:szCs w:val="21"/>
                <w:highlight w:val="none"/>
                <w:vertAlign w:val="superscript"/>
              </w:rPr>
              <w:t>3</w:t>
            </w:r>
            <w:r>
              <w:rPr>
                <w:rFonts w:hint="default" w:ascii="Times New Roman" w:hAnsi="Times New Roman" w:eastAsia="宋体" w:cs="Times New Roman"/>
                <w:b/>
                <w:bCs/>
                <w:snapToGrid w:val="0"/>
                <w:color w:val="auto"/>
                <w:sz w:val="21"/>
                <w:szCs w:val="21"/>
                <w:highlight w:val="none"/>
              </w:rPr>
              <w:t>/h)</w:t>
            </w:r>
          </w:p>
        </w:tc>
        <w:tc>
          <w:tcPr>
            <w:tcW w:w="387" w:type="pct"/>
            <w:shd w:val="clear" w:color="auto" w:fill="auto"/>
            <w:vAlign w:val="center"/>
          </w:tcPr>
          <w:p w14:paraId="40FF6251">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FF0000"/>
                <w:sz w:val="21"/>
                <w:szCs w:val="21"/>
                <w:highlight w:val="none"/>
              </w:rPr>
            </w:pPr>
            <w:r>
              <w:rPr>
                <w:rFonts w:hint="default" w:ascii="Times New Roman" w:hAnsi="Times New Roman" w:eastAsia="宋体" w:cs="Times New Roman"/>
                <w:b/>
                <w:bCs/>
                <w:snapToGrid w:val="0"/>
                <w:color w:val="FF0000"/>
                <w:sz w:val="21"/>
                <w:szCs w:val="21"/>
                <w:highlight w:val="none"/>
              </w:rPr>
              <w:t>产生浓度(mg/m</w:t>
            </w:r>
            <w:r>
              <w:rPr>
                <w:rFonts w:hint="default" w:ascii="Times New Roman" w:hAnsi="Times New Roman" w:eastAsia="宋体" w:cs="Times New Roman"/>
                <w:b/>
                <w:bCs/>
                <w:snapToGrid w:val="0"/>
                <w:color w:val="FF0000"/>
                <w:sz w:val="21"/>
                <w:szCs w:val="21"/>
                <w:highlight w:val="none"/>
                <w:vertAlign w:val="superscript"/>
              </w:rPr>
              <w:t>3</w:t>
            </w:r>
            <w:r>
              <w:rPr>
                <w:rFonts w:hint="default" w:ascii="Times New Roman" w:hAnsi="Times New Roman" w:eastAsia="宋体" w:cs="Times New Roman"/>
                <w:b/>
                <w:bCs/>
                <w:snapToGrid w:val="0"/>
                <w:color w:val="FF0000"/>
                <w:sz w:val="21"/>
                <w:szCs w:val="21"/>
                <w:highlight w:val="none"/>
              </w:rPr>
              <w:t>)</w:t>
            </w:r>
          </w:p>
        </w:tc>
        <w:tc>
          <w:tcPr>
            <w:tcW w:w="356" w:type="pct"/>
            <w:shd w:val="clear" w:color="auto" w:fill="auto"/>
            <w:vAlign w:val="center"/>
          </w:tcPr>
          <w:p w14:paraId="3EB7B3CC">
            <w:pPr>
              <w:pStyle w:val="38"/>
              <w:keepNext w:val="0"/>
              <w:keepLines w:val="0"/>
              <w:pageBreakBefore w:val="0"/>
              <w:kinsoku/>
              <w:wordWrap/>
              <w:overflowPunct/>
              <w:topLinePunct w:val="0"/>
              <w:bidi w:val="0"/>
              <w:adjustRightInd/>
              <w:snapToGrid/>
              <w:spacing w:line="240" w:lineRule="auto"/>
              <w:jc w:val="center"/>
              <w:rPr>
                <w:rFonts w:hint="eastAsia" w:ascii="Times New Roman" w:hAnsi="Times New Roman" w:eastAsia="宋体" w:cs="Times New Roman"/>
                <w:b/>
                <w:bCs/>
                <w:snapToGrid w:val="0"/>
                <w:color w:val="FF0000"/>
                <w:sz w:val="21"/>
                <w:szCs w:val="21"/>
                <w:highlight w:val="none"/>
                <w:lang w:val="en-US" w:eastAsia="zh-CN"/>
              </w:rPr>
            </w:pPr>
            <w:r>
              <w:rPr>
                <w:rFonts w:hint="eastAsia" w:ascii="Times New Roman" w:hAnsi="Times New Roman" w:eastAsia="宋体" w:cs="Times New Roman"/>
                <w:b/>
                <w:bCs/>
                <w:snapToGrid w:val="0"/>
                <w:color w:val="FF0000"/>
                <w:sz w:val="21"/>
                <w:szCs w:val="21"/>
                <w:highlight w:val="none"/>
                <w:lang w:val="en-US" w:eastAsia="zh-CN"/>
              </w:rPr>
              <w:t>产生速率（kg/h）</w:t>
            </w:r>
          </w:p>
        </w:tc>
        <w:tc>
          <w:tcPr>
            <w:tcW w:w="317" w:type="pct"/>
            <w:shd w:val="clear" w:color="auto" w:fill="auto"/>
            <w:vAlign w:val="center"/>
          </w:tcPr>
          <w:p w14:paraId="35B2051B">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FF0000"/>
                <w:sz w:val="21"/>
                <w:szCs w:val="21"/>
                <w:highlight w:val="none"/>
              </w:rPr>
            </w:pPr>
            <w:r>
              <w:rPr>
                <w:rFonts w:hint="default" w:ascii="Times New Roman" w:hAnsi="Times New Roman" w:eastAsia="宋体" w:cs="Times New Roman"/>
                <w:b/>
                <w:bCs/>
                <w:snapToGrid w:val="0"/>
                <w:color w:val="FF0000"/>
                <w:sz w:val="21"/>
                <w:szCs w:val="21"/>
                <w:highlight w:val="none"/>
              </w:rPr>
              <w:t>产生量（</w:t>
            </w:r>
            <w:r>
              <w:rPr>
                <w:rFonts w:hint="default" w:ascii="Times New Roman" w:hAnsi="Times New Roman" w:eastAsia="宋体" w:cs="Times New Roman"/>
                <w:b/>
                <w:bCs/>
                <w:snapToGrid w:val="0"/>
                <w:color w:val="FF0000"/>
                <w:sz w:val="21"/>
                <w:szCs w:val="21"/>
                <w:highlight w:val="none"/>
                <w:lang w:val="en-US" w:eastAsia="zh-CN"/>
              </w:rPr>
              <w:t xml:space="preserve"> t/a</w:t>
            </w:r>
            <w:r>
              <w:rPr>
                <w:rFonts w:hint="default" w:ascii="Times New Roman" w:hAnsi="Times New Roman" w:eastAsia="宋体" w:cs="Times New Roman"/>
                <w:b/>
                <w:bCs/>
                <w:snapToGrid w:val="0"/>
                <w:color w:val="FF0000"/>
                <w:sz w:val="21"/>
                <w:szCs w:val="21"/>
                <w:highlight w:val="none"/>
              </w:rPr>
              <w:t>）</w:t>
            </w:r>
          </w:p>
        </w:tc>
        <w:tc>
          <w:tcPr>
            <w:tcW w:w="540" w:type="pct"/>
            <w:tcBorders>
              <w:bottom w:val="single" w:color="auto" w:sz="4" w:space="0"/>
            </w:tcBorders>
            <w:shd w:val="clear" w:color="auto" w:fill="auto"/>
            <w:vAlign w:val="center"/>
          </w:tcPr>
          <w:p w14:paraId="06852E0A">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FF0000"/>
                <w:sz w:val="21"/>
                <w:szCs w:val="21"/>
                <w:highlight w:val="none"/>
              </w:rPr>
            </w:pPr>
            <w:r>
              <w:rPr>
                <w:rFonts w:hint="default" w:ascii="Times New Roman" w:hAnsi="Times New Roman" w:eastAsia="宋体" w:cs="Times New Roman"/>
                <w:b/>
                <w:bCs/>
                <w:snapToGrid w:val="0"/>
                <w:color w:val="FF0000"/>
                <w:sz w:val="21"/>
                <w:szCs w:val="21"/>
                <w:highlight w:val="none"/>
              </w:rPr>
              <w:t>工艺</w:t>
            </w:r>
          </w:p>
        </w:tc>
        <w:tc>
          <w:tcPr>
            <w:tcW w:w="184" w:type="pct"/>
            <w:tcBorders>
              <w:bottom w:val="single" w:color="auto" w:sz="4" w:space="0"/>
            </w:tcBorders>
            <w:shd w:val="clear" w:color="auto" w:fill="auto"/>
            <w:vAlign w:val="center"/>
          </w:tcPr>
          <w:p w14:paraId="742BB130">
            <w:pPr>
              <w:pStyle w:val="38"/>
              <w:keepNext w:val="0"/>
              <w:keepLines w:val="0"/>
              <w:pageBreakBefore w:val="0"/>
              <w:kinsoku/>
              <w:wordWrap/>
              <w:overflowPunct/>
              <w:topLinePunct w:val="0"/>
              <w:bidi w:val="0"/>
              <w:adjustRightInd/>
              <w:snapToGrid/>
              <w:spacing w:line="240" w:lineRule="auto"/>
              <w:jc w:val="both"/>
              <w:rPr>
                <w:rFonts w:hint="default" w:ascii="Times New Roman" w:hAnsi="Times New Roman" w:eastAsia="宋体" w:cs="Times New Roman"/>
                <w:b/>
                <w:bCs/>
                <w:snapToGrid w:val="0"/>
                <w:color w:val="FF0000"/>
                <w:sz w:val="21"/>
                <w:szCs w:val="21"/>
                <w:highlight w:val="none"/>
              </w:rPr>
            </w:pPr>
            <w:r>
              <w:rPr>
                <w:rFonts w:hint="default" w:ascii="Times New Roman" w:hAnsi="Times New Roman" w:eastAsia="宋体" w:cs="Times New Roman"/>
                <w:b/>
                <w:bCs/>
                <w:snapToGrid w:val="0"/>
                <w:color w:val="FF0000"/>
                <w:sz w:val="21"/>
                <w:szCs w:val="21"/>
                <w:highlight w:val="none"/>
              </w:rPr>
              <w:t>效率%</w:t>
            </w:r>
          </w:p>
        </w:tc>
        <w:tc>
          <w:tcPr>
            <w:tcW w:w="263" w:type="pct"/>
            <w:shd w:val="clear" w:color="auto" w:fill="auto"/>
            <w:vAlign w:val="center"/>
          </w:tcPr>
          <w:p w14:paraId="77520D25">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FF0000"/>
                <w:sz w:val="21"/>
                <w:szCs w:val="21"/>
                <w:highlight w:val="none"/>
              </w:rPr>
            </w:pPr>
            <w:r>
              <w:rPr>
                <w:rFonts w:hint="default" w:ascii="Times New Roman" w:hAnsi="Times New Roman" w:eastAsia="宋体" w:cs="Times New Roman"/>
                <w:b/>
                <w:bCs/>
                <w:snapToGrid w:val="0"/>
                <w:color w:val="FF0000"/>
                <w:sz w:val="21"/>
                <w:szCs w:val="21"/>
                <w:highlight w:val="none"/>
              </w:rPr>
              <w:t>核算方法</w:t>
            </w:r>
          </w:p>
        </w:tc>
        <w:tc>
          <w:tcPr>
            <w:tcW w:w="289" w:type="pct"/>
            <w:shd w:val="clear" w:color="auto" w:fill="auto"/>
            <w:vAlign w:val="center"/>
          </w:tcPr>
          <w:p w14:paraId="24C0EF04">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FF0000"/>
                <w:sz w:val="21"/>
                <w:szCs w:val="21"/>
                <w:highlight w:val="none"/>
              </w:rPr>
            </w:pPr>
            <w:r>
              <w:rPr>
                <w:rFonts w:hint="default" w:ascii="Times New Roman" w:hAnsi="Times New Roman" w:eastAsia="宋体" w:cs="Times New Roman"/>
                <w:b/>
                <w:bCs/>
                <w:snapToGrid w:val="0"/>
                <w:color w:val="FF0000"/>
                <w:sz w:val="21"/>
                <w:szCs w:val="21"/>
                <w:highlight w:val="none"/>
              </w:rPr>
              <w:t>废气排放量(m</w:t>
            </w:r>
            <w:r>
              <w:rPr>
                <w:rFonts w:hint="default" w:ascii="Times New Roman" w:hAnsi="Times New Roman" w:eastAsia="宋体" w:cs="Times New Roman"/>
                <w:b/>
                <w:bCs/>
                <w:snapToGrid w:val="0"/>
                <w:color w:val="FF0000"/>
                <w:sz w:val="21"/>
                <w:szCs w:val="21"/>
                <w:highlight w:val="none"/>
                <w:vertAlign w:val="superscript"/>
              </w:rPr>
              <w:t>3</w:t>
            </w:r>
            <w:r>
              <w:rPr>
                <w:rFonts w:hint="default" w:ascii="Times New Roman" w:hAnsi="Times New Roman" w:eastAsia="宋体" w:cs="Times New Roman"/>
                <w:b/>
                <w:bCs/>
                <w:snapToGrid w:val="0"/>
                <w:color w:val="FF0000"/>
                <w:sz w:val="21"/>
                <w:szCs w:val="21"/>
                <w:highlight w:val="none"/>
              </w:rPr>
              <w:t>/h)</w:t>
            </w:r>
          </w:p>
        </w:tc>
        <w:tc>
          <w:tcPr>
            <w:tcW w:w="325" w:type="pct"/>
            <w:shd w:val="clear" w:color="auto" w:fill="auto"/>
            <w:vAlign w:val="center"/>
          </w:tcPr>
          <w:p w14:paraId="1D5F2D88">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FF0000"/>
                <w:sz w:val="21"/>
                <w:szCs w:val="21"/>
                <w:highlight w:val="none"/>
              </w:rPr>
            </w:pPr>
            <w:r>
              <w:rPr>
                <w:rFonts w:hint="default" w:ascii="Times New Roman" w:hAnsi="Times New Roman" w:eastAsia="宋体" w:cs="Times New Roman"/>
                <w:b/>
                <w:bCs/>
                <w:snapToGrid w:val="0"/>
                <w:color w:val="FF0000"/>
                <w:sz w:val="21"/>
                <w:szCs w:val="21"/>
                <w:highlight w:val="none"/>
              </w:rPr>
              <w:t>排放浓度(mg/m</w:t>
            </w:r>
            <w:r>
              <w:rPr>
                <w:rFonts w:hint="default" w:ascii="Times New Roman" w:hAnsi="Times New Roman" w:eastAsia="宋体" w:cs="Times New Roman"/>
                <w:b/>
                <w:bCs/>
                <w:snapToGrid w:val="0"/>
                <w:color w:val="FF0000"/>
                <w:sz w:val="21"/>
                <w:szCs w:val="21"/>
                <w:highlight w:val="none"/>
                <w:vertAlign w:val="superscript"/>
              </w:rPr>
              <w:t>3</w:t>
            </w:r>
            <w:r>
              <w:rPr>
                <w:rFonts w:hint="default" w:ascii="Times New Roman" w:hAnsi="Times New Roman" w:eastAsia="宋体" w:cs="Times New Roman"/>
                <w:b/>
                <w:bCs/>
                <w:snapToGrid w:val="0"/>
                <w:color w:val="FF0000"/>
                <w:sz w:val="21"/>
                <w:szCs w:val="21"/>
                <w:highlight w:val="none"/>
              </w:rPr>
              <w:t>)</w:t>
            </w:r>
          </w:p>
        </w:tc>
        <w:tc>
          <w:tcPr>
            <w:tcW w:w="426" w:type="pct"/>
            <w:shd w:val="clear" w:color="auto" w:fill="auto"/>
            <w:vAlign w:val="center"/>
          </w:tcPr>
          <w:p w14:paraId="5504DC6A">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FF0000"/>
                <w:sz w:val="21"/>
                <w:szCs w:val="21"/>
                <w:highlight w:val="none"/>
              </w:rPr>
            </w:pPr>
            <w:r>
              <w:rPr>
                <w:rFonts w:hint="eastAsia" w:ascii="Times New Roman" w:hAnsi="Times New Roman" w:eastAsia="宋体" w:cs="Times New Roman"/>
                <w:b/>
                <w:bCs/>
                <w:snapToGrid w:val="0"/>
                <w:color w:val="FF0000"/>
                <w:sz w:val="21"/>
                <w:szCs w:val="21"/>
                <w:highlight w:val="none"/>
                <w:lang w:val="en-US" w:eastAsia="zh-CN"/>
              </w:rPr>
              <w:t>排放速率（kg/h）</w:t>
            </w:r>
          </w:p>
        </w:tc>
        <w:tc>
          <w:tcPr>
            <w:tcW w:w="310" w:type="pct"/>
            <w:gridSpan w:val="2"/>
            <w:shd w:val="clear" w:color="auto" w:fill="auto"/>
            <w:vAlign w:val="center"/>
          </w:tcPr>
          <w:p w14:paraId="61BB7142">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b/>
                <w:bCs/>
                <w:snapToGrid w:val="0"/>
                <w:color w:val="FF0000"/>
                <w:sz w:val="21"/>
                <w:szCs w:val="21"/>
                <w:highlight w:val="none"/>
              </w:rPr>
            </w:pPr>
            <w:r>
              <w:rPr>
                <w:rFonts w:hint="default" w:ascii="Times New Roman" w:hAnsi="Times New Roman" w:eastAsia="宋体" w:cs="Times New Roman"/>
                <w:b/>
                <w:bCs/>
                <w:snapToGrid w:val="0"/>
                <w:color w:val="FF0000"/>
                <w:sz w:val="21"/>
                <w:szCs w:val="21"/>
                <w:highlight w:val="none"/>
              </w:rPr>
              <w:t>排放量（</w:t>
            </w:r>
            <w:r>
              <w:rPr>
                <w:rFonts w:hint="default" w:ascii="Times New Roman" w:hAnsi="Times New Roman" w:eastAsia="宋体" w:cs="Times New Roman"/>
                <w:b/>
                <w:bCs/>
                <w:snapToGrid w:val="0"/>
                <w:color w:val="FF0000"/>
                <w:sz w:val="21"/>
                <w:szCs w:val="21"/>
                <w:highlight w:val="none"/>
                <w:lang w:val="en-US" w:eastAsia="zh-CN"/>
              </w:rPr>
              <w:t>t/a</w:t>
            </w:r>
            <w:r>
              <w:rPr>
                <w:rFonts w:hint="default" w:ascii="Times New Roman" w:hAnsi="Times New Roman" w:eastAsia="宋体" w:cs="Times New Roman"/>
                <w:b/>
                <w:bCs/>
                <w:snapToGrid w:val="0"/>
                <w:color w:val="FF0000"/>
                <w:sz w:val="21"/>
                <w:szCs w:val="21"/>
                <w:highlight w:val="none"/>
              </w:rPr>
              <w:t>）</w:t>
            </w:r>
          </w:p>
        </w:tc>
      </w:tr>
      <w:tr w14:paraId="41F84F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268" w:type="pct"/>
            <w:vMerge w:val="restart"/>
            <w:shd w:val="clear" w:color="auto" w:fill="auto"/>
            <w:vAlign w:val="center"/>
          </w:tcPr>
          <w:p w14:paraId="482D2074">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lang w:val="en-US" w:eastAsia="zh-CN"/>
              </w:rPr>
              <w:t>养殖</w:t>
            </w:r>
            <w:r>
              <w:rPr>
                <w:rFonts w:hint="default" w:ascii="Times New Roman" w:hAnsi="Times New Roman" w:eastAsia="宋体" w:cs="Times New Roman"/>
                <w:snapToGrid w:val="0"/>
                <w:color w:val="auto"/>
                <w:sz w:val="21"/>
                <w:szCs w:val="21"/>
                <w:highlight w:val="none"/>
              </w:rPr>
              <w:t>过程</w:t>
            </w:r>
          </w:p>
        </w:tc>
        <w:tc>
          <w:tcPr>
            <w:tcW w:w="206" w:type="pct"/>
            <w:vMerge w:val="restart"/>
            <w:shd w:val="clear" w:color="auto" w:fill="auto"/>
            <w:vAlign w:val="center"/>
          </w:tcPr>
          <w:p w14:paraId="79B40214">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养殖场</w:t>
            </w:r>
          </w:p>
        </w:tc>
        <w:tc>
          <w:tcPr>
            <w:tcW w:w="294" w:type="pct"/>
            <w:vMerge w:val="restart"/>
            <w:shd w:val="clear" w:color="auto" w:fill="auto"/>
            <w:vAlign w:val="center"/>
          </w:tcPr>
          <w:p w14:paraId="52235C27">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无组织排放</w:t>
            </w:r>
          </w:p>
        </w:tc>
        <w:tc>
          <w:tcPr>
            <w:tcW w:w="305" w:type="pct"/>
            <w:shd w:val="clear" w:color="auto" w:fill="auto"/>
            <w:vAlign w:val="center"/>
          </w:tcPr>
          <w:p w14:paraId="161B20DD">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NH</w:t>
            </w:r>
            <w:r>
              <w:rPr>
                <w:rFonts w:hint="default" w:ascii="Times New Roman" w:hAnsi="Times New Roman" w:eastAsia="宋体" w:cs="Times New Roman"/>
                <w:snapToGrid w:val="0"/>
                <w:color w:val="auto"/>
                <w:sz w:val="21"/>
                <w:szCs w:val="21"/>
                <w:highlight w:val="none"/>
                <w:vertAlign w:val="subscript"/>
              </w:rPr>
              <w:t>3</w:t>
            </w:r>
          </w:p>
        </w:tc>
        <w:tc>
          <w:tcPr>
            <w:tcW w:w="232" w:type="pct"/>
            <w:vMerge w:val="restart"/>
            <w:shd w:val="clear" w:color="auto" w:fill="auto"/>
            <w:vAlign w:val="center"/>
          </w:tcPr>
          <w:p w14:paraId="64EF8E12">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系数法</w:t>
            </w:r>
          </w:p>
        </w:tc>
        <w:tc>
          <w:tcPr>
            <w:tcW w:w="289" w:type="pct"/>
            <w:vMerge w:val="restart"/>
            <w:shd w:val="clear" w:color="auto" w:fill="auto"/>
            <w:vAlign w:val="center"/>
          </w:tcPr>
          <w:p w14:paraId="2C93DC93">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w:t>
            </w:r>
          </w:p>
        </w:tc>
        <w:tc>
          <w:tcPr>
            <w:tcW w:w="387" w:type="pct"/>
            <w:shd w:val="clear" w:color="auto" w:fill="auto"/>
            <w:vAlign w:val="center"/>
          </w:tcPr>
          <w:p w14:paraId="06D8FA17">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56" w:type="pct"/>
            <w:shd w:val="clear" w:color="auto" w:fill="auto"/>
            <w:vAlign w:val="center"/>
          </w:tcPr>
          <w:p w14:paraId="1B691F82">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17" w:type="pct"/>
            <w:shd w:val="clear" w:color="auto" w:fill="auto"/>
            <w:vAlign w:val="center"/>
          </w:tcPr>
          <w:p w14:paraId="49E30DB9">
            <w:pPr>
              <w:pStyle w:val="38"/>
              <w:keepNext w:val="0"/>
              <w:keepLines w:val="0"/>
              <w:pageBreakBefore w:val="0"/>
              <w:kinsoku/>
              <w:wordWrap/>
              <w:overflowPunct/>
              <w:topLinePunct w:val="0"/>
              <w:bidi w:val="0"/>
              <w:adjustRightInd/>
              <w:snapToGrid/>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1.288</w:t>
            </w:r>
          </w:p>
        </w:tc>
        <w:tc>
          <w:tcPr>
            <w:tcW w:w="540" w:type="pct"/>
            <w:vMerge w:val="restart"/>
            <w:shd w:val="clear" w:color="auto" w:fill="auto"/>
            <w:vAlign w:val="center"/>
          </w:tcPr>
          <w:p w14:paraId="4DF289E5">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color w:val="0000FF"/>
                <w:sz w:val="21"/>
                <w:szCs w:val="21"/>
                <w:highlight w:val="none"/>
                <w:lang w:eastAsia="zh-CN"/>
              </w:rPr>
            </w:pPr>
            <w:r>
              <w:rPr>
                <w:rFonts w:hint="default" w:ascii="Times New Roman" w:hAnsi="Times New Roman" w:eastAsia="宋体" w:cs="Times New Roman"/>
                <w:color w:val="0000FF"/>
                <w:sz w:val="21"/>
                <w:szCs w:val="21"/>
                <w:highlight w:val="none"/>
                <w:lang w:eastAsia="zh-CN"/>
              </w:rPr>
              <w:t>加强通风、喷洒微生物除臭剂</w:t>
            </w:r>
          </w:p>
        </w:tc>
        <w:tc>
          <w:tcPr>
            <w:tcW w:w="184" w:type="pct"/>
            <w:shd w:val="clear" w:color="auto" w:fill="auto"/>
            <w:vAlign w:val="center"/>
          </w:tcPr>
          <w:p w14:paraId="029EB638">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rPr>
            </w:pPr>
            <w:r>
              <w:rPr>
                <w:rFonts w:hint="eastAsia" w:ascii="Times New Roman" w:hAnsi="Times New Roman" w:eastAsia="宋体" w:cs="Times New Roman"/>
                <w:color w:val="0000FF"/>
                <w:sz w:val="21"/>
                <w:szCs w:val="21"/>
                <w:highlight w:val="none"/>
                <w:lang w:val="en-US" w:eastAsia="zh-CN"/>
              </w:rPr>
              <w:t>85</w:t>
            </w:r>
          </w:p>
        </w:tc>
        <w:tc>
          <w:tcPr>
            <w:tcW w:w="263" w:type="pct"/>
            <w:vMerge w:val="restart"/>
            <w:shd w:val="clear" w:color="auto" w:fill="auto"/>
            <w:vAlign w:val="center"/>
          </w:tcPr>
          <w:p w14:paraId="74D29AAC">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auto"/>
                <w:sz w:val="21"/>
                <w:szCs w:val="21"/>
                <w:highlight w:val="none"/>
                <w:lang w:val="en-US" w:eastAsia="zh-CN"/>
              </w:rPr>
              <w:t>系数法</w:t>
            </w:r>
          </w:p>
        </w:tc>
        <w:tc>
          <w:tcPr>
            <w:tcW w:w="289" w:type="pct"/>
            <w:vMerge w:val="restart"/>
            <w:shd w:val="clear" w:color="auto" w:fill="auto"/>
            <w:vAlign w:val="center"/>
          </w:tcPr>
          <w:p w14:paraId="0F1FEB0A">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25" w:type="pct"/>
            <w:shd w:val="clear" w:color="auto" w:fill="auto"/>
            <w:vAlign w:val="center"/>
          </w:tcPr>
          <w:p w14:paraId="43E1582F">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426" w:type="pct"/>
            <w:shd w:val="clear" w:color="auto" w:fill="auto"/>
            <w:vAlign w:val="center"/>
          </w:tcPr>
          <w:p w14:paraId="30C829AC">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sz w:val="21"/>
                <w:szCs w:val="21"/>
                <w:highlight w:val="none"/>
                <w:lang w:val="en-US" w:eastAsia="zh-CN"/>
              </w:rPr>
              <w:t>0.147</w:t>
            </w:r>
          </w:p>
        </w:tc>
        <w:tc>
          <w:tcPr>
            <w:tcW w:w="310" w:type="pct"/>
            <w:gridSpan w:val="2"/>
            <w:shd w:val="clear" w:color="auto" w:fill="auto"/>
            <w:vAlign w:val="center"/>
          </w:tcPr>
          <w:p w14:paraId="6296BCF0">
            <w:pPr>
              <w:pStyle w:val="38"/>
              <w:keepNext w:val="0"/>
              <w:keepLines w:val="0"/>
              <w:pageBreakBefore w:val="0"/>
              <w:kinsoku/>
              <w:wordWrap/>
              <w:overflowPunct/>
              <w:topLinePunct w:val="0"/>
              <w:bidi w:val="0"/>
              <w:adjustRightInd/>
              <w:snapToGrid/>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0.1932</w:t>
            </w:r>
          </w:p>
        </w:tc>
      </w:tr>
      <w:tr w14:paraId="72392D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8" w:type="pct"/>
            <w:vMerge w:val="continue"/>
            <w:shd w:val="clear" w:color="auto" w:fill="auto"/>
            <w:vAlign w:val="center"/>
          </w:tcPr>
          <w:p w14:paraId="44D7E688">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6" w:type="pct"/>
            <w:vMerge w:val="continue"/>
            <w:shd w:val="clear" w:color="auto" w:fill="auto"/>
            <w:vAlign w:val="center"/>
          </w:tcPr>
          <w:p w14:paraId="21D624A0">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94" w:type="pct"/>
            <w:vMerge w:val="continue"/>
            <w:shd w:val="clear" w:color="auto" w:fill="auto"/>
            <w:vAlign w:val="center"/>
          </w:tcPr>
          <w:p w14:paraId="51F40CBE">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05" w:type="pct"/>
            <w:shd w:val="clear" w:color="auto" w:fill="auto"/>
            <w:vAlign w:val="center"/>
          </w:tcPr>
          <w:p w14:paraId="5E5E3929">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H</w:t>
            </w:r>
            <w:r>
              <w:rPr>
                <w:rFonts w:hint="default" w:ascii="Times New Roman" w:hAnsi="Times New Roman" w:eastAsia="宋体" w:cs="Times New Roman"/>
                <w:snapToGrid w:val="0"/>
                <w:color w:val="auto"/>
                <w:sz w:val="21"/>
                <w:szCs w:val="21"/>
                <w:highlight w:val="none"/>
                <w:vertAlign w:val="subscript"/>
              </w:rPr>
              <w:t>2</w:t>
            </w:r>
            <w:r>
              <w:rPr>
                <w:rFonts w:hint="default" w:ascii="Times New Roman" w:hAnsi="Times New Roman" w:eastAsia="宋体" w:cs="Times New Roman"/>
                <w:snapToGrid w:val="0"/>
                <w:color w:val="auto"/>
                <w:sz w:val="21"/>
                <w:szCs w:val="21"/>
                <w:highlight w:val="none"/>
              </w:rPr>
              <w:t>S</w:t>
            </w:r>
          </w:p>
        </w:tc>
        <w:tc>
          <w:tcPr>
            <w:tcW w:w="232" w:type="pct"/>
            <w:vMerge w:val="continue"/>
            <w:shd w:val="clear" w:color="auto" w:fill="auto"/>
            <w:vAlign w:val="center"/>
          </w:tcPr>
          <w:p w14:paraId="1CB14FAE">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89" w:type="pct"/>
            <w:vMerge w:val="continue"/>
            <w:shd w:val="clear" w:color="auto" w:fill="auto"/>
            <w:vAlign w:val="center"/>
          </w:tcPr>
          <w:p w14:paraId="281F1F86">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7" w:type="pct"/>
            <w:shd w:val="clear" w:color="auto" w:fill="auto"/>
            <w:vAlign w:val="center"/>
          </w:tcPr>
          <w:p w14:paraId="3083E7E5">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56" w:type="pct"/>
            <w:shd w:val="clear" w:color="auto" w:fill="auto"/>
            <w:vAlign w:val="center"/>
          </w:tcPr>
          <w:p w14:paraId="077D1F74">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17" w:type="pct"/>
            <w:shd w:val="clear" w:color="auto" w:fill="auto"/>
            <w:vAlign w:val="center"/>
          </w:tcPr>
          <w:p w14:paraId="4DAEC213">
            <w:pPr>
              <w:pStyle w:val="38"/>
              <w:keepNext w:val="0"/>
              <w:keepLines w:val="0"/>
              <w:pageBreakBefore w:val="0"/>
              <w:kinsoku/>
              <w:wordWrap/>
              <w:overflowPunct/>
              <w:topLinePunct w:val="0"/>
              <w:bidi w:val="0"/>
              <w:adjustRightInd/>
              <w:snapToGrid/>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0.0095</w:t>
            </w:r>
          </w:p>
        </w:tc>
        <w:tc>
          <w:tcPr>
            <w:tcW w:w="540" w:type="pct"/>
            <w:vMerge w:val="continue"/>
            <w:shd w:val="clear" w:color="auto" w:fill="auto"/>
            <w:vAlign w:val="center"/>
          </w:tcPr>
          <w:p w14:paraId="0CB70BF6">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p>
        </w:tc>
        <w:tc>
          <w:tcPr>
            <w:tcW w:w="184" w:type="pct"/>
            <w:shd w:val="clear" w:color="auto" w:fill="auto"/>
            <w:vAlign w:val="center"/>
          </w:tcPr>
          <w:p w14:paraId="7D45504B">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85</w:t>
            </w:r>
          </w:p>
        </w:tc>
        <w:tc>
          <w:tcPr>
            <w:tcW w:w="263" w:type="pct"/>
            <w:vMerge w:val="continue"/>
            <w:shd w:val="clear" w:color="auto" w:fill="auto"/>
            <w:vAlign w:val="center"/>
          </w:tcPr>
          <w:p w14:paraId="66A6FC60">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p>
        </w:tc>
        <w:tc>
          <w:tcPr>
            <w:tcW w:w="289" w:type="pct"/>
            <w:vMerge w:val="continue"/>
            <w:shd w:val="clear" w:color="auto" w:fill="auto"/>
            <w:vAlign w:val="center"/>
          </w:tcPr>
          <w:p w14:paraId="730DDB65">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p>
        </w:tc>
        <w:tc>
          <w:tcPr>
            <w:tcW w:w="325" w:type="pct"/>
            <w:shd w:val="clear" w:color="auto" w:fill="auto"/>
            <w:vAlign w:val="center"/>
          </w:tcPr>
          <w:p w14:paraId="2C78D893">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426" w:type="pct"/>
            <w:shd w:val="clear" w:color="auto" w:fill="auto"/>
            <w:vAlign w:val="center"/>
          </w:tcPr>
          <w:p w14:paraId="78316E64">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sz w:val="21"/>
                <w:szCs w:val="21"/>
                <w:highlight w:val="none"/>
                <w:lang w:val="en-US" w:eastAsia="zh-CN"/>
              </w:rPr>
              <w:t>0.0011</w:t>
            </w:r>
          </w:p>
        </w:tc>
        <w:tc>
          <w:tcPr>
            <w:tcW w:w="310" w:type="pct"/>
            <w:gridSpan w:val="2"/>
            <w:shd w:val="clear" w:color="auto" w:fill="auto"/>
            <w:vAlign w:val="center"/>
          </w:tcPr>
          <w:p w14:paraId="6C2821CC">
            <w:pPr>
              <w:pStyle w:val="38"/>
              <w:keepNext w:val="0"/>
              <w:keepLines w:val="0"/>
              <w:pageBreakBefore w:val="0"/>
              <w:kinsoku/>
              <w:wordWrap/>
              <w:overflowPunct/>
              <w:topLinePunct w:val="0"/>
              <w:bidi w:val="0"/>
              <w:adjustRightInd/>
              <w:snapToGrid/>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0.0014</w:t>
            </w:r>
          </w:p>
        </w:tc>
      </w:tr>
      <w:tr w14:paraId="744223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4" w:hRule="atLeast"/>
        </w:trPr>
        <w:tc>
          <w:tcPr>
            <w:tcW w:w="268" w:type="pct"/>
            <w:vMerge w:val="restart"/>
            <w:shd w:val="clear" w:color="auto" w:fill="auto"/>
            <w:vAlign w:val="center"/>
          </w:tcPr>
          <w:p w14:paraId="11465CDA">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粪污处理设施</w:t>
            </w:r>
          </w:p>
        </w:tc>
        <w:tc>
          <w:tcPr>
            <w:tcW w:w="206" w:type="pct"/>
            <w:vMerge w:val="restart"/>
            <w:shd w:val="clear" w:color="auto" w:fill="auto"/>
            <w:vAlign w:val="center"/>
          </w:tcPr>
          <w:p w14:paraId="7294470F">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color w:val="auto"/>
                <w:sz w:val="21"/>
                <w:szCs w:val="21"/>
                <w:highlight w:val="none"/>
                <w:lang w:val="en-US" w:eastAsia="zh-CN"/>
              </w:rPr>
              <w:t>粪污储存间</w:t>
            </w:r>
          </w:p>
        </w:tc>
        <w:tc>
          <w:tcPr>
            <w:tcW w:w="294" w:type="pct"/>
            <w:vMerge w:val="restart"/>
            <w:shd w:val="clear" w:color="auto" w:fill="auto"/>
            <w:vAlign w:val="center"/>
          </w:tcPr>
          <w:p w14:paraId="631BAB13">
            <w:pPr>
              <w:pStyle w:val="38"/>
              <w:keepNext w:val="0"/>
              <w:keepLines w:val="0"/>
              <w:pageBreakBefore w:val="0"/>
              <w:kinsoku/>
              <w:wordWrap/>
              <w:overflowPunct/>
              <w:topLinePunct w:val="0"/>
              <w:bidi w:val="0"/>
              <w:adjustRightInd/>
              <w:snapToGrid/>
              <w:spacing w:line="240" w:lineRule="auto"/>
              <w:jc w:val="center"/>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有组织</w:t>
            </w:r>
          </w:p>
        </w:tc>
        <w:tc>
          <w:tcPr>
            <w:tcW w:w="305" w:type="pct"/>
            <w:shd w:val="clear" w:color="auto" w:fill="auto"/>
            <w:vAlign w:val="center"/>
          </w:tcPr>
          <w:p w14:paraId="3BA9714E">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NH</w:t>
            </w:r>
            <w:r>
              <w:rPr>
                <w:rFonts w:hint="default" w:ascii="Times New Roman" w:hAnsi="Times New Roman" w:eastAsia="宋体" w:cs="Times New Roman"/>
                <w:snapToGrid w:val="0"/>
                <w:color w:val="auto"/>
                <w:sz w:val="21"/>
                <w:szCs w:val="21"/>
                <w:highlight w:val="none"/>
                <w:vertAlign w:val="subscript"/>
              </w:rPr>
              <w:t>3</w:t>
            </w:r>
          </w:p>
        </w:tc>
        <w:tc>
          <w:tcPr>
            <w:tcW w:w="232" w:type="pct"/>
            <w:vMerge w:val="restart"/>
            <w:shd w:val="clear" w:color="auto" w:fill="auto"/>
            <w:vAlign w:val="center"/>
          </w:tcPr>
          <w:p w14:paraId="094415DA">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lang w:val="en-US" w:eastAsia="zh-CN"/>
              </w:rPr>
              <w:t>系数法</w:t>
            </w:r>
          </w:p>
        </w:tc>
        <w:tc>
          <w:tcPr>
            <w:tcW w:w="289" w:type="pct"/>
            <w:vMerge w:val="restart"/>
            <w:shd w:val="clear" w:color="auto" w:fill="auto"/>
            <w:vAlign w:val="center"/>
          </w:tcPr>
          <w:p w14:paraId="5A004CA6">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w:t>
            </w:r>
          </w:p>
        </w:tc>
        <w:tc>
          <w:tcPr>
            <w:tcW w:w="387" w:type="pct"/>
            <w:shd w:val="clear" w:color="auto" w:fill="auto"/>
            <w:vAlign w:val="center"/>
          </w:tcPr>
          <w:p w14:paraId="7031F908">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56" w:type="pct"/>
            <w:shd w:val="clear" w:color="auto" w:fill="auto"/>
            <w:vAlign w:val="center"/>
          </w:tcPr>
          <w:p w14:paraId="2D60B3E6">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0.015</w:t>
            </w:r>
          </w:p>
        </w:tc>
        <w:tc>
          <w:tcPr>
            <w:tcW w:w="317" w:type="pct"/>
            <w:shd w:val="clear" w:color="auto" w:fill="auto"/>
            <w:vAlign w:val="center"/>
          </w:tcPr>
          <w:p w14:paraId="5319CCFA">
            <w:pPr>
              <w:pStyle w:val="38"/>
              <w:keepNext w:val="0"/>
              <w:keepLines w:val="0"/>
              <w:pageBreakBefore w:val="0"/>
              <w:kinsoku/>
              <w:wordWrap/>
              <w:overflowPunct/>
              <w:topLinePunct w:val="0"/>
              <w:bidi w:val="0"/>
              <w:adjustRightInd/>
              <w:snapToGrid/>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0.1288</w:t>
            </w:r>
          </w:p>
        </w:tc>
        <w:tc>
          <w:tcPr>
            <w:tcW w:w="540" w:type="pct"/>
            <w:vMerge w:val="restart"/>
            <w:shd w:val="clear" w:color="auto" w:fill="auto"/>
            <w:vAlign w:val="center"/>
          </w:tcPr>
          <w:p w14:paraId="0A154AB0">
            <w:pPr>
              <w:pStyle w:val="38"/>
              <w:keepNext w:val="0"/>
              <w:keepLines w:val="0"/>
              <w:pageBreakBefore w:val="0"/>
              <w:widowControl/>
              <w:kinsoku/>
              <w:wordWrap w:val="0"/>
              <w:overflowPunct/>
              <w:topLinePunct/>
              <w:autoSpaceDE/>
              <w:autoSpaceDN/>
              <w:bidi w:val="0"/>
              <w:adjustRightInd/>
              <w:snapToGrid/>
              <w:spacing w:line="240" w:lineRule="auto"/>
              <w:jc w:val="left"/>
              <w:textAlignment w:val="baseline"/>
              <w:rPr>
                <w:rFonts w:hint="default" w:ascii="Times New Roman" w:hAnsi="Times New Roman" w:eastAsia="宋体" w:cs="Times New Roman"/>
                <w:snapToGrid w:val="0"/>
                <w:color w:val="0000FF"/>
                <w:sz w:val="21"/>
                <w:szCs w:val="21"/>
                <w:highlight w:val="none"/>
                <w:lang w:val="en-US"/>
              </w:rPr>
            </w:pPr>
            <w:r>
              <w:rPr>
                <w:rFonts w:hint="default" w:ascii="Times New Roman" w:hAnsi="Times New Roman" w:eastAsia="宋体" w:cs="Times New Roman"/>
                <w:snapToGrid w:val="0"/>
                <w:color w:val="0000FF"/>
                <w:sz w:val="21"/>
                <w:szCs w:val="21"/>
                <w:highlight w:val="none"/>
                <w:lang w:val="en-US" w:eastAsia="zh-CN"/>
              </w:rPr>
              <w:t>经集气罩</w:t>
            </w:r>
            <w:r>
              <w:rPr>
                <w:rFonts w:hint="eastAsia" w:ascii="Times New Roman" w:hAnsi="Times New Roman" w:eastAsia="宋体" w:cs="Times New Roman"/>
                <w:snapToGrid w:val="0"/>
                <w:color w:val="0000FF"/>
                <w:sz w:val="21"/>
                <w:szCs w:val="21"/>
                <w:highlight w:val="none"/>
                <w:lang w:val="en-US" w:eastAsia="zh-CN"/>
              </w:rPr>
              <w:t>（收集效率80%）</w:t>
            </w:r>
            <w:r>
              <w:rPr>
                <w:rFonts w:hint="default" w:ascii="Times New Roman" w:hAnsi="Times New Roman" w:eastAsia="宋体" w:cs="Times New Roman"/>
                <w:snapToGrid w:val="0"/>
                <w:color w:val="0000FF"/>
                <w:sz w:val="21"/>
                <w:szCs w:val="21"/>
                <w:highlight w:val="none"/>
                <w:lang w:val="en-US" w:eastAsia="zh-CN"/>
              </w:rPr>
              <w:t>收集后经活性炭吸附经15m高排气</w:t>
            </w:r>
            <w:r>
              <w:rPr>
                <w:rFonts w:hint="eastAsia" w:ascii="Times New Roman" w:hAnsi="Times New Roman" w:eastAsia="宋体" w:cs="Times New Roman"/>
                <w:snapToGrid w:val="0"/>
                <w:color w:val="0000FF"/>
                <w:sz w:val="21"/>
                <w:szCs w:val="21"/>
                <w:highlight w:val="none"/>
                <w:lang w:val="en-US" w:eastAsia="zh-CN"/>
              </w:rPr>
              <w:t>筒，设计风机量为1000m</w:t>
            </w:r>
            <w:r>
              <w:rPr>
                <w:rFonts w:hint="eastAsia" w:ascii="Times New Roman" w:hAnsi="Times New Roman" w:eastAsia="宋体" w:cs="Times New Roman"/>
                <w:snapToGrid w:val="0"/>
                <w:color w:val="0000FF"/>
                <w:sz w:val="21"/>
                <w:szCs w:val="21"/>
                <w:highlight w:val="none"/>
                <w:vertAlign w:val="superscript"/>
                <w:lang w:val="en-US" w:eastAsia="zh-CN"/>
              </w:rPr>
              <w:t>3</w:t>
            </w:r>
            <w:r>
              <w:rPr>
                <w:rFonts w:hint="eastAsia" w:ascii="Times New Roman" w:hAnsi="Times New Roman" w:eastAsia="宋体" w:cs="Times New Roman"/>
                <w:snapToGrid w:val="0"/>
                <w:color w:val="0000FF"/>
                <w:sz w:val="21"/>
                <w:szCs w:val="21"/>
                <w:highlight w:val="none"/>
                <w:lang w:val="en-US" w:eastAsia="zh-CN"/>
              </w:rPr>
              <w:t>/h</w:t>
            </w:r>
          </w:p>
        </w:tc>
        <w:tc>
          <w:tcPr>
            <w:tcW w:w="184" w:type="pct"/>
            <w:shd w:val="clear" w:color="auto" w:fill="auto"/>
            <w:vAlign w:val="center"/>
          </w:tcPr>
          <w:p w14:paraId="55094A80">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80</w:t>
            </w:r>
          </w:p>
        </w:tc>
        <w:tc>
          <w:tcPr>
            <w:tcW w:w="263" w:type="pct"/>
            <w:vMerge w:val="restart"/>
            <w:shd w:val="clear" w:color="auto" w:fill="auto"/>
            <w:vAlign w:val="center"/>
          </w:tcPr>
          <w:p w14:paraId="0AE1E2AF">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default" w:ascii="Times New Roman" w:hAnsi="Times New Roman" w:eastAsia="宋体" w:cs="Times New Roman"/>
                <w:snapToGrid w:val="0"/>
                <w:color w:val="auto"/>
                <w:sz w:val="21"/>
                <w:szCs w:val="21"/>
                <w:highlight w:val="none"/>
                <w:lang w:val="en-US" w:eastAsia="zh-CN"/>
              </w:rPr>
              <w:t>系数法</w:t>
            </w:r>
          </w:p>
        </w:tc>
        <w:tc>
          <w:tcPr>
            <w:tcW w:w="289" w:type="pct"/>
            <w:vMerge w:val="restart"/>
            <w:shd w:val="clear" w:color="auto" w:fill="auto"/>
            <w:vAlign w:val="center"/>
          </w:tcPr>
          <w:p w14:paraId="630D787E">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25" w:type="pct"/>
            <w:shd w:val="clear" w:color="auto" w:fill="auto"/>
            <w:vAlign w:val="center"/>
          </w:tcPr>
          <w:p w14:paraId="1BFEE30C">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2.94</w:t>
            </w:r>
          </w:p>
        </w:tc>
        <w:tc>
          <w:tcPr>
            <w:tcW w:w="426" w:type="pct"/>
            <w:shd w:val="clear" w:color="auto" w:fill="auto"/>
            <w:vAlign w:val="center"/>
          </w:tcPr>
          <w:p w14:paraId="4260D1B4">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2.94</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-3</w:t>
            </w:r>
          </w:p>
        </w:tc>
        <w:tc>
          <w:tcPr>
            <w:tcW w:w="310" w:type="pct"/>
            <w:gridSpan w:val="2"/>
            <w:shd w:val="clear" w:color="auto" w:fill="auto"/>
            <w:vAlign w:val="center"/>
          </w:tcPr>
          <w:p w14:paraId="358F31F7">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eastAsia"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2.58×</w:t>
            </w:r>
          </w:p>
          <w:p w14:paraId="7546E437">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eastAsia"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-2</w:t>
            </w:r>
          </w:p>
        </w:tc>
      </w:tr>
      <w:tr w14:paraId="26336C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8" w:type="pct"/>
            <w:vMerge w:val="continue"/>
            <w:shd w:val="clear" w:color="auto" w:fill="auto"/>
            <w:vAlign w:val="center"/>
          </w:tcPr>
          <w:p w14:paraId="2A41A370">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6" w:type="pct"/>
            <w:vMerge w:val="continue"/>
            <w:shd w:val="clear" w:color="auto" w:fill="auto"/>
            <w:vAlign w:val="center"/>
          </w:tcPr>
          <w:p w14:paraId="61D9046A">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94" w:type="pct"/>
            <w:vMerge w:val="continue"/>
            <w:shd w:val="clear" w:color="auto" w:fill="auto"/>
            <w:vAlign w:val="center"/>
          </w:tcPr>
          <w:p w14:paraId="61D8A8BC">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05" w:type="pct"/>
            <w:shd w:val="clear" w:color="auto" w:fill="auto"/>
            <w:vAlign w:val="center"/>
          </w:tcPr>
          <w:p w14:paraId="655BFA92">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H</w:t>
            </w:r>
            <w:r>
              <w:rPr>
                <w:rFonts w:hint="default" w:ascii="Times New Roman" w:hAnsi="Times New Roman" w:eastAsia="宋体" w:cs="Times New Roman"/>
                <w:snapToGrid w:val="0"/>
                <w:color w:val="auto"/>
                <w:sz w:val="21"/>
                <w:szCs w:val="21"/>
                <w:highlight w:val="none"/>
                <w:vertAlign w:val="subscript"/>
              </w:rPr>
              <w:t>2</w:t>
            </w:r>
            <w:r>
              <w:rPr>
                <w:rFonts w:hint="default" w:ascii="Times New Roman" w:hAnsi="Times New Roman" w:eastAsia="宋体" w:cs="Times New Roman"/>
                <w:snapToGrid w:val="0"/>
                <w:color w:val="auto"/>
                <w:sz w:val="21"/>
                <w:szCs w:val="21"/>
                <w:highlight w:val="none"/>
              </w:rPr>
              <w:t>S</w:t>
            </w:r>
          </w:p>
        </w:tc>
        <w:tc>
          <w:tcPr>
            <w:tcW w:w="232" w:type="pct"/>
            <w:vMerge w:val="continue"/>
            <w:shd w:val="clear" w:color="auto" w:fill="auto"/>
            <w:vAlign w:val="center"/>
          </w:tcPr>
          <w:p w14:paraId="290F8455">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89" w:type="pct"/>
            <w:vMerge w:val="continue"/>
            <w:shd w:val="clear" w:color="auto" w:fill="auto"/>
            <w:vAlign w:val="center"/>
          </w:tcPr>
          <w:p w14:paraId="034019FF">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7" w:type="pct"/>
            <w:shd w:val="clear" w:color="auto" w:fill="auto"/>
            <w:vAlign w:val="center"/>
          </w:tcPr>
          <w:p w14:paraId="5DEE02CD">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56" w:type="pct"/>
            <w:shd w:val="clear" w:color="auto" w:fill="auto"/>
            <w:vAlign w:val="center"/>
          </w:tcPr>
          <w:p w14:paraId="00FA9FA9">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0.00011</w:t>
            </w:r>
          </w:p>
        </w:tc>
        <w:tc>
          <w:tcPr>
            <w:tcW w:w="317" w:type="pct"/>
            <w:shd w:val="clear" w:color="auto" w:fill="auto"/>
            <w:vAlign w:val="center"/>
          </w:tcPr>
          <w:p w14:paraId="4C2F56BC">
            <w:pPr>
              <w:pStyle w:val="38"/>
              <w:keepNext w:val="0"/>
              <w:keepLines w:val="0"/>
              <w:pageBreakBefore w:val="0"/>
              <w:kinsoku/>
              <w:wordWrap/>
              <w:overflowPunct/>
              <w:topLinePunct w:val="0"/>
              <w:bidi w:val="0"/>
              <w:adjustRightInd/>
              <w:snapToGrid/>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default" w:ascii="Times New Roman" w:hAnsi="Times New Roman" w:eastAsia="宋体" w:cs="Times New Roman"/>
                <w:snapToGrid w:val="0"/>
                <w:color w:val="0000FF"/>
                <w:kern w:val="2"/>
                <w:sz w:val="21"/>
                <w:szCs w:val="21"/>
                <w:highlight w:val="none"/>
                <w:lang w:val="en-US" w:eastAsia="zh-CN" w:bidi="ar-SA"/>
              </w:rPr>
              <w:t>0.0</w:t>
            </w:r>
            <w:r>
              <w:rPr>
                <w:rFonts w:hint="eastAsia" w:ascii="Times New Roman" w:hAnsi="Times New Roman" w:eastAsia="宋体" w:cs="Times New Roman"/>
                <w:snapToGrid w:val="0"/>
                <w:color w:val="0000FF"/>
                <w:kern w:val="2"/>
                <w:sz w:val="21"/>
                <w:szCs w:val="21"/>
                <w:highlight w:val="none"/>
                <w:lang w:val="en-US" w:eastAsia="zh-CN" w:bidi="ar-SA"/>
              </w:rPr>
              <w:t>0</w:t>
            </w:r>
            <w:r>
              <w:rPr>
                <w:rFonts w:hint="default" w:ascii="Times New Roman" w:hAnsi="Times New Roman" w:eastAsia="宋体" w:cs="Times New Roman"/>
                <w:snapToGrid w:val="0"/>
                <w:color w:val="0000FF"/>
                <w:kern w:val="2"/>
                <w:sz w:val="21"/>
                <w:szCs w:val="21"/>
                <w:highlight w:val="none"/>
                <w:lang w:val="en-US" w:eastAsia="zh-CN" w:bidi="ar-SA"/>
              </w:rPr>
              <w:t>0</w:t>
            </w:r>
            <w:r>
              <w:rPr>
                <w:rFonts w:hint="eastAsia" w:ascii="Times New Roman" w:hAnsi="Times New Roman" w:eastAsia="宋体" w:cs="Times New Roman"/>
                <w:snapToGrid w:val="0"/>
                <w:color w:val="0000FF"/>
                <w:kern w:val="2"/>
                <w:sz w:val="21"/>
                <w:szCs w:val="21"/>
                <w:highlight w:val="none"/>
                <w:lang w:val="en-US" w:eastAsia="zh-CN" w:bidi="ar-SA"/>
              </w:rPr>
              <w:t>95</w:t>
            </w:r>
          </w:p>
        </w:tc>
        <w:tc>
          <w:tcPr>
            <w:tcW w:w="540" w:type="pct"/>
            <w:vMerge w:val="continue"/>
            <w:shd w:val="clear" w:color="auto" w:fill="auto"/>
            <w:vAlign w:val="center"/>
          </w:tcPr>
          <w:p w14:paraId="419AED41">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p>
        </w:tc>
        <w:tc>
          <w:tcPr>
            <w:tcW w:w="184" w:type="pct"/>
            <w:shd w:val="clear" w:color="auto" w:fill="auto"/>
            <w:vAlign w:val="center"/>
          </w:tcPr>
          <w:p w14:paraId="2FB92F4B">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80</w:t>
            </w:r>
          </w:p>
        </w:tc>
        <w:tc>
          <w:tcPr>
            <w:tcW w:w="263" w:type="pct"/>
            <w:vMerge w:val="continue"/>
            <w:shd w:val="clear" w:color="auto" w:fill="auto"/>
            <w:vAlign w:val="center"/>
          </w:tcPr>
          <w:p w14:paraId="398BBAB7">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p>
        </w:tc>
        <w:tc>
          <w:tcPr>
            <w:tcW w:w="289" w:type="pct"/>
            <w:vMerge w:val="continue"/>
            <w:shd w:val="clear" w:color="auto" w:fill="auto"/>
            <w:vAlign w:val="center"/>
          </w:tcPr>
          <w:p w14:paraId="78DCCB9B">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p>
        </w:tc>
        <w:tc>
          <w:tcPr>
            <w:tcW w:w="325" w:type="pct"/>
            <w:shd w:val="clear" w:color="auto" w:fill="auto"/>
            <w:vAlign w:val="center"/>
          </w:tcPr>
          <w:p w14:paraId="76F6FC80">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0.0217</w:t>
            </w:r>
          </w:p>
        </w:tc>
        <w:tc>
          <w:tcPr>
            <w:tcW w:w="426" w:type="pct"/>
            <w:shd w:val="clear" w:color="auto" w:fill="auto"/>
            <w:vAlign w:val="center"/>
          </w:tcPr>
          <w:p w14:paraId="16D3CBEA">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2.17</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-5</w:t>
            </w:r>
          </w:p>
        </w:tc>
        <w:tc>
          <w:tcPr>
            <w:tcW w:w="310" w:type="pct"/>
            <w:gridSpan w:val="2"/>
            <w:shd w:val="clear" w:color="auto" w:fill="auto"/>
            <w:vAlign w:val="center"/>
          </w:tcPr>
          <w:p w14:paraId="781AD305">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eastAsia"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1.9×10</w:t>
            </w:r>
            <w:r>
              <w:rPr>
                <w:rFonts w:hint="eastAsia" w:ascii="Times New Roman" w:hAnsi="Times New Roman" w:eastAsia="宋体" w:cs="Times New Roman"/>
                <w:snapToGrid w:val="0"/>
                <w:color w:val="0000FF"/>
                <w:sz w:val="21"/>
                <w:szCs w:val="21"/>
                <w:highlight w:val="none"/>
                <w:vertAlign w:val="superscript"/>
                <w:lang w:val="en-US" w:eastAsia="zh-CN"/>
              </w:rPr>
              <w:t>-4</w:t>
            </w:r>
          </w:p>
        </w:tc>
      </w:tr>
      <w:tr w14:paraId="26944B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8" w:type="pct"/>
            <w:vMerge w:val="continue"/>
            <w:shd w:val="clear" w:color="auto" w:fill="auto"/>
            <w:vAlign w:val="center"/>
          </w:tcPr>
          <w:p w14:paraId="32F53ECB">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6" w:type="pct"/>
            <w:vMerge w:val="continue"/>
            <w:shd w:val="clear" w:color="auto" w:fill="auto"/>
            <w:vAlign w:val="center"/>
          </w:tcPr>
          <w:p w14:paraId="58199E51">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94" w:type="pct"/>
            <w:vMerge w:val="restart"/>
            <w:shd w:val="clear" w:color="auto" w:fill="auto"/>
            <w:vAlign w:val="center"/>
          </w:tcPr>
          <w:p w14:paraId="51321ECE">
            <w:pPr>
              <w:pStyle w:val="38"/>
              <w:keepNext w:val="0"/>
              <w:keepLines w:val="0"/>
              <w:pageBreakBefore w:val="0"/>
              <w:kinsoku/>
              <w:wordWrap/>
              <w:overflowPunct/>
              <w:topLinePunct w:val="0"/>
              <w:bidi w:val="0"/>
              <w:adjustRightInd/>
              <w:snapToGrid/>
              <w:spacing w:line="240" w:lineRule="auto"/>
              <w:jc w:val="center"/>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无组织</w:t>
            </w:r>
          </w:p>
        </w:tc>
        <w:tc>
          <w:tcPr>
            <w:tcW w:w="305" w:type="pct"/>
            <w:shd w:val="clear" w:color="auto" w:fill="auto"/>
            <w:vAlign w:val="center"/>
          </w:tcPr>
          <w:p w14:paraId="14D631B4">
            <w:pPr>
              <w:pStyle w:val="38"/>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snapToGrid w:val="0"/>
                <w:color w:val="auto"/>
                <w:kern w:val="0"/>
                <w:sz w:val="21"/>
                <w:szCs w:val="21"/>
                <w:highlight w:val="none"/>
                <w:lang w:val="zh-CN" w:eastAsia="zh-CN" w:bidi="ar-SA"/>
              </w:rPr>
            </w:pPr>
            <w:r>
              <w:rPr>
                <w:rFonts w:hint="default" w:ascii="Times New Roman" w:hAnsi="Times New Roman" w:eastAsia="宋体" w:cs="Times New Roman"/>
                <w:snapToGrid w:val="0"/>
                <w:color w:val="auto"/>
                <w:sz w:val="21"/>
                <w:szCs w:val="21"/>
                <w:highlight w:val="none"/>
              </w:rPr>
              <w:t>NH</w:t>
            </w:r>
            <w:r>
              <w:rPr>
                <w:rFonts w:hint="default" w:ascii="Times New Roman" w:hAnsi="Times New Roman" w:eastAsia="宋体" w:cs="Times New Roman"/>
                <w:snapToGrid w:val="0"/>
                <w:color w:val="auto"/>
                <w:sz w:val="21"/>
                <w:szCs w:val="21"/>
                <w:highlight w:val="none"/>
                <w:vertAlign w:val="subscript"/>
              </w:rPr>
              <w:t>3</w:t>
            </w:r>
          </w:p>
        </w:tc>
        <w:tc>
          <w:tcPr>
            <w:tcW w:w="232" w:type="pct"/>
            <w:vMerge w:val="restart"/>
            <w:shd w:val="clear" w:color="auto" w:fill="auto"/>
            <w:vAlign w:val="center"/>
          </w:tcPr>
          <w:p w14:paraId="47CF1568">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lang w:val="en-US" w:eastAsia="zh-CN"/>
              </w:rPr>
              <w:t>系数法</w:t>
            </w:r>
          </w:p>
        </w:tc>
        <w:tc>
          <w:tcPr>
            <w:tcW w:w="289" w:type="pct"/>
            <w:vMerge w:val="restart"/>
            <w:shd w:val="clear" w:color="auto" w:fill="auto"/>
            <w:vAlign w:val="center"/>
          </w:tcPr>
          <w:p w14:paraId="0B03397D">
            <w:pPr>
              <w:pStyle w:val="38"/>
              <w:keepNext w:val="0"/>
              <w:keepLines w:val="0"/>
              <w:pageBreakBefore w:val="0"/>
              <w:kinsoku/>
              <w:wordWrap/>
              <w:overflowPunct/>
              <w:topLinePunct w:val="0"/>
              <w:bidi w:val="0"/>
              <w:adjustRightInd/>
              <w:snapToGrid/>
              <w:spacing w:line="240" w:lineRule="auto"/>
              <w:jc w:val="center"/>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w:t>
            </w:r>
          </w:p>
        </w:tc>
        <w:tc>
          <w:tcPr>
            <w:tcW w:w="387" w:type="pct"/>
            <w:shd w:val="clear" w:color="auto" w:fill="auto"/>
            <w:vAlign w:val="center"/>
          </w:tcPr>
          <w:p w14:paraId="03421F23">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56" w:type="pct"/>
            <w:shd w:val="clear" w:color="auto" w:fill="auto"/>
            <w:vAlign w:val="center"/>
          </w:tcPr>
          <w:p w14:paraId="0BE859F7">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17" w:type="pct"/>
            <w:shd w:val="clear" w:color="auto" w:fill="auto"/>
            <w:vAlign w:val="center"/>
          </w:tcPr>
          <w:p w14:paraId="36D6DE37">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0.103</w:t>
            </w:r>
          </w:p>
        </w:tc>
        <w:tc>
          <w:tcPr>
            <w:tcW w:w="540" w:type="pct"/>
            <w:vMerge w:val="restart"/>
            <w:shd w:val="clear" w:color="auto" w:fill="auto"/>
            <w:vAlign w:val="center"/>
          </w:tcPr>
          <w:p w14:paraId="28F3F2E0">
            <w:pPr>
              <w:keepNext w:val="0"/>
              <w:keepLines w:val="0"/>
              <w:widowControl/>
              <w:suppressLineNumbers w:val="0"/>
              <w:jc w:val="center"/>
              <w:rPr>
                <w:rFonts w:hint="default" w:ascii="Times New Roman" w:hAnsi="Times New Roman" w:eastAsia="宋体" w:cs="Times New Roman"/>
                <w:snapToGrid w:val="0"/>
                <w:color w:val="0000FF"/>
                <w:sz w:val="21"/>
                <w:szCs w:val="21"/>
                <w:highlight w:val="none"/>
              </w:rPr>
            </w:pPr>
            <w:r>
              <w:rPr>
                <w:rFonts w:hint="eastAsia" w:ascii="Times New Roman" w:hAnsi="Times New Roman" w:eastAsia="宋体" w:cs="Times New Roman"/>
                <w:snapToGrid w:val="0"/>
                <w:color w:val="0000FF"/>
                <w:kern w:val="0"/>
                <w:sz w:val="21"/>
                <w:szCs w:val="21"/>
                <w:highlight w:val="none"/>
                <w:lang w:val="en-US" w:eastAsia="zh-CN" w:bidi="ar-SA"/>
              </w:rPr>
              <w:t>车间密闭，</w:t>
            </w:r>
            <w:r>
              <w:rPr>
                <w:rFonts w:hint="default" w:ascii="Times New Roman" w:hAnsi="Times New Roman" w:eastAsia="宋体" w:cs="Times New Roman"/>
                <w:color w:val="0000FF"/>
                <w:sz w:val="21"/>
                <w:szCs w:val="21"/>
                <w:highlight w:val="none"/>
                <w:lang w:eastAsia="zh-CN"/>
              </w:rPr>
              <w:t>喷洒微生物除臭剂</w:t>
            </w:r>
          </w:p>
        </w:tc>
        <w:tc>
          <w:tcPr>
            <w:tcW w:w="184" w:type="pct"/>
            <w:shd w:val="clear" w:color="auto" w:fill="auto"/>
            <w:vAlign w:val="center"/>
          </w:tcPr>
          <w:p w14:paraId="297D93CA">
            <w:pPr>
              <w:pStyle w:val="38"/>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85</w:t>
            </w:r>
          </w:p>
        </w:tc>
        <w:tc>
          <w:tcPr>
            <w:tcW w:w="263" w:type="pct"/>
            <w:vMerge w:val="restart"/>
            <w:shd w:val="clear" w:color="auto" w:fill="auto"/>
            <w:vAlign w:val="center"/>
          </w:tcPr>
          <w:p w14:paraId="4BB6DDB4">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lang w:val="en-US" w:eastAsia="zh-CN"/>
              </w:rPr>
              <w:t>系数法</w:t>
            </w:r>
          </w:p>
        </w:tc>
        <w:tc>
          <w:tcPr>
            <w:tcW w:w="289" w:type="pct"/>
            <w:shd w:val="clear" w:color="auto" w:fill="auto"/>
            <w:vAlign w:val="center"/>
          </w:tcPr>
          <w:p w14:paraId="19763605">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25" w:type="pct"/>
            <w:shd w:val="clear" w:color="auto" w:fill="auto"/>
            <w:vAlign w:val="center"/>
          </w:tcPr>
          <w:p w14:paraId="2455722E">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426" w:type="pct"/>
            <w:shd w:val="clear" w:color="auto" w:fill="auto"/>
            <w:vAlign w:val="center"/>
          </w:tcPr>
          <w:p w14:paraId="68FE94A6">
            <w:pPr>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1.17</w:t>
            </w:r>
            <w:r>
              <w:rPr>
                <w:rFonts w:hint="eastAsia" w:ascii="Times New Roman" w:hAnsi="Times New Roman" w:eastAsia="宋体" w:cs="Times New Roman"/>
                <w:snapToGrid w:val="0"/>
                <w:color w:val="0000FF"/>
                <w:kern w:val="2"/>
                <w:sz w:val="21"/>
                <w:szCs w:val="21"/>
                <w:highlight w:val="none"/>
                <w:lang w:val="en-US" w:eastAsia="zh-CN" w:bidi="ar-SA"/>
              </w:rPr>
              <w:t>4</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-2</w:t>
            </w:r>
          </w:p>
        </w:tc>
        <w:tc>
          <w:tcPr>
            <w:tcW w:w="310" w:type="pct"/>
            <w:gridSpan w:val="2"/>
            <w:shd w:val="clear" w:color="auto" w:fill="auto"/>
            <w:vAlign w:val="center"/>
          </w:tcPr>
          <w:p w14:paraId="6E751397">
            <w:pPr>
              <w:pStyle w:val="38"/>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1.545×10</w:t>
            </w:r>
            <w:r>
              <w:rPr>
                <w:rFonts w:hint="eastAsia" w:ascii="Times New Roman" w:hAnsi="Times New Roman" w:eastAsia="宋体" w:cs="Times New Roman"/>
                <w:snapToGrid w:val="0"/>
                <w:color w:val="0000FF"/>
                <w:sz w:val="21"/>
                <w:szCs w:val="21"/>
                <w:highlight w:val="none"/>
                <w:vertAlign w:val="superscript"/>
                <w:lang w:val="en-US" w:eastAsia="zh-CN"/>
              </w:rPr>
              <w:t>-2</w:t>
            </w:r>
          </w:p>
        </w:tc>
      </w:tr>
      <w:tr w14:paraId="54A958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8" w:type="pct"/>
            <w:vMerge w:val="continue"/>
            <w:shd w:val="clear" w:color="auto" w:fill="auto"/>
            <w:vAlign w:val="center"/>
          </w:tcPr>
          <w:p w14:paraId="7142D50F">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6" w:type="pct"/>
            <w:vMerge w:val="continue"/>
            <w:shd w:val="clear" w:color="auto" w:fill="auto"/>
            <w:vAlign w:val="center"/>
          </w:tcPr>
          <w:p w14:paraId="27449567">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94" w:type="pct"/>
            <w:vMerge w:val="continue"/>
            <w:shd w:val="clear" w:color="auto" w:fill="auto"/>
            <w:vAlign w:val="center"/>
          </w:tcPr>
          <w:p w14:paraId="59BF3241">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05" w:type="pct"/>
            <w:shd w:val="clear" w:color="auto" w:fill="auto"/>
            <w:vAlign w:val="center"/>
          </w:tcPr>
          <w:p w14:paraId="0B13D237">
            <w:pPr>
              <w:pStyle w:val="38"/>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snapToGrid w:val="0"/>
                <w:color w:val="auto"/>
                <w:kern w:val="0"/>
                <w:sz w:val="21"/>
                <w:szCs w:val="21"/>
                <w:highlight w:val="none"/>
                <w:lang w:val="zh-CN" w:eastAsia="zh-CN" w:bidi="ar-SA"/>
              </w:rPr>
            </w:pPr>
            <w:r>
              <w:rPr>
                <w:rFonts w:hint="default" w:ascii="Times New Roman" w:hAnsi="Times New Roman" w:eastAsia="宋体" w:cs="Times New Roman"/>
                <w:snapToGrid w:val="0"/>
                <w:color w:val="auto"/>
                <w:sz w:val="21"/>
                <w:szCs w:val="21"/>
                <w:highlight w:val="none"/>
              </w:rPr>
              <w:t>H</w:t>
            </w:r>
            <w:r>
              <w:rPr>
                <w:rFonts w:hint="default" w:ascii="Times New Roman" w:hAnsi="Times New Roman" w:eastAsia="宋体" w:cs="Times New Roman"/>
                <w:snapToGrid w:val="0"/>
                <w:color w:val="auto"/>
                <w:sz w:val="21"/>
                <w:szCs w:val="21"/>
                <w:highlight w:val="none"/>
                <w:vertAlign w:val="subscript"/>
              </w:rPr>
              <w:t>2</w:t>
            </w:r>
            <w:r>
              <w:rPr>
                <w:rFonts w:hint="default" w:ascii="Times New Roman" w:hAnsi="Times New Roman" w:eastAsia="宋体" w:cs="Times New Roman"/>
                <w:snapToGrid w:val="0"/>
                <w:color w:val="auto"/>
                <w:sz w:val="21"/>
                <w:szCs w:val="21"/>
                <w:highlight w:val="none"/>
              </w:rPr>
              <w:t>S</w:t>
            </w:r>
          </w:p>
        </w:tc>
        <w:tc>
          <w:tcPr>
            <w:tcW w:w="232" w:type="pct"/>
            <w:vMerge w:val="continue"/>
            <w:shd w:val="clear" w:color="auto" w:fill="auto"/>
            <w:vAlign w:val="center"/>
          </w:tcPr>
          <w:p w14:paraId="685427D8">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89" w:type="pct"/>
            <w:vMerge w:val="continue"/>
            <w:shd w:val="clear" w:color="auto" w:fill="auto"/>
            <w:vAlign w:val="center"/>
          </w:tcPr>
          <w:p w14:paraId="13397984">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7" w:type="pct"/>
            <w:shd w:val="clear" w:color="auto" w:fill="auto"/>
            <w:vAlign w:val="center"/>
          </w:tcPr>
          <w:p w14:paraId="4F8D1260">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56" w:type="pct"/>
            <w:shd w:val="clear" w:color="auto" w:fill="auto"/>
            <w:vAlign w:val="center"/>
          </w:tcPr>
          <w:p w14:paraId="1C690666">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317" w:type="pct"/>
            <w:shd w:val="clear" w:color="auto" w:fill="auto"/>
            <w:vAlign w:val="center"/>
          </w:tcPr>
          <w:p w14:paraId="5CFE94FE">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0.00076</w:t>
            </w:r>
          </w:p>
        </w:tc>
        <w:tc>
          <w:tcPr>
            <w:tcW w:w="540" w:type="pct"/>
            <w:vMerge w:val="continue"/>
            <w:shd w:val="clear" w:color="auto" w:fill="auto"/>
            <w:vAlign w:val="center"/>
          </w:tcPr>
          <w:p w14:paraId="1FFD6952">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p>
        </w:tc>
        <w:tc>
          <w:tcPr>
            <w:tcW w:w="184" w:type="pct"/>
            <w:shd w:val="clear" w:color="auto" w:fill="auto"/>
            <w:vAlign w:val="center"/>
          </w:tcPr>
          <w:p w14:paraId="6CFC6828">
            <w:pPr>
              <w:pStyle w:val="38"/>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85</w:t>
            </w:r>
          </w:p>
        </w:tc>
        <w:tc>
          <w:tcPr>
            <w:tcW w:w="263" w:type="pct"/>
            <w:vMerge w:val="continue"/>
            <w:shd w:val="clear" w:color="auto" w:fill="auto"/>
            <w:vAlign w:val="center"/>
          </w:tcPr>
          <w:p w14:paraId="45163396">
            <w:pPr>
              <w:pStyle w:val="38"/>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p>
        </w:tc>
        <w:tc>
          <w:tcPr>
            <w:tcW w:w="289" w:type="pct"/>
            <w:shd w:val="clear" w:color="auto" w:fill="auto"/>
            <w:vAlign w:val="center"/>
          </w:tcPr>
          <w:p w14:paraId="7B512E55">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r>
              <w:rPr>
                <w:rFonts w:hint="eastAsia" w:ascii="Times New Roman" w:hAnsi="Times New Roman" w:eastAsia="宋体" w:cs="Times New Roman"/>
                <w:snapToGrid w:val="0"/>
                <w:color w:val="0000FF"/>
                <w:sz w:val="21"/>
                <w:szCs w:val="21"/>
                <w:highlight w:val="none"/>
                <w:vertAlign w:val="superscript"/>
                <w:lang w:val="en-US" w:eastAsia="zh-CN"/>
              </w:rPr>
              <w:t>2</w:t>
            </w:r>
          </w:p>
        </w:tc>
        <w:tc>
          <w:tcPr>
            <w:tcW w:w="325" w:type="pct"/>
            <w:shd w:val="clear" w:color="auto" w:fill="auto"/>
            <w:vAlign w:val="center"/>
          </w:tcPr>
          <w:p w14:paraId="42DC9233">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sz w:val="21"/>
                <w:szCs w:val="21"/>
                <w:highlight w:val="none"/>
              </w:rPr>
            </w:pPr>
            <w:r>
              <w:rPr>
                <w:rFonts w:hint="default" w:ascii="Times New Roman" w:hAnsi="Times New Roman" w:eastAsia="宋体" w:cs="Times New Roman"/>
                <w:snapToGrid w:val="0"/>
                <w:color w:val="0000FF"/>
                <w:sz w:val="21"/>
                <w:szCs w:val="21"/>
                <w:highlight w:val="none"/>
              </w:rPr>
              <w:t>/</w:t>
            </w:r>
          </w:p>
        </w:tc>
        <w:tc>
          <w:tcPr>
            <w:tcW w:w="426" w:type="pct"/>
            <w:shd w:val="clear" w:color="auto" w:fill="auto"/>
            <w:vAlign w:val="center"/>
          </w:tcPr>
          <w:p w14:paraId="2AAB22AF">
            <w:pPr>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8.67×10</w:t>
            </w:r>
            <w:r>
              <w:rPr>
                <w:rFonts w:hint="eastAsia" w:ascii="Times New Roman" w:hAnsi="Times New Roman" w:eastAsia="宋体" w:cs="Times New Roman"/>
                <w:snapToGrid w:val="0"/>
                <w:color w:val="0000FF"/>
                <w:sz w:val="21"/>
                <w:szCs w:val="21"/>
                <w:highlight w:val="none"/>
                <w:vertAlign w:val="superscript"/>
                <w:lang w:val="en-US" w:eastAsia="zh-CN"/>
              </w:rPr>
              <w:t>-5</w:t>
            </w:r>
          </w:p>
        </w:tc>
        <w:tc>
          <w:tcPr>
            <w:tcW w:w="310" w:type="pct"/>
            <w:gridSpan w:val="2"/>
            <w:shd w:val="clear" w:color="auto" w:fill="auto"/>
            <w:vAlign w:val="center"/>
          </w:tcPr>
          <w:p w14:paraId="1A398E62">
            <w:pPr>
              <w:pStyle w:val="38"/>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snapToGrid w:val="0"/>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1.14×10</w:t>
            </w:r>
            <w:r>
              <w:rPr>
                <w:rFonts w:hint="eastAsia" w:ascii="Times New Roman" w:hAnsi="Times New Roman" w:eastAsia="宋体" w:cs="Times New Roman"/>
                <w:snapToGrid w:val="0"/>
                <w:color w:val="0000FF"/>
                <w:sz w:val="21"/>
                <w:szCs w:val="21"/>
                <w:highlight w:val="none"/>
                <w:vertAlign w:val="superscript"/>
                <w:lang w:val="en-US" w:eastAsia="zh-CN"/>
              </w:rPr>
              <w:t>-4</w:t>
            </w:r>
          </w:p>
        </w:tc>
      </w:tr>
    </w:tbl>
    <w:p w14:paraId="72618D8C">
      <w:pPr>
        <w:pStyle w:val="11"/>
        <w:rPr>
          <w:rFonts w:hint="default" w:ascii="Times New Roman" w:hAnsi="Times New Roman" w:eastAsia="宋体" w:cs="Times New Roman"/>
          <w:b/>
          <w:bCs/>
          <w:color w:val="auto"/>
          <w:spacing w:val="-1"/>
          <w:sz w:val="24"/>
          <w:szCs w:val="24"/>
          <w:highlight w:val="none"/>
          <w:lang w:val="en-US" w:eastAsia="zh-CN"/>
        </w:rPr>
      </w:pPr>
    </w:p>
    <w:p w14:paraId="52BE8F60">
      <w:pPr>
        <w:pStyle w:val="32"/>
        <w:rPr>
          <w:rFonts w:hint="default" w:ascii="Times New Roman" w:hAnsi="Times New Roman" w:cs="Times New Roman"/>
          <w:color w:val="auto"/>
          <w:highlight w:val="none"/>
          <w:lang w:val="en-US" w:eastAsia="zh-CN"/>
        </w:rPr>
        <w:sectPr>
          <w:headerReference r:id="rId15" w:type="default"/>
          <w:footerReference r:id="rId16"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0FEE29ED">
      <w:pPr>
        <w:keepNext w:val="0"/>
        <w:keepLines w:val="0"/>
        <w:pageBreakBefore w:val="0"/>
        <w:widowControl/>
        <w:kinsoku/>
        <w:wordWrap w:val="0"/>
        <w:overflowPunct/>
        <w:topLinePunct/>
        <w:autoSpaceDE/>
        <w:autoSpaceDN/>
        <w:bidi w:val="0"/>
        <w:adjustRightInd w:val="0"/>
        <w:snapToGrid w:val="0"/>
        <w:spacing w:line="360" w:lineRule="auto"/>
        <w:ind w:left="0" w:right="0" w:firstLine="478" w:firstLineChars="200"/>
        <w:textAlignment w:val="baseline"/>
        <w:outlineLvl w:val="3"/>
        <w:rPr>
          <w:rFonts w:hint="default" w:ascii="Times New Roman" w:hAnsi="Times New Roman" w:eastAsia="宋体" w:cs="Times New Roman"/>
          <w:b/>
          <w:bCs/>
          <w:color w:val="auto"/>
          <w:spacing w:val="-1"/>
          <w:sz w:val="24"/>
          <w:szCs w:val="24"/>
          <w:highlight w:val="none"/>
          <w:lang w:eastAsia="zh-CN"/>
        </w:rPr>
      </w:pPr>
      <w:r>
        <w:rPr>
          <w:rFonts w:hint="default" w:ascii="Times New Roman" w:hAnsi="Times New Roman" w:eastAsia="宋体" w:cs="Times New Roman"/>
          <w:b/>
          <w:bCs/>
          <w:color w:val="auto"/>
          <w:spacing w:val="-1"/>
          <w:sz w:val="24"/>
          <w:szCs w:val="24"/>
          <w:highlight w:val="none"/>
          <w:lang w:val="en-US" w:eastAsia="zh-CN"/>
        </w:rPr>
        <w:t>3.3.2.2废水</w:t>
      </w:r>
    </w:p>
    <w:p w14:paraId="598EE81B">
      <w:pPr>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本项目营运期用水主要为繁育区养殖用水、职工生活用水等</w:t>
      </w:r>
      <w:r>
        <w:rPr>
          <w:rFonts w:hint="default" w:ascii="Times New Roman" w:hAnsi="Times New Roman" w:eastAsia="宋体" w:cs="Times New Roman"/>
          <w:color w:val="auto"/>
          <w:spacing w:val="-7"/>
          <w:sz w:val="24"/>
          <w:szCs w:val="24"/>
          <w:highlight w:val="none"/>
        </w:rPr>
        <w:t>，产生废</w:t>
      </w:r>
      <w:r>
        <w:rPr>
          <w:rFonts w:hint="default" w:ascii="Times New Roman" w:hAnsi="Times New Roman" w:eastAsia="宋体" w:cs="Times New Roman"/>
          <w:color w:val="auto"/>
          <w:spacing w:val="-2"/>
          <w:sz w:val="24"/>
          <w:szCs w:val="24"/>
          <w:highlight w:val="none"/>
        </w:rPr>
        <w:t>水主要包括繁育区牛尿液、职工产生的生活污水等。</w:t>
      </w:r>
    </w:p>
    <w:p w14:paraId="0F9474E9">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491" w:leftChars="0"/>
        <w:textAlignment w:val="baseline"/>
        <w:rPr>
          <w:rFonts w:hint="default" w:ascii="Times New Roman" w:hAnsi="Times New Roman" w:eastAsia="宋体" w:cs="Times New Roman"/>
          <w:color w:val="auto"/>
          <w:spacing w:val="-9"/>
          <w:sz w:val="24"/>
          <w:szCs w:val="24"/>
          <w:highlight w:val="none"/>
        </w:rPr>
      </w:pPr>
      <w:r>
        <w:rPr>
          <w:rFonts w:hint="default" w:ascii="Times New Roman" w:hAnsi="Times New Roman" w:eastAsia="宋体" w:cs="Times New Roman"/>
          <w:snapToGrid w:val="0"/>
          <w:color w:val="auto"/>
          <w:spacing w:val="-9"/>
          <w:kern w:val="0"/>
          <w:sz w:val="24"/>
          <w:szCs w:val="24"/>
          <w:highlight w:val="none"/>
          <w:lang w:val="en-US" w:eastAsia="en-US" w:bidi="ar-SA"/>
        </w:rPr>
        <w:t>1、</w:t>
      </w:r>
      <w:r>
        <w:rPr>
          <w:rFonts w:hint="default" w:ascii="Times New Roman" w:hAnsi="Times New Roman" w:eastAsia="宋体" w:cs="Times New Roman"/>
          <w:color w:val="auto"/>
          <w:spacing w:val="-9"/>
          <w:sz w:val="24"/>
          <w:szCs w:val="24"/>
          <w:highlight w:val="none"/>
          <w:lang w:val="en-US" w:eastAsia="zh-CN"/>
        </w:rPr>
        <w:t>养殖废水</w:t>
      </w:r>
      <w:r>
        <w:rPr>
          <w:rFonts w:hint="default" w:ascii="Times New Roman" w:hAnsi="Times New Roman" w:eastAsia="宋体" w:cs="Times New Roman"/>
          <w:color w:val="auto"/>
          <w:spacing w:val="-9"/>
          <w:sz w:val="24"/>
          <w:szCs w:val="24"/>
          <w:highlight w:val="none"/>
        </w:rPr>
        <w:t>：</w:t>
      </w:r>
    </w:p>
    <w:p w14:paraId="3006910B">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firstLine="444" w:firstLineChars="200"/>
        <w:textAlignment w:val="baseline"/>
        <w:rPr>
          <w:rFonts w:hint="default" w:ascii="Times New Roman" w:hAnsi="Times New Roman" w:eastAsia="宋体" w:cs="Times New Roman"/>
          <w:color w:val="auto"/>
          <w:spacing w:val="-9"/>
          <w:sz w:val="24"/>
          <w:szCs w:val="24"/>
          <w:highlight w:val="green"/>
        </w:rPr>
      </w:pPr>
      <w:bookmarkStart w:id="128" w:name="_Hlk136849497"/>
      <w:r>
        <w:rPr>
          <w:rFonts w:hint="default" w:ascii="Times New Roman" w:hAnsi="Times New Roman" w:eastAsia="宋体" w:cs="Times New Roman"/>
          <w:color w:val="auto"/>
          <w:spacing w:val="-9"/>
          <w:sz w:val="24"/>
          <w:szCs w:val="24"/>
          <w:highlight w:val="none"/>
        </w:rPr>
        <w:t>本项目养殖场废水主要包括牛尿、职工生活污水等。</w:t>
      </w:r>
      <w:bookmarkEnd w:id="128"/>
      <w:bookmarkStart w:id="129" w:name="_Hlk136849524"/>
      <w:r>
        <w:rPr>
          <w:rFonts w:hint="default" w:ascii="Times New Roman" w:hAnsi="Times New Roman" w:eastAsia="宋体" w:cs="Times New Roman"/>
          <w:color w:val="auto"/>
          <w:spacing w:val="-9"/>
          <w:sz w:val="24"/>
          <w:szCs w:val="24"/>
          <w:highlight w:val="none"/>
        </w:rPr>
        <w:t>项目排水采用雨污分流制，</w:t>
      </w:r>
      <w:r>
        <w:rPr>
          <w:rFonts w:hint="default" w:ascii="Times New Roman" w:hAnsi="Times New Roman" w:eastAsia="宋体" w:cs="Times New Roman"/>
          <w:color w:val="auto"/>
          <w:spacing w:val="-9"/>
          <w:sz w:val="24"/>
          <w:szCs w:val="24"/>
          <w:highlight w:val="green"/>
        </w:rPr>
        <w:t>雨水经</w:t>
      </w:r>
      <w:r>
        <w:rPr>
          <w:rFonts w:hint="eastAsia" w:ascii="Times New Roman" w:hAnsi="Times New Roman" w:eastAsia="宋体" w:cs="Times New Roman"/>
          <w:color w:val="auto"/>
          <w:spacing w:val="-9"/>
          <w:sz w:val="24"/>
          <w:szCs w:val="24"/>
          <w:highlight w:val="green"/>
          <w:lang w:val="en-US" w:eastAsia="zh-CN"/>
        </w:rPr>
        <w:t>收集后拉运至集贤县碧蓝新环境治理有限责任公司进行处理</w:t>
      </w:r>
      <w:bookmarkEnd w:id="129"/>
      <w:r>
        <w:rPr>
          <w:rFonts w:hint="eastAsia" w:ascii="Times New Roman" w:hAnsi="Times New Roman" w:eastAsia="宋体" w:cs="Times New Roman"/>
          <w:color w:val="auto"/>
          <w:spacing w:val="-9"/>
          <w:sz w:val="24"/>
          <w:szCs w:val="24"/>
          <w:highlight w:val="green"/>
          <w:lang w:val="en-US" w:eastAsia="zh-CN"/>
        </w:rPr>
        <w:t>，运动场周围设置围堰，围堰高度40cm，运动场上面设置挡雨棚，牛舍与运动场四周设置雨水导流沟，收集的雨水排入雨水管网。</w:t>
      </w:r>
    </w:p>
    <w:p w14:paraId="5EE2389D">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right="0" w:rightChars="0" w:firstLine="476" w:firstLineChars="200"/>
        <w:textAlignment w:val="baseline"/>
        <w:rPr>
          <w:rFonts w:hint="default" w:ascii="Times New Roman" w:hAnsi="Times New Roman" w:eastAsia="宋体" w:cs="Times New Roman"/>
          <w:color w:val="FF0000"/>
          <w:spacing w:val="-1"/>
          <w:sz w:val="24"/>
          <w:szCs w:val="24"/>
          <w:highlight w:val="none"/>
          <w:lang w:val="en-US" w:eastAsia="zh-CN"/>
        </w:rPr>
      </w:pPr>
      <w:r>
        <w:rPr>
          <w:rFonts w:hint="default" w:ascii="Times New Roman" w:hAnsi="Times New Roman" w:eastAsia="宋体" w:cs="Times New Roman"/>
          <w:snapToGrid w:val="0"/>
          <w:color w:val="FF0000"/>
          <w:spacing w:val="-1"/>
          <w:kern w:val="0"/>
          <w:sz w:val="24"/>
          <w:szCs w:val="24"/>
          <w:highlight w:val="none"/>
          <w:lang w:val="en-US" w:eastAsia="zh-CN" w:bidi="ar-SA"/>
        </w:rPr>
        <w:t>（1）</w:t>
      </w:r>
      <w:r>
        <w:rPr>
          <w:rFonts w:hint="default" w:ascii="Times New Roman" w:hAnsi="Times New Roman" w:eastAsia="宋体" w:cs="Times New Roman"/>
          <w:color w:val="FF0000"/>
          <w:spacing w:val="-1"/>
          <w:sz w:val="24"/>
          <w:szCs w:val="24"/>
          <w:highlight w:val="none"/>
          <w:lang w:val="en-US" w:eastAsia="zh-CN"/>
        </w:rPr>
        <w:t>牛尿</w:t>
      </w:r>
    </w:p>
    <w:p w14:paraId="3CBB757E">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0" w:rightChars="0" w:firstLine="476" w:firstLineChars="200"/>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pacing w:val="-1"/>
          <w:sz w:val="24"/>
          <w:szCs w:val="24"/>
          <w:highlight w:val="none"/>
        </w:rPr>
        <w:t>根据《畜禽养殖业产污系数与排污系数手册》</w:t>
      </w:r>
      <w:r>
        <w:rPr>
          <w:rFonts w:hint="default" w:ascii="Times New Roman" w:hAnsi="Times New Roman" w:eastAsia="宋体" w:cs="Times New Roman"/>
          <w:color w:val="FF0000"/>
          <w:spacing w:val="-1"/>
          <w:sz w:val="24"/>
          <w:szCs w:val="24"/>
          <w:highlight w:val="none"/>
          <w:lang w:eastAsia="zh-CN"/>
        </w:rPr>
        <w:t>（</w:t>
      </w:r>
      <w:r>
        <w:rPr>
          <w:rFonts w:hint="default" w:ascii="Times New Roman" w:hAnsi="Times New Roman" w:eastAsia="宋体" w:cs="Times New Roman"/>
          <w:color w:val="FF0000"/>
          <w:spacing w:val="-1"/>
          <w:sz w:val="24"/>
          <w:szCs w:val="24"/>
          <w:highlight w:val="none"/>
          <w:lang w:val="en-US" w:eastAsia="zh-CN"/>
        </w:rPr>
        <w:t>HJ497-2009</w:t>
      </w:r>
      <w:r>
        <w:rPr>
          <w:rFonts w:hint="default" w:ascii="Times New Roman" w:hAnsi="Times New Roman" w:eastAsia="宋体" w:cs="Times New Roman"/>
          <w:color w:val="FF0000"/>
          <w:spacing w:val="-1"/>
          <w:sz w:val="24"/>
          <w:szCs w:val="24"/>
          <w:highlight w:val="none"/>
          <w:lang w:eastAsia="zh-CN"/>
        </w:rPr>
        <w:t>）</w:t>
      </w:r>
      <w:r>
        <w:rPr>
          <w:rFonts w:hint="default" w:ascii="Times New Roman" w:hAnsi="Times New Roman" w:eastAsia="宋体" w:cs="Times New Roman"/>
          <w:color w:val="FF0000"/>
          <w:spacing w:val="-1"/>
          <w:sz w:val="24"/>
          <w:szCs w:val="24"/>
          <w:highlight w:val="none"/>
          <w:lang w:val="en-US" w:eastAsia="zh-CN"/>
        </w:rPr>
        <w:t>表 A.2，肉牛尿液产生量为 10kg/（头·d）</w:t>
      </w:r>
      <w:r>
        <w:rPr>
          <w:rFonts w:hint="default" w:ascii="Times New Roman" w:hAnsi="Times New Roman" w:eastAsia="宋体" w:cs="Times New Roman"/>
          <w:color w:val="FF0000"/>
          <w:spacing w:val="-1"/>
          <w:sz w:val="24"/>
          <w:szCs w:val="24"/>
          <w:highlight w:val="none"/>
        </w:rPr>
        <w:t>，计算得到本项目合计产尿量为</w:t>
      </w:r>
      <w:r>
        <w:rPr>
          <w:rFonts w:hint="default" w:ascii="Times New Roman" w:hAnsi="Times New Roman" w:eastAsia="宋体" w:cs="Times New Roman"/>
          <w:color w:val="FF0000"/>
          <w:spacing w:val="-1"/>
          <w:sz w:val="24"/>
          <w:szCs w:val="24"/>
          <w:highlight w:val="none"/>
          <w:lang w:val="en-US" w:eastAsia="zh-CN"/>
        </w:rPr>
        <w:t>18250</w:t>
      </w:r>
      <w:r>
        <w:rPr>
          <w:rFonts w:hint="default" w:ascii="Times New Roman" w:hAnsi="Times New Roman" w:eastAsia="Times New Roman" w:cs="Times New Roman"/>
          <w:color w:val="FF0000"/>
          <w:spacing w:val="-2"/>
          <w:sz w:val="24"/>
          <w:szCs w:val="24"/>
          <w:highlight w:val="none"/>
        </w:rPr>
        <w:t>t/a</w:t>
      </w:r>
      <w:r>
        <w:rPr>
          <w:rFonts w:hint="default" w:ascii="Times New Roman" w:hAnsi="Times New Roman" w:eastAsia="宋体" w:cs="Times New Roman"/>
          <w:color w:val="FF0000"/>
          <w:spacing w:val="-2"/>
          <w:sz w:val="24"/>
          <w:szCs w:val="24"/>
          <w:highlight w:val="none"/>
        </w:rPr>
        <w:t>，主要污染物以</w:t>
      </w:r>
      <w:r>
        <w:rPr>
          <w:rFonts w:hint="default" w:ascii="Times New Roman" w:hAnsi="Times New Roman" w:eastAsia="Times New Roman" w:cs="Times New Roman"/>
          <w:color w:val="FF0000"/>
          <w:spacing w:val="-2"/>
          <w:sz w:val="24"/>
          <w:szCs w:val="24"/>
          <w:highlight w:val="none"/>
        </w:rPr>
        <w:t>COD</w:t>
      </w:r>
      <w:r>
        <w:rPr>
          <w:rFonts w:hint="default" w:ascii="Times New Roman" w:hAnsi="Times New Roman" w:eastAsia="宋体" w:cs="Times New Roman"/>
          <w:color w:val="FF0000"/>
          <w:spacing w:val="-2"/>
          <w:sz w:val="24"/>
          <w:szCs w:val="24"/>
          <w:highlight w:val="none"/>
        </w:rPr>
        <w:t>、</w:t>
      </w:r>
      <w:r>
        <w:rPr>
          <w:rFonts w:hint="default" w:ascii="Times New Roman" w:hAnsi="Times New Roman" w:eastAsia="Times New Roman" w:cs="Times New Roman"/>
          <w:color w:val="FF0000"/>
          <w:spacing w:val="-2"/>
          <w:sz w:val="24"/>
          <w:szCs w:val="24"/>
          <w:highlight w:val="none"/>
        </w:rPr>
        <w:t>BOD</w:t>
      </w:r>
      <w:r>
        <w:rPr>
          <w:rFonts w:hint="default" w:ascii="Times New Roman" w:hAnsi="Times New Roman" w:eastAsia="Times New Roman" w:cs="Times New Roman"/>
          <w:color w:val="FF0000"/>
          <w:spacing w:val="-2"/>
          <w:position w:val="-3"/>
          <w:sz w:val="16"/>
          <w:szCs w:val="16"/>
          <w:highlight w:val="none"/>
        </w:rPr>
        <w:t>5</w:t>
      </w:r>
      <w:r>
        <w:rPr>
          <w:rFonts w:hint="default" w:ascii="Times New Roman" w:hAnsi="Times New Roman" w:eastAsia="宋体" w:cs="Times New Roman"/>
          <w:color w:val="FF0000"/>
          <w:spacing w:val="-2"/>
          <w:sz w:val="24"/>
          <w:szCs w:val="24"/>
          <w:highlight w:val="none"/>
        </w:rPr>
        <w:t>、</w:t>
      </w:r>
      <w:r>
        <w:rPr>
          <w:rFonts w:hint="default" w:ascii="Times New Roman" w:hAnsi="Times New Roman" w:eastAsia="Times New Roman" w:cs="Times New Roman"/>
          <w:color w:val="FF0000"/>
          <w:sz w:val="24"/>
          <w:szCs w:val="24"/>
          <w:highlight w:val="none"/>
        </w:rPr>
        <w:t>SS</w:t>
      </w:r>
      <w:r>
        <w:rPr>
          <w:rFonts w:hint="default" w:ascii="Times New Roman" w:hAnsi="Times New Roman" w:eastAsia="宋体" w:cs="Times New Roman"/>
          <w:color w:val="FF0000"/>
          <w:sz w:val="24"/>
          <w:szCs w:val="24"/>
          <w:highlight w:val="none"/>
        </w:rPr>
        <w:t>、氨氮等为主。本项目牛舍采用</w:t>
      </w:r>
      <w:r>
        <w:rPr>
          <w:rFonts w:hint="default" w:ascii="Times New Roman" w:hAnsi="Times New Roman" w:eastAsia="宋体" w:cs="Times New Roman"/>
          <w:color w:val="FF0000"/>
          <w:kern w:val="2"/>
          <w:sz w:val="24"/>
          <w:szCs w:val="24"/>
          <w:highlight w:val="none"/>
          <w:lang w:val="zh-CN" w:eastAsia="zh-CN"/>
        </w:rPr>
        <w:t>干撒式发酵床工艺</w:t>
      </w:r>
      <w:r>
        <w:rPr>
          <w:rFonts w:hint="default" w:ascii="Times New Roman" w:hAnsi="Times New Roman" w:eastAsia="宋体" w:cs="Times New Roman"/>
          <w:color w:val="FF0000"/>
          <w:sz w:val="24"/>
          <w:szCs w:val="24"/>
          <w:highlight w:val="none"/>
        </w:rPr>
        <w:t>，牛舍产生的牛尿一部分供微生物繁殖使用，一部分被升温转换为气体排出发酵床，不外排</w:t>
      </w:r>
      <w:r>
        <w:rPr>
          <w:rFonts w:hint="default" w:ascii="Times New Roman" w:hAnsi="Times New Roman" w:eastAsia="宋体" w:cs="Times New Roman"/>
          <w:color w:val="FF0000"/>
          <w:spacing w:val="-1"/>
          <w:sz w:val="24"/>
          <w:szCs w:val="24"/>
          <w:highlight w:val="none"/>
        </w:rPr>
        <w:t>。</w:t>
      </w:r>
    </w:p>
    <w:p w14:paraId="12AC3FE1">
      <w:pPr>
        <w:pStyle w:val="40"/>
        <w:keepNext w:val="0"/>
        <w:keepLines w:val="0"/>
        <w:pageBreakBefore w:val="0"/>
        <w:widowControl/>
        <w:kinsoku/>
        <w:wordWrap w:val="0"/>
        <w:overflowPunct/>
        <w:topLinePunct/>
        <w:autoSpaceDE/>
        <w:autoSpaceDN/>
        <w:bidi w:val="0"/>
        <w:adjustRightInd/>
        <w:snapToGrid/>
        <w:spacing w:line="360" w:lineRule="auto"/>
        <w:ind w:firstLine="476" w:firstLineChars="200"/>
        <w:textAlignment w:val="baseline"/>
        <w:rPr>
          <w:rFonts w:hint="default" w:ascii="Times New Roman" w:hAnsi="Times New Roman" w:eastAsia="宋体" w:cs="Times New Roman"/>
          <w:snapToGrid w:val="0"/>
          <w:color w:val="auto"/>
          <w:spacing w:val="-1"/>
          <w:kern w:val="0"/>
          <w:sz w:val="24"/>
          <w:szCs w:val="24"/>
          <w:highlight w:val="none"/>
          <w:lang w:val="en-US" w:eastAsia="en-US" w:bidi="ar-SA"/>
        </w:rPr>
      </w:pPr>
      <w:r>
        <w:rPr>
          <w:rFonts w:hint="default" w:ascii="Times New Roman" w:hAnsi="Times New Roman" w:eastAsia="宋体" w:cs="Times New Roman"/>
          <w:snapToGrid w:val="0"/>
          <w:color w:val="auto"/>
          <w:spacing w:val="-1"/>
          <w:kern w:val="0"/>
          <w:sz w:val="24"/>
          <w:szCs w:val="24"/>
          <w:highlight w:val="none"/>
          <w:lang w:val="en-US" w:eastAsia="en-US" w:bidi="ar-SA"/>
        </w:rPr>
        <w:t>根据《畜禽养殖业污染治理工程技术规范》（HJ/497-2009）附录A“表A.1畜禽养殖场废水中的污染物浓度和pH值”确定本项目废水源强，详见下表。</w:t>
      </w:r>
    </w:p>
    <w:p w14:paraId="6340696F">
      <w:pPr>
        <w:keepNext w:val="0"/>
        <w:keepLines w:val="0"/>
        <w:pageBreakBefore w:val="0"/>
        <w:kinsoku/>
        <w:wordWrap w:val="0"/>
        <w:overflowPunct/>
        <w:topLinePunct/>
        <w:autoSpaceDE/>
        <w:autoSpaceDN/>
        <w:bidi w:val="0"/>
        <w:adjustRightInd w:val="0"/>
        <w:snapToGrid w:val="0"/>
        <w:spacing w:line="212" w:lineRule="auto"/>
        <w:jc w:val="center"/>
        <w:textAlignment w:val="baseline"/>
        <w:rPr>
          <w:rFonts w:hint="default" w:ascii="Times New Roman" w:hAnsi="Times New Roman" w:eastAsia="宋体" w:cs="Times New Roman"/>
          <w:b/>
          <w:bCs/>
          <w:color w:val="auto"/>
          <w:spacing w:val="-1"/>
          <w:sz w:val="24"/>
          <w:szCs w:val="24"/>
          <w:highlight w:val="none"/>
        </w:rPr>
      </w:pPr>
      <w:r>
        <w:rPr>
          <w:rFonts w:hint="default" w:ascii="Times New Roman" w:hAnsi="Times New Roman" w:eastAsia="宋体" w:cs="Times New Roman"/>
          <w:b/>
          <w:bCs/>
          <w:color w:val="auto"/>
          <w:spacing w:val="-1"/>
          <w:sz w:val="24"/>
          <w:szCs w:val="24"/>
          <w:highlight w:val="none"/>
        </w:rPr>
        <w:t>表3</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宋体"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2</w:t>
      </w:r>
      <w:r>
        <w:rPr>
          <w:rFonts w:hint="default" w:ascii="Times New Roman" w:hAnsi="Times New Roman" w:eastAsia="宋体" w:cs="Times New Roman"/>
          <w:b/>
          <w:bCs/>
          <w:color w:val="auto"/>
          <w:spacing w:val="-1"/>
          <w:sz w:val="24"/>
          <w:szCs w:val="24"/>
          <w:highlight w:val="none"/>
        </w:rPr>
        <w:t xml:space="preserve"> HJ/497-2009中畜禽养殖场废水中的污染物浓度和pH值</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26"/>
        <w:gridCol w:w="988"/>
        <w:gridCol w:w="1544"/>
        <w:gridCol w:w="1440"/>
        <w:gridCol w:w="1415"/>
        <w:gridCol w:w="1444"/>
        <w:gridCol w:w="870"/>
      </w:tblGrid>
      <w:tr w14:paraId="0DD961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4" w:type="pct"/>
            <w:shd w:val="clear" w:color="auto" w:fill="auto"/>
            <w:vAlign w:val="center"/>
          </w:tcPr>
          <w:p w14:paraId="61C3823E">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养殖种类</w:t>
            </w:r>
          </w:p>
        </w:tc>
        <w:tc>
          <w:tcPr>
            <w:tcW w:w="579" w:type="pct"/>
            <w:shd w:val="clear" w:color="auto" w:fill="auto"/>
            <w:vAlign w:val="center"/>
          </w:tcPr>
          <w:p w14:paraId="178C7452">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清粪方式</w:t>
            </w:r>
          </w:p>
        </w:tc>
        <w:tc>
          <w:tcPr>
            <w:tcW w:w="905" w:type="pct"/>
            <w:shd w:val="clear" w:color="auto" w:fill="auto"/>
            <w:vAlign w:val="center"/>
          </w:tcPr>
          <w:p w14:paraId="1D1CECAA">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COD（mg/L）</w:t>
            </w:r>
          </w:p>
        </w:tc>
        <w:tc>
          <w:tcPr>
            <w:tcW w:w="844" w:type="pct"/>
            <w:shd w:val="clear" w:color="auto" w:fill="auto"/>
            <w:vAlign w:val="center"/>
          </w:tcPr>
          <w:p w14:paraId="559C0A54">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NH</w:t>
            </w:r>
            <w:r>
              <w:rPr>
                <w:rFonts w:hint="default" w:ascii="Times New Roman" w:hAnsi="Times New Roman" w:eastAsia="宋体" w:cs="Times New Roman"/>
                <w:snapToGrid w:val="0"/>
                <w:color w:val="auto"/>
                <w:highlight w:val="none"/>
                <w:vertAlign w:val="subscript"/>
              </w:rPr>
              <w:t>3</w:t>
            </w:r>
            <w:r>
              <w:rPr>
                <w:rFonts w:hint="default" w:ascii="Times New Roman" w:hAnsi="Times New Roman" w:eastAsia="宋体" w:cs="Times New Roman"/>
                <w:snapToGrid w:val="0"/>
                <w:color w:val="auto"/>
                <w:highlight w:val="none"/>
              </w:rPr>
              <w:t>-N（mg/L）</w:t>
            </w:r>
          </w:p>
        </w:tc>
        <w:tc>
          <w:tcPr>
            <w:tcW w:w="829" w:type="pct"/>
            <w:vAlign w:val="center"/>
          </w:tcPr>
          <w:p w14:paraId="78A1C21C">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lang w:eastAsia="zh-CN"/>
              </w:rPr>
              <w:t>TN</w:t>
            </w:r>
            <w:r>
              <w:rPr>
                <w:rFonts w:hint="default" w:ascii="Times New Roman" w:hAnsi="Times New Roman" w:eastAsia="宋体" w:cs="Times New Roman"/>
                <w:snapToGrid w:val="0"/>
                <w:color w:val="auto"/>
                <w:highlight w:val="none"/>
              </w:rPr>
              <w:t>（mg/L）</w:t>
            </w:r>
          </w:p>
        </w:tc>
        <w:tc>
          <w:tcPr>
            <w:tcW w:w="846" w:type="pct"/>
            <w:vAlign w:val="center"/>
          </w:tcPr>
          <w:p w14:paraId="0C03E6A0">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lang w:eastAsia="zh-CN"/>
              </w:rPr>
              <w:t>TP</w:t>
            </w:r>
            <w:r>
              <w:rPr>
                <w:rFonts w:hint="default" w:ascii="Times New Roman" w:hAnsi="Times New Roman" w:eastAsia="宋体" w:cs="Times New Roman"/>
                <w:snapToGrid w:val="0"/>
                <w:color w:val="auto"/>
                <w:highlight w:val="none"/>
              </w:rPr>
              <w:t>（mg/L）</w:t>
            </w:r>
          </w:p>
        </w:tc>
        <w:tc>
          <w:tcPr>
            <w:tcW w:w="510" w:type="pct"/>
            <w:shd w:val="clear" w:color="auto" w:fill="auto"/>
            <w:vAlign w:val="center"/>
          </w:tcPr>
          <w:p w14:paraId="3D3B6F7A">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pH值</w:t>
            </w:r>
          </w:p>
        </w:tc>
      </w:tr>
      <w:tr w14:paraId="6192C4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9" w:hRule="atLeast"/>
        </w:trPr>
        <w:tc>
          <w:tcPr>
            <w:tcW w:w="484" w:type="pct"/>
            <w:shd w:val="clear" w:color="auto" w:fill="auto"/>
            <w:vAlign w:val="center"/>
          </w:tcPr>
          <w:p w14:paraId="7104393A">
            <w:pPr>
              <w:pStyle w:val="38"/>
              <w:jc w:val="center"/>
              <w:rPr>
                <w:rFonts w:hint="default" w:ascii="Times New Roman" w:hAnsi="Times New Roman" w:eastAsia="宋体" w:cs="Times New Roman"/>
                <w:snapToGrid w:val="0"/>
                <w:color w:val="auto"/>
                <w:highlight w:val="none"/>
                <w:lang w:val="en-US" w:eastAsia="zh-CN"/>
              </w:rPr>
            </w:pPr>
            <w:r>
              <w:rPr>
                <w:rFonts w:hint="default" w:ascii="Times New Roman" w:hAnsi="Times New Roman" w:eastAsia="宋体" w:cs="Times New Roman"/>
                <w:snapToGrid w:val="0"/>
                <w:color w:val="auto"/>
                <w:highlight w:val="none"/>
                <w:lang w:val="en-US" w:eastAsia="zh-CN"/>
              </w:rPr>
              <w:t>肉牛</w:t>
            </w:r>
          </w:p>
        </w:tc>
        <w:tc>
          <w:tcPr>
            <w:tcW w:w="579" w:type="pct"/>
            <w:shd w:val="clear" w:color="auto" w:fill="auto"/>
            <w:vAlign w:val="center"/>
          </w:tcPr>
          <w:p w14:paraId="23655410">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干清粪</w:t>
            </w:r>
          </w:p>
        </w:tc>
        <w:tc>
          <w:tcPr>
            <w:tcW w:w="905" w:type="pct"/>
            <w:shd w:val="clear" w:color="auto" w:fill="auto"/>
            <w:vAlign w:val="center"/>
          </w:tcPr>
          <w:p w14:paraId="4480A105">
            <w:pPr>
              <w:pStyle w:val="38"/>
              <w:jc w:val="center"/>
              <w:rPr>
                <w:rFonts w:hint="default" w:ascii="Times New Roman" w:hAnsi="Times New Roman" w:eastAsia="宋体" w:cs="Times New Roman"/>
                <w:snapToGrid w:val="0"/>
                <w:color w:val="auto"/>
                <w:highlight w:val="none"/>
                <w:lang w:val="en-US" w:eastAsia="zh-CN"/>
              </w:rPr>
            </w:pPr>
            <w:r>
              <w:rPr>
                <w:rFonts w:hint="default" w:ascii="Times New Roman" w:hAnsi="Times New Roman" w:eastAsia="宋体" w:cs="Times New Roman"/>
                <w:snapToGrid w:val="0"/>
                <w:color w:val="auto"/>
                <w:highlight w:val="none"/>
                <w:lang w:val="en-US" w:eastAsia="zh-CN"/>
              </w:rPr>
              <w:t>887</w:t>
            </w:r>
          </w:p>
        </w:tc>
        <w:tc>
          <w:tcPr>
            <w:tcW w:w="844" w:type="pct"/>
            <w:shd w:val="clear" w:color="auto" w:fill="auto"/>
            <w:vAlign w:val="center"/>
          </w:tcPr>
          <w:p w14:paraId="4F543753">
            <w:pPr>
              <w:pStyle w:val="38"/>
              <w:jc w:val="center"/>
              <w:rPr>
                <w:rFonts w:hint="default" w:ascii="Times New Roman" w:hAnsi="Times New Roman" w:eastAsia="宋体" w:cs="Times New Roman"/>
                <w:snapToGrid w:val="0"/>
                <w:color w:val="auto"/>
                <w:highlight w:val="none"/>
                <w:lang w:val="en-US" w:eastAsia="zh-CN"/>
              </w:rPr>
            </w:pPr>
            <w:r>
              <w:rPr>
                <w:rFonts w:hint="default" w:ascii="Times New Roman" w:hAnsi="Times New Roman" w:eastAsia="宋体" w:cs="Times New Roman"/>
                <w:snapToGrid w:val="0"/>
                <w:color w:val="auto"/>
                <w:highlight w:val="none"/>
                <w:lang w:val="en-US" w:eastAsia="zh-CN"/>
              </w:rPr>
              <w:t>22.1</w:t>
            </w:r>
          </w:p>
        </w:tc>
        <w:tc>
          <w:tcPr>
            <w:tcW w:w="829" w:type="pct"/>
            <w:vAlign w:val="center"/>
          </w:tcPr>
          <w:p w14:paraId="769AAFA1">
            <w:pPr>
              <w:pStyle w:val="38"/>
              <w:jc w:val="center"/>
              <w:rPr>
                <w:rFonts w:hint="default" w:ascii="Times New Roman" w:hAnsi="Times New Roman" w:eastAsia="宋体" w:cs="Times New Roman"/>
                <w:snapToGrid w:val="0"/>
                <w:color w:val="auto"/>
                <w:highlight w:val="none"/>
                <w:lang w:val="en-US" w:eastAsia="zh-CN"/>
              </w:rPr>
            </w:pPr>
            <w:r>
              <w:rPr>
                <w:rFonts w:hint="default" w:ascii="Times New Roman" w:hAnsi="Times New Roman" w:eastAsia="宋体" w:cs="Times New Roman"/>
                <w:snapToGrid w:val="0"/>
                <w:color w:val="auto"/>
                <w:highlight w:val="none"/>
                <w:lang w:val="en-US" w:eastAsia="zh-CN"/>
              </w:rPr>
              <w:t>41.1</w:t>
            </w:r>
          </w:p>
        </w:tc>
        <w:tc>
          <w:tcPr>
            <w:tcW w:w="846" w:type="pct"/>
            <w:vAlign w:val="center"/>
          </w:tcPr>
          <w:p w14:paraId="6BC8B102">
            <w:pPr>
              <w:pStyle w:val="38"/>
              <w:jc w:val="center"/>
              <w:rPr>
                <w:rFonts w:hint="default" w:ascii="Times New Roman" w:hAnsi="Times New Roman" w:eastAsia="宋体" w:cs="Times New Roman"/>
                <w:snapToGrid w:val="0"/>
                <w:color w:val="auto"/>
                <w:highlight w:val="none"/>
                <w:lang w:val="en-US" w:eastAsia="zh-CN"/>
              </w:rPr>
            </w:pPr>
            <w:r>
              <w:rPr>
                <w:rFonts w:hint="default" w:ascii="Times New Roman" w:hAnsi="Times New Roman" w:eastAsia="宋体" w:cs="Times New Roman"/>
                <w:snapToGrid w:val="0"/>
                <w:color w:val="auto"/>
                <w:highlight w:val="none"/>
                <w:lang w:val="en-US" w:eastAsia="zh-CN"/>
              </w:rPr>
              <w:t>5.33</w:t>
            </w:r>
          </w:p>
        </w:tc>
        <w:tc>
          <w:tcPr>
            <w:tcW w:w="510" w:type="pct"/>
            <w:shd w:val="clear" w:color="auto" w:fill="auto"/>
            <w:vAlign w:val="center"/>
          </w:tcPr>
          <w:p w14:paraId="417720B7">
            <w:pPr>
              <w:pStyle w:val="38"/>
              <w:jc w:val="center"/>
              <w:rPr>
                <w:rFonts w:hint="default" w:ascii="Times New Roman" w:hAnsi="Times New Roman" w:eastAsia="宋体" w:cs="Times New Roman"/>
                <w:snapToGrid w:val="0"/>
                <w:color w:val="auto"/>
                <w:highlight w:val="none"/>
              </w:rPr>
            </w:pPr>
            <w:r>
              <w:rPr>
                <w:rFonts w:hint="default" w:ascii="Times New Roman" w:hAnsi="Times New Roman" w:eastAsia="宋体" w:cs="Times New Roman"/>
                <w:snapToGrid w:val="0"/>
                <w:color w:val="auto"/>
                <w:highlight w:val="none"/>
              </w:rPr>
              <w:t>7.1~7.5</w:t>
            </w:r>
          </w:p>
        </w:tc>
      </w:tr>
    </w:tbl>
    <w:p w14:paraId="1434FD9F">
      <w:pPr>
        <w:keepNext w:val="0"/>
        <w:keepLines w:val="0"/>
        <w:pageBreakBefore w:val="0"/>
        <w:kinsoku/>
        <w:wordWrap w:val="0"/>
        <w:overflowPunct/>
        <w:topLinePunct/>
        <w:autoSpaceDE/>
        <w:autoSpaceDN/>
        <w:bidi w:val="0"/>
        <w:adjustRightInd w:val="0"/>
        <w:snapToGrid w:val="0"/>
        <w:spacing w:before="34" w:line="359" w:lineRule="auto"/>
        <w:ind w:left="22" w:right="163" w:firstLine="481"/>
        <w:textAlignment w:val="baseline"/>
        <w:rPr>
          <w:rFonts w:hint="default" w:ascii="Times New Roman" w:hAnsi="Times New Roman" w:eastAsia="宋体" w:cs="Times New Roman"/>
          <w:color w:val="auto"/>
          <w:spacing w:val="-4"/>
          <w:sz w:val="24"/>
          <w:szCs w:val="24"/>
          <w:highlight w:val="none"/>
        </w:rPr>
      </w:pPr>
      <w:r>
        <w:rPr>
          <w:rFonts w:hint="default" w:ascii="Times New Roman" w:hAnsi="Times New Roman" w:eastAsia="宋体" w:cs="Times New Roman"/>
          <w:color w:val="auto"/>
          <w:spacing w:val="-4"/>
          <w:sz w:val="24"/>
          <w:szCs w:val="24"/>
          <w:highlight w:val="none"/>
        </w:rPr>
        <w:t>（2）生活污水</w:t>
      </w:r>
    </w:p>
    <w:p w14:paraId="77CD76FB">
      <w:pPr>
        <w:keepNext w:val="0"/>
        <w:keepLines w:val="0"/>
        <w:pageBreakBefore w:val="0"/>
        <w:kinsoku/>
        <w:wordWrap w:val="0"/>
        <w:overflowPunct/>
        <w:topLinePunct/>
        <w:autoSpaceDE/>
        <w:autoSpaceDN/>
        <w:bidi w:val="0"/>
        <w:adjustRightInd w:val="0"/>
        <w:snapToGrid w:val="0"/>
        <w:spacing w:before="34" w:line="359" w:lineRule="auto"/>
        <w:ind w:left="22" w:right="163" w:firstLine="481"/>
        <w:textAlignment w:val="baseline"/>
        <w:rPr>
          <w:rFonts w:hint="default" w:ascii="Times New Roman" w:hAnsi="Times New Roman" w:eastAsia="宋体" w:cs="Times New Roman"/>
          <w:color w:val="auto"/>
          <w:spacing w:val="-4"/>
          <w:sz w:val="24"/>
          <w:szCs w:val="24"/>
          <w:highlight w:val="none"/>
        </w:rPr>
      </w:pPr>
      <w:r>
        <w:rPr>
          <w:rFonts w:hint="default" w:ascii="Times New Roman" w:hAnsi="Times New Roman" w:eastAsia="宋体" w:cs="Times New Roman"/>
          <w:color w:val="auto"/>
          <w:spacing w:val="-4"/>
          <w:sz w:val="24"/>
          <w:szCs w:val="24"/>
          <w:highlight w:val="none"/>
        </w:rPr>
        <w:t>项目生活污水产生量为</w:t>
      </w:r>
      <w:r>
        <w:rPr>
          <w:rFonts w:hint="default" w:ascii="Times New Roman" w:hAnsi="Times New Roman" w:eastAsia="宋体" w:cs="Times New Roman"/>
          <w:color w:val="auto"/>
          <w:spacing w:val="-4"/>
          <w:sz w:val="24"/>
          <w:szCs w:val="24"/>
          <w:highlight w:val="none"/>
          <w:lang w:val="en-US" w:eastAsia="zh-CN"/>
        </w:rPr>
        <w:t>1.6</w:t>
      </w:r>
      <w:r>
        <w:rPr>
          <w:rFonts w:hint="default" w:ascii="Times New Roman" w:hAnsi="Times New Roman" w:eastAsia="宋体" w:cs="Times New Roman"/>
          <w:color w:val="auto"/>
          <w:spacing w:val="-4"/>
          <w:sz w:val="24"/>
          <w:szCs w:val="24"/>
          <w:highlight w:val="none"/>
        </w:rPr>
        <w:t>t/d（</w:t>
      </w:r>
      <w:r>
        <w:rPr>
          <w:rFonts w:hint="default" w:ascii="Times New Roman" w:hAnsi="Times New Roman" w:eastAsia="宋体" w:cs="Times New Roman"/>
          <w:color w:val="auto"/>
          <w:spacing w:val="-4"/>
          <w:sz w:val="24"/>
          <w:szCs w:val="24"/>
          <w:highlight w:val="none"/>
          <w:lang w:val="en-US" w:eastAsia="zh-CN"/>
        </w:rPr>
        <w:t>584</w:t>
      </w:r>
      <w:r>
        <w:rPr>
          <w:rFonts w:hint="default" w:ascii="Times New Roman" w:hAnsi="Times New Roman" w:eastAsia="宋体" w:cs="Times New Roman"/>
          <w:color w:val="auto"/>
          <w:spacing w:val="-4"/>
          <w:sz w:val="24"/>
          <w:szCs w:val="24"/>
          <w:highlight w:val="none"/>
        </w:rPr>
        <w:t>/a）。</w:t>
      </w:r>
    </w:p>
    <w:p w14:paraId="65D72CCC">
      <w:pPr>
        <w:keepNext w:val="0"/>
        <w:keepLines w:val="0"/>
        <w:pageBreakBefore w:val="0"/>
        <w:kinsoku/>
        <w:wordWrap w:val="0"/>
        <w:overflowPunct/>
        <w:topLinePunct/>
        <w:autoSpaceDE/>
        <w:autoSpaceDN/>
        <w:bidi w:val="0"/>
        <w:adjustRightInd w:val="0"/>
        <w:snapToGrid w:val="0"/>
        <w:spacing w:before="34" w:line="359" w:lineRule="auto"/>
        <w:ind w:left="22" w:right="163" w:firstLine="481"/>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本项目场区废水产生情况详见下表</w:t>
      </w:r>
      <w:r>
        <w:rPr>
          <w:rFonts w:hint="default" w:ascii="Times New Roman" w:hAnsi="Times New Roman" w:eastAsia="Times New Roman" w:cs="Times New Roman"/>
          <w:color w:val="auto"/>
          <w:spacing w:val="-1"/>
          <w:sz w:val="24"/>
          <w:szCs w:val="24"/>
          <w:highlight w:val="none"/>
        </w:rPr>
        <w:t>3.3-</w:t>
      </w:r>
      <w:r>
        <w:rPr>
          <w:rFonts w:hint="default" w:ascii="Times New Roman" w:hAnsi="Times New Roman" w:eastAsia="宋体" w:cs="Times New Roman"/>
          <w:color w:val="auto"/>
          <w:spacing w:val="-1"/>
          <w:sz w:val="24"/>
          <w:szCs w:val="24"/>
          <w:highlight w:val="none"/>
          <w:lang w:val="en-US" w:eastAsia="zh-CN"/>
        </w:rPr>
        <w:t>3</w:t>
      </w:r>
      <w:r>
        <w:rPr>
          <w:rFonts w:hint="default" w:ascii="Times New Roman" w:hAnsi="Times New Roman" w:eastAsia="宋体" w:cs="Times New Roman"/>
          <w:color w:val="auto"/>
          <w:spacing w:val="-1"/>
          <w:sz w:val="24"/>
          <w:szCs w:val="24"/>
          <w:highlight w:val="none"/>
        </w:rPr>
        <w:t>。</w:t>
      </w:r>
    </w:p>
    <w:p w14:paraId="5413E80B">
      <w:pPr>
        <w:keepNext w:val="0"/>
        <w:keepLines w:val="0"/>
        <w:pageBreakBefore w:val="0"/>
        <w:kinsoku/>
        <w:wordWrap w:val="0"/>
        <w:overflowPunct/>
        <w:topLinePunct/>
        <w:autoSpaceDE/>
        <w:autoSpaceDN/>
        <w:bidi w:val="0"/>
        <w:adjustRightInd w:val="0"/>
        <w:snapToGrid w:val="0"/>
        <w:spacing w:before="1" w:line="213" w:lineRule="auto"/>
        <w:ind w:left="2656"/>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2"/>
          <w:sz w:val="24"/>
          <w:szCs w:val="24"/>
          <w:highlight w:val="none"/>
        </w:rPr>
        <w:t>表3.3-</w:t>
      </w:r>
      <w:r>
        <w:rPr>
          <w:rFonts w:hint="default" w:ascii="Times New Roman" w:hAnsi="Times New Roman" w:eastAsia="宋体" w:cs="Times New Roman"/>
          <w:b/>
          <w:bCs/>
          <w:color w:val="auto"/>
          <w:spacing w:val="-2"/>
          <w:sz w:val="24"/>
          <w:szCs w:val="24"/>
          <w:highlight w:val="none"/>
          <w:lang w:val="en-US" w:eastAsia="zh-CN"/>
        </w:rPr>
        <w:t>3</w:t>
      </w:r>
      <w:r>
        <w:rPr>
          <w:rFonts w:hint="default" w:ascii="Times New Roman" w:hAnsi="Times New Roman" w:eastAsia="宋体" w:cs="Times New Roman"/>
          <w:b/>
          <w:bCs/>
          <w:color w:val="auto"/>
          <w:spacing w:val="-2"/>
          <w:sz w:val="24"/>
          <w:szCs w:val="24"/>
          <w:highlight w:val="none"/>
        </w:rPr>
        <w:t>全厂废水产生情况一览表</w:t>
      </w:r>
    </w:p>
    <w:tbl>
      <w:tblPr>
        <w:tblStyle w:val="34"/>
        <w:tblW w:w="8397" w:type="dxa"/>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885"/>
        <w:gridCol w:w="950"/>
        <w:gridCol w:w="1677"/>
        <w:gridCol w:w="4885"/>
      </w:tblGrid>
      <w:tr w14:paraId="2CD7846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92" w:hRule="atLeast"/>
        </w:trPr>
        <w:tc>
          <w:tcPr>
            <w:tcW w:w="885" w:type="dxa"/>
            <w:tcBorders>
              <w:tl2br w:val="nil"/>
              <w:tr2bl w:val="nil"/>
            </w:tcBorders>
            <w:vAlign w:val="center"/>
          </w:tcPr>
          <w:p w14:paraId="3CDD0887">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污染源</w:t>
            </w:r>
          </w:p>
        </w:tc>
        <w:tc>
          <w:tcPr>
            <w:tcW w:w="950" w:type="dxa"/>
            <w:tcBorders>
              <w:tl2br w:val="nil"/>
              <w:tr2bl w:val="nil"/>
            </w:tcBorders>
            <w:vAlign w:val="center"/>
          </w:tcPr>
          <w:p w14:paraId="06A2817F">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废水</w:t>
            </w:r>
          </w:p>
        </w:tc>
        <w:tc>
          <w:tcPr>
            <w:tcW w:w="1677" w:type="dxa"/>
            <w:tcBorders>
              <w:tl2br w:val="nil"/>
              <w:tr2bl w:val="nil"/>
            </w:tcBorders>
            <w:vAlign w:val="center"/>
          </w:tcPr>
          <w:p w14:paraId="7F53A3CB">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产生量</w:t>
            </w:r>
          </w:p>
        </w:tc>
        <w:tc>
          <w:tcPr>
            <w:tcW w:w="4885" w:type="dxa"/>
            <w:tcBorders>
              <w:tl2br w:val="nil"/>
              <w:tr2bl w:val="nil"/>
            </w:tcBorders>
            <w:vAlign w:val="center"/>
          </w:tcPr>
          <w:p w14:paraId="137EDE0F">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6"/>
                <w:highlight w:val="none"/>
              </w:rPr>
              <w:t>去向</w:t>
            </w:r>
          </w:p>
        </w:tc>
      </w:tr>
      <w:tr w14:paraId="1A9EBEB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885" w:type="dxa"/>
            <w:tcBorders>
              <w:tl2br w:val="nil"/>
              <w:tr2bl w:val="nil"/>
            </w:tcBorders>
            <w:vAlign w:val="center"/>
          </w:tcPr>
          <w:p w14:paraId="06CBF275">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养殖区</w:t>
            </w:r>
          </w:p>
        </w:tc>
        <w:tc>
          <w:tcPr>
            <w:tcW w:w="950" w:type="dxa"/>
            <w:tcBorders>
              <w:tl2br w:val="nil"/>
              <w:tr2bl w:val="nil"/>
            </w:tcBorders>
            <w:vAlign w:val="center"/>
          </w:tcPr>
          <w:p w14:paraId="5C1AFBAA">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7"/>
                <w:highlight w:val="none"/>
              </w:rPr>
              <w:t>牛尿</w:t>
            </w:r>
          </w:p>
        </w:tc>
        <w:tc>
          <w:tcPr>
            <w:tcW w:w="1677" w:type="dxa"/>
            <w:tcBorders>
              <w:tl2br w:val="nil"/>
              <w:tr2bl w:val="nil"/>
            </w:tcBorders>
            <w:vAlign w:val="center"/>
          </w:tcPr>
          <w:p w14:paraId="089897A3">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FF0000"/>
                <w:spacing w:val="4"/>
                <w:sz w:val="21"/>
                <w:szCs w:val="21"/>
                <w:highlight w:val="none"/>
              </w:rPr>
            </w:pPr>
            <w:r>
              <w:rPr>
                <w:rFonts w:hint="default" w:ascii="Times New Roman" w:hAnsi="Times New Roman" w:eastAsia="宋体" w:cs="Times New Roman"/>
                <w:color w:val="FF0000"/>
                <w:spacing w:val="4"/>
                <w:sz w:val="21"/>
                <w:szCs w:val="21"/>
                <w:highlight w:val="none"/>
                <w:lang w:val="en-US" w:eastAsia="zh-CN"/>
              </w:rPr>
              <w:t>50</w:t>
            </w:r>
            <w:r>
              <w:rPr>
                <w:rFonts w:hint="default" w:ascii="Times New Roman" w:hAnsi="Times New Roman" w:eastAsia="Times New Roman" w:cs="Times New Roman"/>
                <w:color w:val="FF0000"/>
                <w:spacing w:val="4"/>
                <w:sz w:val="21"/>
                <w:szCs w:val="21"/>
                <w:highlight w:val="none"/>
              </w:rPr>
              <w:t>t/d</w:t>
            </w:r>
          </w:p>
          <w:p w14:paraId="0F050C55">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Times New Roman" w:cs="Times New Roman"/>
                <w:color w:val="FF0000"/>
                <w:spacing w:val="4"/>
                <w:sz w:val="21"/>
                <w:szCs w:val="21"/>
                <w:highlight w:val="none"/>
              </w:rPr>
              <w:t>(</w:t>
            </w:r>
            <w:r>
              <w:rPr>
                <w:rFonts w:hint="default" w:ascii="Times New Roman" w:hAnsi="Times New Roman" w:eastAsia="宋体" w:cs="Times New Roman"/>
                <w:color w:val="FF0000"/>
                <w:spacing w:val="4"/>
                <w:sz w:val="21"/>
                <w:szCs w:val="21"/>
                <w:highlight w:val="none"/>
                <w:lang w:val="en-US" w:eastAsia="zh-CN"/>
              </w:rPr>
              <w:t>18250</w:t>
            </w:r>
            <w:r>
              <w:rPr>
                <w:rFonts w:hint="default" w:ascii="Times New Roman" w:hAnsi="Times New Roman" w:eastAsia="Times New Roman" w:cs="Times New Roman"/>
                <w:color w:val="FF0000"/>
                <w:spacing w:val="1"/>
                <w:sz w:val="21"/>
                <w:szCs w:val="21"/>
                <w:highlight w:val="none"/>
              </w:rPr>
              <w:t>t/a)</w:t>
            </w:r>
          </w:p>
        </w:tc>
        <w:tc>
          <w:tcPr>
            <w:tcW w:w="4885" w:type="dxa"/>
            <w:tcBorders>
              <w:tl2br w:val="nil"/>
              <w:tr2bl w:val="nil"/>
            </w:tcBorders>
            <w:vAlign w:val="center"/>
          </w:tcPr>
          <w:p w14:paraId="2A216143">
            <w:pPr>
              <w:pStyle w:val="35"/>
              <w:keepNext w:val="0"/>
              <w:keepLines w:val="0"/>
              <w:pageBreakBefore w:val="0"/>
              <w:widowControl/>
              <w:kinsoku/>
              <w:wordWrap w:val="0"/>
              <w:overflowPunct/>
              <w:topLinePunct/>
              <w:autoSpaceDE/>
              <w:autoSpaceDN/>
              <w:bidi w:val="0"/>
              <w:adjustRightInd w:val="0"/>
              <w:snapToGrid w:val="0"/>
              <w:spacing w:line="240" w:lineRule="auto"/>
              <w:ind w:right="0"/>
              <w:jc w:val="left"/>
              <w:textAlignment w:val="baseline"/>
              <w:rPr>
                <w:rFonts w:hint="default" w:ascii="Times New Roman" w:hAnsi="Times New Roman" w:cs="Times New Roman"/>
                <w:color w:val="auto"/>
                <w:highlight w:val="none"/>
              </w:rPr>
            </w:pPr>
            <w:r>
              <w:rPr>
                <w:rFonts w:hint="default" w:ascii="Times New Roman" w:hAnsi="Times New Roman" w:eastAsia="宋体" w:cs="Times New Roman"/>
                <w:color w:val="auto"/>
                <w:sz w:val="21"/>
                <w:szCs w:val="21"/>
                <w:highlight w:val="none"/>
              </w:rPr>
              <w:t>牛舍均采用干撒式发酵床工艺</w:t>
            </w:r>
            <w:r>
              <w:rPr>
                <w:rFonts w:hint="default" w:ascii="Times New Roman" w:hAnsi="Times New Roman" w:eastAsia="宋体" w:cs="Times New Roman"/>
                <w:color w:val="auto"/>
                <w:sz w:val="21"/>
                <w:szCs w:val="21"/>
                <w:highlight w:val="none"/>
                <w:lang w:eastAsia="zh-CN"/>
              </w:rPr>
              <w:t>，牛舍产生的牛尿一部分供微生物繁殖使用，一部分被升温转换为气体排出发酵床，不外排</w:t>
            </w:r>
          </w:p>
        </w:tc>
      </w:tr>
      <w:tr w14:paraId="3D80E99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554" w:hRule="atLeast"/>
        </w:trPr>
        <w:tc>
          <w:tcPr>
            <w:tcW w:w="885" w:type="dxa"/>
            <w:tcBorders>
              <w:tl2br w:val="nil"/>
              <w:tr2bl w:val="nil"/>
            </w:tcBorders>
            <w:vAlign w:val="center"/>
          </w:tcPr>
          <w:p w14:paraId="77B39814">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生活区</w:t>
            </w:r>
          </w:p>
        </w:tc>
        <w:tc>
          <w:tcPr>
            <w:tcW w:w="950" w:type="dxa"/>
            <w:tcBorders>
              <w:tl2br w:val="nil"/>
              <w:tr2bl w:val="nil"/>
            </w:tcBorders>
            <w:vAlign w:val="center"/>
          </w:tcPr>
          <w:p w14:paraId="2FD94815">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生活废水</w:t>
            </w:r>
          </w:p>
        </w:tc>
        <w:tc>
          <w:tcPr>
            <w:tcW w:w="1677" w:type="dxa"/>
            <w:tcBorders>
              <w:tl2br w:val="nil"/>
              <w:tr2bl w:val="nil"/>
            </w:tcBorders>
            <w:vAlign w:val="center"/>
          </w:tcPr>
          <w:p w14:paraId="510A6BCC">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宋体" w:cs="Times New Roman"/>
                <w:color w:val="FF0000"/>
                <w:spacing w:val="-2"/>
                <w:sz w:val="21"/>
                <w:szCs w:val="21"/>
                <w:highlight w:val="none"/>
                <w:lang w:val="en-US" w:eastAsia="zh-CN"/>
              </w:rPr>
              <w:t>1.6</w:t>
            </w:r>
            <w:r>
              <w:rPr>
                <w:rFonts w:hint="default" w:ascii="Times New Roman" w:hAnsi="Times New Roman" w:eastAsia="Times New Roman" w:cs="Times New Roman"/>
                <w:color w:val="FF0000"/>
                <w:spacing w:val="-2"/>
                <w:sz w:val="21"/>
                <w:szCs w:val="21"/>
                <w:highlight w:val="none"/>
              </w:rPr>
              <w:t>t/d(</w:t>
            </w:r>
            <w:r>
              <w:rPr>
                <w:rFonts w:hint="default" w:ascii="Times New Roman" w:hAnsi="Times New Roman" w:eastAsia="宋体" w:cs="Times New Roman"/>
                <w:color w:val="FF0000"/>
                <w:spacing w:val="-2"/>
                <w:sz w:val="21"/>
                <w:szCs w:val="21"/>
                <w:highlight w:val="none"/>
                <w:lang w:val="en-US" w:eastAsia="zh-CN"/>
              </w:rPr>
              <w:t>584</w:t>
            </w:r>
            <w:r>
              <w:rPr>
                <w:rFonts w:hint="default" w:ascii="Times New Roman" w:hAnsi="Times New Roman" w:eastAsia="Times New Roman" w:cs="Times New Roman"/>
                <w:color w:val="FF0000"/>
                <w:spacing w:val="-2"/>
                <w:sz w:val="21"/>
                <w:szCs w:val="21"/>
                <w:highlight w:val="none"/>
              </w:rPr>
              <w:t>t/a)</w:t>
            </w:r>
          </w:p>
        </w:tc>
        <w:tc>
          <w:tcPr>
            <w:tcW w:w="4885" w:type="dxa"/>
            <w:tcBorders>
              <w:tl2br w:val="nil"/>
              <w:tr2bl w:val="nil"/>
            </w:tcBorders>
            <w:vAlign w:val="center"/>
          </w:tcPr>
          <w:p w14:paraId="38810A99">
            <w:pPr>
              <w:pStyle w:val="35"/>
              <w:keepNext w:val="0"/>
              <w:keepLines w:val="0"/>
              <w:pageBreakBefore w:val="0"/>
              <w:widowControl/>
              <w:kinsoku/>
              <w:wordWrap w:val="0"/>
              <w:overflowPunct/>
              <w:topLinePunct/>
              <w:autoSpaceDE/>
              <w:autoSpaceDN/>
              <w:bidi w:val="0"/>
              <w:adjustRightInd w:val="0"/>
              <w:snapToGrid w:val="0"/>
              <w:spacing w:line="240" w:lineRule="auto"/>
              <w:ind w:right="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本项目生活污水排</w:t>
            </w:r>
            <w:r>
              <w:rPr>
                <w:rFonts w:hint="default" w:ascii="Times New Roman" w:hAnsi="Times New Roman" w:cs="Times New Roman"/>
                <w:color w:val="auto"/>
                <w:spacing w:val="-2"/>
                <w:highlight w:val="none"/>
              </w:rPr>
              <w:t>入化粪池，定期清掏</w:t>
            </w:r>
            <w:r>
              <w:rPr>
                <w:rFonts w:hint="default" w:ascii="Times New Roman" w:hAnsi="Times New Roman" w:cs="Times New Roman"/>
                <w:color w:val="auto"/>
                <w:spacing w:val="-3"/>
                <w:highlight w:val="none"/>
              </w:rPr>
              <w:t>。</w:t>
            </w:r>
          </w:p>
        </w:tc>
      </w:tr>
      <w:tr w14:paraId="64B208F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96" w:hRule="atLeast"/>
        </w:trPr>
        <w:tc>
          <w:tcPr>
            <w:tcW w:w="1835" w:type="dxa"/>
            <w:gridSpan w:val="2"/>
            <w:tcBorders>
              <w:tl2br w:val="nil"/>
              <w:tr2bl w:val="nil"/>
            </w:tcBorders>
            <w:vAlign w:val="center"/>
          </w:tcPr>
          <w:p w14:paraId="4517521D">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408" w:firstLineChars="200"/>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合计</w:t>
            </w:r>
          </w:p>
        </w:tc>
        <w:tc>
          <w:tcPr>
            <w:tcW w:w="1677" w:type="dxa"/>
            <w:tcBorders>
              <w:tl2br w:val="nil"/>
              <w:tr2bl w:val="nil"/>
            </w:tcBorders>
            <w:vAlign w:val="center"/>
          </w:tcPr>
          <w:p w14:paraId="1B6A77A0">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宋体" w:cs="Times New Roman"/>
                <w:color w:val="FF0000"/>
                <w:spacing w:val="-1"/>
                <w:sz w:val="22"/>
                <w:szCs w:val="22"/>
                <w:highlight w:val="none"/>
                <w:lang w:val="en-US" w:eastAsia="zh-CN"/>
              </w:rPr>
              <w:t>18834</w:t>
            </w:r>
            <w:r>
              <w:rPr>
                <w:rFonts w:hint="default" w:ascii="Times New Roman" w:hAnsi="Times New Roman" w:eastAsia="Times New Roman" w:cs="Times New Roman"/>
                <w:color w:val="FF0000"/>
                <w:spacing w:val="-1"/>
                <w:sz w:val="21"/>
                <w:szCs w:val="21"/>
                <w:highlight w:val="none"/>
              </w:rPr>
              <w:t>t/a</w:t>
            </w:r>
          </w:p>
        </w:tc>
        <w:tc>
          <w:tcPr>
            <w:tcW w:w="4885" w:type="dxa"/>
            <w:tcBorders>
              <w:tl2br w:val="nil"/>
              <w:tr2bl w:val="nil"/>
            </w:tcBorders>
            <w:vAlign w:val="center"/>
          </w:tcPr>
          <w:p w14:paraId="577751A5">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w:t>
            </w:r>
          </w:p>
        </w:tc>
      </w:tr>
    </w:tbl>
    <w:p w14:paraId="3FDA3D99">
      <w:pPr>
        <w:keepNext w:val="0"/>
        <w:keepLines w:val="0"/>
        <w:pageBreakBefore w:val="0"/>
        <w:numPr>
          <w:ilvl w:val="0"/>
          <w:numId w:val="0"/>
        </w:numPr>
        <w:kinsoku/>
        <w:wordWrap w:val="0"/>
        <w:overflowPunct/>
        <w:topLinePunct/>
        <w:autoSpaceDE/>
        <w:autoSpaceDN/>
        <w:bidi w:val="0"/>
        <w:adjustRightInd w:val="0"/>
        <w:snapToGrid w:val="0"/>
        <w:spacing w:before="78" w:line="357" w:lineRule="auto"/>
        <w:ind w:left="3" w:leftChars="0" w:right="79" w:rightChars="0" w:firstLine="480" w:firstLineChars="0"/>
        <w:jc w:val="both"/>
        <w:textAlignment w:val="baseline"/>
        <w:rPr>
          <w:rFonts w:hint="default" w:ascii="Times New Roman" w:hAnsi="Times New Roman" w:eastAsia="宋体" w:cs="Times New Roman"/>
          <w:color w:val="auto"/>
          <w:spacing w:val="-2"/>
          <w:sz w:val="24"/>
          <w:szCs w:val="24"/>
          <w:highlight w:val="none"/>
        </w:rPr>
      </w:pPr>
      <w:r>
        <w:rPr>
          <w:rFonts w:hint="default" w:ascii="Times New Roman" w:hAnsi="Times New Roman" w:eastAsia="宋体" w:cs="Times New Roman"/>
          <w:snapToGrid w:val="0"/>
          <w:color w:val="auto"/>
          <w:spacing w:val="-2"/>
          <w:kern w:val="0"/>
          <w:sz w:val="24"/>
          <w:szCs w:val="24"/>
          <w:highlight w:val="none"/>
          <w:lang w:val="en-US" w:eastAsia="en-US" w:bidi="ar-SA"/>
        </w:rPr>
        <w:t>（3）</w:t>
      </w:r>
      <w:r>
        <w:rPr>
          <w:rFonts w:hint="default" w:ascii="Times New Roman" w:hAnsi="Times New Roman" w:eastAsia="宋体" w:cs="Times New Roman"/>
          <w:color w:val="auto"/>
          <w:spacing w:val="-2"/>
          <w:sz w:val="24"/>
          <w:szCs w:val="24"/>
          <w:highlight w:val="none"/>
          <w:lang w:eastAsia="zh-CN"/>
        </w:rPr>
        <w:t>青贮窖</w:t>
      </w:r>
      <w:r>
        <w:rPr>
          <w:rFonts w:hint="default" w:ascii="Times New Roman" w:hAnsi="Times New Roman" w:eastAsia="宋体" w:cs="Times New Roman"/>
          <w:color w:val="auto"/>
          <w:spacing w:val="-2"/>
          <w:sz w:val="24"/>
          <w:szCs w:val="24"/>
          <w:highlight w:val="none"/>
        </w:rPr>
        <w:t>渗滤液</w:t>
      </w:r>
    </w:p>
    <w:p w14:paraId="3644DD1A">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0" w:rightChars="0" w:firstLine="464" w:firstLineChars="200"/>
        <w:jc w:val="both"/>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auto"/>
          <w:spacing w:val="-4"/>
          <w:sz w:val="24"/>
          <w:szCs w:val="24"/>
          <w:highlight w:val="none"/>
        </w:rPr>
        <w:t>在玉米秸秆青贮过程中将会有青贮渗滤液产生，根据</w:t>
      </w:r>
      <w:r>
        <w:rPr>
          <w:rFonts w:hint="default" w:ascii="Times New Roman" w:hAnsi="Times New Roman" w:eastAsia="宋体" w:cs="Times New Roman"/>
          <w:color w:val="FF0000"/>
          <w:spacing w:val="-4"/>
          <w:sz w:val="24"/>
          <w:szCs w:val="24"/>
          <w:highlight w:val="none"/>
        </w:rPr>
        <w:t>《全株玉米青贮渗出液资源</w:t>
      </w:r>
      <w:r>
        <w:rPr>
          <w:rFonts w:hint="default" w:ascii="Times New Roman" w:hAnsi="Times New Roman" w:eastAsia="宋体" w:cs="Times New Roman"/>
          <w:color w:val="FF0000"/>
          <w:spacing w:val="-6"/>
          <w:sz w:val="24"/>
          <w:szCs w:val="24"/>
          <w:highlight w:val="none"/>
        </w:rPr>
        <w:t>的开发利用》（陕西农业科学，</w:t>
      </w:r>
      <w:r>
        <w:rPr>
          <w:rFonts w:hint="default" w:ascii="Times New Roman" w:hAnsi="Times New Roman" w:eastAsia="Times New Roman" w:cs="Times New Roman"/>
          <w:color w:val="FF0000"/>
          <w:spacing w:val="-6"/>
          <w:sz w:val="24"/>
          <w:szCs w:val="24"/>
          <w:highlight w:val="none"/>
        </w:rPr>
        <w:t>2010</w:t>
      </w:r>
      <w:r>
        <w:rPr>
          <w:rFonts w:hint="default" w:ascii="Times New Roman" w:hAnsi="Times New Roman" w:eastAsia="宋体" w:cs="Times New Roman"/>
          <w:color w:val="FF0000"/>
          <w:spacing w:val="-6"/>
          <w:sz w:val="24"/>
          <w:szCs w:val="24"/>
          <w:highlight w:val="none"/>
        </w:rPr>
        <w:t>（</w:t>
      </w:r>
      <w:r>
        <w:rPr>
          <w:rFonts w:hint="default" w:ascii="Times New Roman" w:hAnsi="Times New Roman" w:eastAsia="Times New Roman" w:cs="Times New Roman"/>
          <w:color w:val="FF0000"/>
          <w:spacing w:val="-6"/>
          <w:sz w:val="24"/>
          <w:szCs w:val="24"/>
          <w:highlight w:val="none"/>
        </w:rPr>
        <w:t>2</w:t>
      </w:r>
      <w:r>
        <w:rPr>
          <w:rFonts w:hint="default" w:ascii="Times New Roman" w:hAnsi="Times New Roman" w:eastAsia="宋体" w:cs="Times New Roman"/>
          <w:color w:val="FF0000"/>
          <w:spacing w:val="-37"/>
          <w:sz w:val="24"/>
          <w:szCs w:val="24"/>
          <w:highlight w:val="none"/>
        </w:rPr>
        <w:t>），</w:t>
      </w:r>
      <w:r>
        <w:rPr>
          <w:rFonts w:hint="default" w:ascii="Times New Roman" w:hAnsi="Times New Roman" w:eastAsia="宋体" w:cs="Times New Roman"/>
          <w:color w:val="FF0000"/>
          <w:spacing w:val="-6"/>
          <w:sz w:val="24"/>
          <w:szCs w:val="24"/>
          <w:highlight w:val="none"/>
        </w:rPr>
        <w:t>第</w:t>
      </w:r>
      <w:r>
        <w:rPr>
          <w:rFonts w:hint="default" w:ascii="Times New Roman" w:hAnsi="Times New Roman" w:eastAsia="Times New Roman" w:cs="Times New Roman"/>
          <w:color w:val="FF0000"/>
          <w:spacing w:val="-6"/>
          <w:sz w:val="24"/>
          <w:szCs w:val="24"/>
          <w:highlight w:val="none"/>
        </w:rPr>
        <w:t>98</w:t>
      </w:r>
      <w:r>
        <w:rPr>
          <w:rFonts w:hint="default" w:ascii="Times New Roman" w:hAnsi="Times New Roman" w:eastAsia="宋体" w:cs="Times New Roman"/>
          <w:color w:val="FF0000"/>
          <w:spacing w:val="-6"/>
          <w:sz w:val="24"/>
          <w:szCs w:val="24"/>
          <w:highlight w:val="none"/>
        </w:rPr>
        <w:t>页</w:t>
      </w:r>
      <w:r>
        <w:rPr>
          <w:rFonts w:hint="default" w:ascii="Times New Roman" w:hAnsi="Times New Roman" w:eastAsia="宋体" w:cs="Times New Roman"/>
          <w:color w:val="FF0000"/>
          <w:spacing w:val="-37"/>
          <w:sz w:val="24"/>
          <w:szCs w:val="24"/>
          <w:highlight w:val="none"/>
        </w:rPr>
        <w:t>）</w:t>
      </w:r>
      <w:r>
        <w:rPr>
          <w:rFonts w:hint="default" w:ascii="Times New Roman" w:hAnsi="Times New Roman" w:eastAsia="宋体" w:cs="Times New Roman"/>
          <w:color w:val="auto"/>
          <w:spacing w:val="-37"/>
          <w:sz w:val="24"/>
          <w:szCs w:val="24"/>
          <w:highlight w:val="none"/>
        </w:rPr>
        <w:t>，</w:t>
      </w:r>
      <w:r>
        <w:rPr>
          <w:rFonts w:hint="default" w:ascii="Times New Roman" w:hAnsi="Times New Roman" w:eastAsia="宋体" w:cs="Times New Roman"/>
          <w:color w:val="auto"/>
          <w:spacing w:val="-6"/>
          <w:sz w:val="24"/>
          <w:szCs w:val="24"/>
          <w:highlight w:val="none"/>
        </w:rPr>
        <w:t>青贮渗滤液产</w:t>
      </w:r>
      <w:r>
        <w:rPr>
          <w:rFonts w:hint="default" w:ascii="Times New Roman" w:hAnsi="Times New Roman" w:eastAsia="宋体" w:cs="Times New Roman"/>
          <w:color w:val="auto"/>
          <w:spacing w:val="-7"/>
          <w:sz w:val="24"/>
          <w:szCs w:val="24"/>
          <w:highlight w:val="none"/>
        </w:rPr>
        <w:t>生量约为</w:t>
      </w:r>
      <w:r>
        <w:rPr>
          <w:rFonts w:hint="default" w:ascii="Times New Roman" w:hAnsi="Times New Roman" w:eastAsia="Times New Roman" w:cs="Times New Roman"/>
          <w:color w:val="auto"/>
          <w:spacing w:val="-7"/>
          <w:sz w:val="24"/>
          <w:szCs w:val="24"/>
          <w:highlight w:val="none"/>
        </w:rPr>
        <w:t>172L/t</w:t>
      </w:r>
      <w:r>
        <w:rPr>
          <w:rFonts w:hint="default" w:ascii="Times New Roman" w:hAnsi="Times New Roman" w:eastAsia="宋体" w:cs="Times New Roman"/>
          <w:color w:val="auto"/>
          <w:spacing w:val="-1"/>
          <w:sz w:val="24"/>
          <w:szCs w:val="24"/>
          <w:highlight w:val="none"/>
        </w:rPr>
        <w:t>青贮料。本项目玉米秸秆青贮量为</w:t>
      </w:r>
      <w:r>
        <w:rPr>
          <w:rFonts w:hint="default" w:ascii="Times New Roman" w:hAnsi="Times New Roman" w:eastAsia="宋体" w:cs="Times New Roman"/>
          <w:color w:val="auto"/>
          <w:spacing w:val="-1"/>
          <w:sz w:val="24"/>
          <w:szCs w:val="24"/>
          <w:highlight w:val="none"/>
          <w:lang w:val="en-US" w:eastAsia="zh-CN"/>
        </w:rPr>
        <w:t>10000</w:t>
      </w:r>
      <w:r>
        <w:rPr>
          <w:rFonts w:hint="default" w:ascii="Times New Roman" w:hAnsi="Times New Roman" w:eastAsia="Times New Roman" w:cs="Times New Roman"/>
          <w:color w:val="auto"/>
          <w:spacing w:val="-2"/>
          <w:sz w:val="24"/>
          <w:szCs w:val="24"/>
          <w:highlight w:val="none"/>
        </w:rPr>
        <w:t>t/a</w:t>
      </w:r>
      <w:r>
        <w:rPr>
          <w:rFonts w:hint="default" w:ascii="Times New Roman" w:hAnsi="Times New Roman" w:eastAsia="宋体" w:cs="Times New Roman"/>
          <w:color w:val="auto"/>
          <w:spacing w:val="-2"/>
          <w:sz w:val="24"/>
          <w:szCs w:val="24"/>
          <w:highlight w:val="none"/>
        </w:rPr>
        <w:t>，青贮时间约为</w:t>
      </w:r>
      <w:r>
        <w:rPr>
          <w:rFonts w:hint="default" w:ascii="Times New Roman" w:hAnsi="Times New Roman" w:eastAsia="Times New Roman" w:cs="Times New Roman"/>
          <w:color w:val="auto"/>
          <w:spacing w:val="-2"/>
          <w:sz w:val="24"/>
          <w:szCs w:val="24"/>
          <w:highlight w:val="none"/>
        </w:rPr>
        <w:t>60d</w:t>
      </w:r>
      <w:r>
        <w:rPr>
          <w:rFonts w:hint="default" w:ascii="Times New Roman" w:hAnsi="Times New Roman" w:eastAsia="宋体" w:cs="Times New Roman"/>
          <w:color w:val="auto"/>
          <w:spacing w:val="-2"/>
          <w:sz w:val="24"/>
          <w:szCs w:val="24"/>
          <w:highlight w:val="none"/>
        </w:rPr>
        <w:t>，则</w:t>
      </w:r>
      <w:r>
        <w:rPr>
          <w:rFonts w:hint="default" w:ascii="Times New Roman" w:hAnsi="Times New Roman" w:eastAsia="宋体" w:cs="Times New Roman"/>
          <w:color w:val="auto"/>
          <w:spacing w:val="-2"/>
          <w:sz w:val="24"/>
          <w:szCs w:val="24"/>
          <w:highlight w:val="none"/>
          <w:lang w:eastAsia="zh-CN"/>
        </w:rPr>
        <w:t>青贮窖</w:t>
      </w:r>
      <w:r>
        <w:rPr>
          <w:rFonts w:hint="default" w:ascii="Times New Roman" w:hAnsi="Times New Roman" w:eastAsia="宋体" w:cs="Times New Roman"/>
          <w:color w:val="auto"/>
          <w:spacing w:val="-2"/>
          <w:sz w:val="24"/>
          <w:szCs w:val="24"/>
          <w:highlight w:val="none"/>
        </w:rPr>
        <w:t>渗滤液</w:t>
      </w:r>
      <w:r>
        <w:rPr>
          <w:rFonts w:hint="default" w:ascii="Times New Roman" w:hAnsi="Times New Roman" w:eastAsia="宋体" w:cs="Times New Roman"/>
          <w:color w:val="auto"/>
          <w:spacing w:val="-3"/>
          <w:sz w:val="24"/>
          <w:szCs w:val="24"/>
          <w:highlight w:val="none"/>
        </w:rPr>
        <w:t>产生量为</w:t>
      </w:r>
      <w:r>
        <w:rPr>
          <w:rFonts w:hint="default" w:ascii="Times New Roman" w:hAnsi="Times New Roman" w:eastAsia="宋体" w:cs="Times New Roman"/>
          <w:color w:val="auto"/>
          <w:spacing w:val="-3"/>
          <w:sz w:val="24"/>
          <w:szCs w:val="24"/>
          <w:highlight w:val="none"/>
          <w:lang w:val="en-US" w:eastAsia="zh-CN"/>
        </w:rPr>
        <w:t>1720</w:t>
      </w:r>
      <w:r>
        <w:rPr>
          <w:rFonts w:hint="default" w:ascii="Times New Roman" w:hAnsi="Times New Roman" w:eastAsia="Times New Roman" w:cs="Times New Roman"/>
          <w:color w:val="auto"/>
          <w:spacing w:val="-3"/>
          <w:sz w:val="24"/>
          <w:szCs w:val="24"/>
          <w:highlight w:val="none"/>
        </w:rPr>
        <w:t>m</w:t>
      </w:r>
      <w:r>
        <w:rPr>
          <w:rFonts w:hint="default" w:ascii="Times New Roman" w:hAnsi="Times New Roman" w:eastAsia="Times New Roman" w:cs="Times New Roman"/>
          <w:color w:val="auto"/>
          <w:spacing w:val="-3"/>
          <w:position w:val="10"/>
          <w:sz w:val="16"/>
          <w:szCs w:val="16"/>
          <w:highlight w:val="none"/>
        </w:rPr>
        <w:t>3</w:t>
      </w:r>
      <w:r>
        <w:rPr>
          <w:rFonts w:hint="default" w:ascii="Times New Roman" w:hAnsi="Times New Roman" w:eastAsia="Times New Roman" w:cs="Times New Roman"/>
          <w:color w:val="auto"/>
          <w:spacing w:val="-3"/>
          <w:sz w:val="24"/>
          <w:szCs w:val="24"/>
          <w:highlight w:val="none"/>
        </w:rPr>
        <w:t>/a</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lang w:val="en-US" w:eastAsia="zh-CN"/>
        </w:rPr>
        <w:t>28.67</w:t>
      </w:r>
      <w:r>
        <w:rPr>
          <w:rFonts w:hint="default" w:ascii="Times New Roman" w:hAnsi="Times New Roman" w:eastAsia="Times New Roman" w:cs="Times New Roman"/>
          <w:color w:val="auto"/>
          <w:spacing w:val="-3"/>
          <w:sz w:val="24"/>
          <w:szCs w:val="24"/>
          <w:highlight w:val="none"/>
        </w:rPr>
        <w:t>m</w:t>
      </w:r>
      <w:r>
        <w:rPr>
          <w:rFonts w:hint="default" w:ascii="Times New Roman" w:hAnsi="Times New Roman" w:eastAsia="Times New Roman" w:cs="Times New Roman"/>
          <w:color w:val="auto"/>
          <w:spacing w:val="-3"/>
          <w:position w:val="10"/>
          <w:sz w:val="16"/>
          <w:szCs w:val="16"/>
          <w:highlight w:val="none"/>
        </w:rPr>
        <w:t>3</w:t>
      </w:r>
      <w:r>
        <w:rPr>
          <w:rFonts w:hint="default" w:ascii="Times New Roman" w:hAnsi="Times New Roman" w:eastAsia="Times New Roman" w:cs="Times New Roman"/>
          <w:color w:val="auto"/>
          <w:spacing w:val="-3"/>
          <w:sz w:val="24"/>
          <w:szCs w:val="24"/>
          <w:highlight w:val="none"/>
        </w:rPr>
        <w:t>/d</w:t>
      </w:r>
      <w:r>
        <w:rPr>
          <w:rFonts w:hint="default" w:ascii="Times New Roman" w:hAnsi="Times New Roman" w:eastAsia="宋体" w:cs="Times New Roman"/>
          <w:color w:val="auto"/>
          <w:spacing w:val="-3"/>
          <w:sz w:val="24"/>
          <w:szCs w:val="24"/>
          <w:highlight w:val="none"/>
        </w:rPr>
        <w:t>。主要污染物包括</w:t>
      </w:r>
      <w:r>
        <w:rPr>
          <w:rFonts w:hint="default" w:ascii="Times New Roman" w:hAnsi="Times New Roman" w:eastAsia="Times New Roman" w:cs="Times New Roman"/>
          <w:color w:val="auto"/>
          <w:spacing w:val="-3"/>
          <w:sz w:val="24"/>
          <w:szCs w:val="24"/>
          <w:highlight w:val="none"/>
        </w:rPr>
        <w:t>COD</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BOD</w:t>
      </w:r>
      <w:r>
        <w:rPr>
          <w:rFonts w:hint="default" w:ascii="Times New Roman" w:hAnsi="Times New Roman" w:eastAsia="Times New Roman" w:cs="Times New Roman"/>
          <w:color w:val="auto"/>
          <w:spacing w:val="-3"/>
          <w:sz w:val="24"/>
          <w:szCs w:val="24"/>
          <w:highlight w:val="none"/>
          <w:vertAlign w:val="subscript"/>
        </w:rPr>
        <w:t>5</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NH</w:t>
      </w:r>
      <w:r>
        <w:rPr>
          <w:rFonts w:hint="default" w:ascii="Times New Roman" w:hAnsi="Times New Roman" w:eastAsia="Times New Roman" w:cs="Times New Roman"/>
          <w:color w:val="auto"/>
          <w:spacing w:val="-3"/>
          <w:sz w:val="24"/>
          <w:szCs w:val="24"/>
          <w:highlight w:val="none"/>
          <w:vertAlign w:val="subscript"/>
        </w:rPr>
        <w:t>3</w:t>
      </w:r>
      <w:r>
        <w:rPr>
          <w:rFonts w:hint="default" w:ascii="Times New Roman" w:hAnsi="Times New Roman" w:eastAsia="Times New Roman" w:cs="Times New Roman"/>
          <w:color w:val="auto"/>
          <w:spacing w:val="-3"/>
          <w:sz w:val="24"/>
          <w:szCs w:val="24"/>
          <w:highlight w:val="none"/>
        </w:rPr>
        <w:t>-N</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SS</w:t>
      </w:r>
      <w:r>
        <w:rPr>
          <w:rFonts w:hint="default" w:ascii="Times New Roman" w:hAnsi="Times New Roman" w:eastAsia="宋体" w:cs="Times New Roman"/>
          <w:color w:val="auto"/>
          <w:spacing w:val="-3"/>
          <w:sz w:val="24"/>
          <w:szCs w:val="24"/>
          <w:highlight w:val="none"/>
        </w:rPr>
        <w:t>，污</w:t>
      </w:r>
      <w:r>
        <w:rPr>
          <w:rFonts w:hint="default" w:ascii="Times New Roman" w:hAnsi="Times New Roman" w:eastAsia="宋体" w:cs="Times New Roman"/>
          <w:color w:val="auto"/>
          <w:spacing w:val="-1"/>
          <w:sz w:val="24"/>
          <w:szCs w:val="24"/>
          <w:highlight w:val="none"/>
        </w:rPr>
        <w:t>染物浓度分别为</w:t>
      </w:r>
      <w:r>
        <w:rPr>
          <w:rFonts w:hint="default" w:ascii="Times New Roman" w:hAnsi="Times New Roman" w:eastAsia="Times New Roman" w:cs="Times New Roman"/>
          <w:color w:val="auto"/>
          <w:spacing w:val="-1"/>
          <w:sz w:val="24"/>
          <w:szCs w:val="24"/>
          <w:highlight w:val="none"/>
        </w:rPr>
        <w:t>300mg/L</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150mg/L</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30mg/L</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2"/>
          <w:sz w:val="24"/>
          <w:szCs w:val="24"/>
          <w:highlight w:val="none"/>
        </w:rPr>
        <w:t>800mg/L</w:t>
      </w:r>
      <w:r>
        <w:rPr>
          <w:rFonts w:hint="default" w:ascii="Times New Roman" w:hAnsi="Times New Roman" w:eastAsia="宋体" w:cs="Times New Roman"/>
          <w:color w:val="auto"/>
          <w:spacing w:val="-2"/>
          <w:sz w:val="24"/>
          <w:szCs w:val="24"/>
          <w:highlight w:val="none"/>
        </w:rPr>
        <w:t>。本项目在</w:t>
      </w:r>
      <w:r>
        <w:rPr>
          <w:rFonts w:hint="default" w:ascii="Times New Roman" w:hAnsi="Times New Roman" w:eastAsia="宋体" w:cs="Times New Roman"/>
          <w:color w:val="auto"/>
          <w:spacing w:val="-2"/>
          <w:sz w:val="24"/>
          <w:szCs w:val="24"/>
          <w:highlight w:val="none"/>
          <w:lang w:eastAsia="zh-CN"/>
        </w:rPr>
        <w:t>青贮窖</w:t>
      </w:r>
      <w:r>
        <w:rPr>
          <w:rFonts w:hint="default" w:ascii="Times New Roman" w:hAnsi="Times New Roman" w:eastAsia="宋体" w:cs="Times New Roman"/>
          <w:color w:val="auto"/>
          <w:spacing w:val="-2"/>
          <w:sz w:val="24"/>
          <w:szCs w:val="24"/>
          <w:highlight w:val="none"/>
        </w:rPr>
        <w:t>底设置排</w:t>
      </w:r>
      <w:r>
        <w:rPr>
          <w:rFonts w:hint="default" w:ascii="Times New Roman" w:hAnsi="Times New Roman" w:eastAsia="宋体" w:cs="Times New Roman"/>
          <w:color w:val="auto"/>
          <w:spacing w:val="-4"/>
          <w:sz w:val="24"/>
          <w:szCs w:val="24"/>
          <w:highlight w:val="none"/>
        </w:rPr>
        <w:t>水管道，渗滤液排入青贮液接收池中。</w:t>
      </w:r>
      <w:r>
        <w:rPr>
          <w:rFonts w:hint="default" w:ascii="Times New Roman" w:hAnsi="Times New Roman" w:eastAsia="宋体" w:cs="Times New Roman"/>
          <w:color w:val="FF0000"/>
          <w:spacing w:val="-4"/>
          <w:sz w:val="24"/>
          <w:szCs w:val="24"/>
          <w:highlight w:val="none"/>
        </w:rPr>
        <w:t>采取将</w:t>
      </w:r>
      <w:r>
        <w:rPr>
          <w:rFonts w:hint="default" w:ascii="Times New Roman" w:hAnsi="Times New Roman" w:eastAsia="宋体" w:cs="Times New Roman"/>
          <w:color w:val="FF0000"/>
          <w:spacing w:val="-4"/>
          <w:sz w:val="24"/>
          <w:szCs w:val="24"/>
          <w:highlight w:val="none"/>
          <w:lang w:eastAsia="zh-CN"/>
        </w:rPr>
        <w:t>青贮窖</w:t>
      </w:r>
      <w:r>
        <w:rPr>
          <w:rFonts w:hint="default" w:ascii="Times New Roman" w:hAnsi="Times New Roman" w:eastAsia="宋体" w:cs="Times New Roman"/>
          <w:color w:val="FF0000"/>
          <w:spacing w:val="-4"/>
          <w:sz w:val="24"/>
          <w:szCs w:val="24"/>
          <w:highlight w:val="none"/>
        </w:rPr>
        <w:t>渗滤液一部分与水按</w:t>
      </w:r>
      <w:r>
        <w:rPr>
          <w:rFonts w:hint="default" w:ascii="Times New Roman" w:hAnsi="Times New Roman" w:eastAsia="Times New Roman" w:cs="Times New Roman"/>
          <w:color w:val="FF0000"/>
          <w:spacing w:val="-4"/>
          <w:sz w:val="24"/>
          <w:szCs w:val="24"/>
          <w:highlight w:val="none"/>
        </w:rPr>
        <w:t>1:2</w:t>
      </w:r>
      <w:r>
        <w:rPr>
          <w:rFonts w:hint="default" w:ascii="Times New Roman" w:hAnsi="Times New Roman" w:eastAsia="宋体" w:cs="Times New Roman"/>
          <w:color w:val="FF0000"/>
          <w:spacing w:val="-4"/>
          <w:sz w:val="24"/>
          <w:szCs w:val="24"/>
          <w:highlight w:val="none"/>
        </w:rPr>
        <w:t>比例配</w:t>
      </w:r>
      <w:r>
        <w:rPr>
          <w:rFonts w:hint="default" w:ascii="Times New Roman" w:hAnsi="Times New Roman" w:eastAsia="宋体" w:cs="Times New Roman"/>
          <w:color w:val="FF0000"/>
          <w:spacing w:val="-2"/>
          <w:sz w:val="24"/>
          <w:szCs w:val="24"/>
          <w:highlight w:val="none"/>
        </w:rPr>
        <w:t>合代替水饮喂肉牛</w:t>
      </w:r>
      <w:r>
        <w:rPr>
          <w:rFonts w:hint="default" w:ascii="Times New Roman" w:hAnsi="Times New Roman" w:eastAsia="宋体" w:cs="Times New Roman"/>
          <w:color w:val="FF0000"/>
          <w:spacing w:val="-1"/>
          <w:sz w:val="24"/>
          <w:szCs w:val="24"/>
          <w:highlight w:val="none"/>
        </w:rPr>
        <w:t>；其余部分与</w:t>
      </w:r>
      <w:r>
        <w:rPr>
          <w:rFonts w:hint="default" w:ascii="Times New Roman" w:hAnsi="Times New Roman" w:eastAsia="宋体" w:cs="Times New Roman"/>
          <w:color w:val="FF0000"/>
          <w:spacing w:val="-2"/>
          <w:sz w:val="24"/>
          <w:szCs w:val="24"/>
          <w:highlight w:val="none"/>
        </w:rPr>
        <w:t>精料按比例配合饲喂肉牛，其味道酸甜，可促</w:t>
      </w:r>
      <w:r>
        <w:rPr>
          <w:rFonts w:hint="default" w:ascii="Times New Roman" w:hAnsi="Times New Roman" w:eastAsia="宋体" w:cs="Times New Roman"/>
          <w:color w:val="FF0000"/>
          <w:spacing w:val="-6"/>
          <w:sz w:val="24"/>
          <w:szCs w:val="24"/>
          <w:highlight w:val="none"/>
        </w:rPr>
        <w:t>进食欲，但须随配随用，以免发霉。冬季不进行玉</w:t>
      </w:r>
      <w:r>
        <w:rPr>
          <w:rFonts w:hint="default" w:ascii="Times New Roman" w:hAnsi="Times New Roman" w:eastAsia="宋体" w:cs="Times New Roman"/>
          <w:color w:val="FF0000"/>
          <w:spacing w:val="-7"/>
          <w:sz w:val="24"/>
          <w:szCs w:val="24"/>
          <w:highlight w:val="none"/>
        </w:rPr>
        <w:t>米秸秆青贮发酵生产，无渗滤液产</w:t>
      </w:r>
      <w:r>
        <w:rPr>
          <w:rFonts w:hint="default" w:ascii="Times New Roman" w:hAnsi="Times New Roman" w:eastAsia="宋体" w:cs="Times New Roman"/>
          <w:color w:val="FF0000"/>
          <w:spacing w:val="-11"/>
          <w:sz w:val="24"/>
          <w:szCs w:val="24"/>
          <w:highlight w:val="none"/>
        </w:rPr>
        <w:t>生。</w:t>
      </w:r>
    </w:p>
    <w:p w14:paraId="1D0B0B3D">
      <w:pPr>
        <w:pStyle w:val="24"/>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436" w:firstLineChars="200"/>
        <w:textAlignment w:val="baseline"/>
        <w:rPr>
          <w:rFonts w:hint="default" w:ascii="Times New Roman" w:hAnsi="Times New Roman" w:eastAsia="宋体" w:cs="Times New Roman"/>
          <w:color w:val="auto"/>
          <w:spacing w:val="-11"/>
          <w:sz w:val="24"/>
          <w:szCs w:val="24"/>
          <w:highlight w:val="none"/>
          <w:lang w:val="en-US" w:eastAsia="zh-CN"/>
        </w:rPr>
      </w:pPr>
      <w:r>
        <w:rPr>
          <w:rFonts w:hint="default" w:ascii="Times New Roman" w:hAnsi="Times New Roman" w:eastAsia="宋体" w:cs="Times New Roman"/>
          <w:snapToGrid w:val="0"/>
          <w:color w:val="auto"/>
          <w:spacing w:val="-11"/>
          <w:kern w:val="0"/>
          <w:sz w:val="24"/>
          <w:szCs w:val="24"/>
          <w:highlight w:val="none"/>
          <w:lang w:val="en-US" w:eastAsia="zh-CN" w:bidi="ar-SA"/>
        </w:rPr>
        <w:t>（4）</w:t>
      </w:r>
      <w:r>
        <w:rPr>
          <w:rFonts w:hint="default" w:ascii="Times New Roman" w:hAnsi="Times New Roman" w:eastAsia="宋体" w:cs="Times New Roman"/>
          <w:color w:val="auto"/>
          <w:spacing w:val="-11"/>
          <w:sz w:val="24"/>
          <w:szCs w:val="24"/>
          <w:highlight w:val="none"/>
          <w:lang w:val="en-US" w:eastAsia="zh-CN"/>
        </w:rPr>
        <w:t>初期雨水</w:t>
      </w:r>
    </w:p>
    <w:p w14:paraId="16346BA8">
      <w:pPr>
        <w:pStyle w:val="40"/>
        <w:keepNext w:val="0"/>
        <w:keepLines w:val="0"/>
        <w:pageBreakBefore w:val="0"/>
        <w:widowControl/>
        <w:kinsoku w:val="0"/>
        <w:wordWrap/>
        <w:overflowPunct/>
        <w:topLinePunct w:val="0"/>
        <w:autoSpaceDE w:val="0"/>
        <w:autoSpaceDN w:val="0"/>
        <w:bidi w:val="0"/>
        <w:spacing w:line="360" w:lineRule="auto"/>
        <w:ind w:firstLine="480" w:firstLineChars="200"/>
        <w:textAlignment w:val="baseline"/>
        <w:rPr>
          <w:rFonts w:hint="default" w:ascii="Times New Roman" w:hAnsi="Times New Roman" w:eastAsia="宋体" w:cs="Times New Roman"/>
          <w:snapToGrid w:val="0"/>
          <w:color w:val="auto"/>
          <w:kern w:val="0"/>
          <w:sz w:val="24"/>
          <w:szCs w:val="21"/>
          <w:highlight w:val="green"/>
          <w:lang w:val="en-US" w:eastAsia="zh-CN" w:bidi="ar-SA"/>
        </w:rPr>
        <w:sectPr>
          <w:headerReference r:id="rId17" w:type="default"/>
          <w:footerReference r:id="rId18"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r>
        <w:rPr>
          <w:rFonts w:hint="default" w:ascii="Times New Roman" w:hAnsi="Times New Roman" w:eastAsia="宋体" w:cs="Times New Roman"/>
          <w:snapToGrid w:val="0"/>
          <w:color w:val="auto"/>
          <w:kern w:val="0"/>
          <w:sz w:val="24"/>
          <w:szCs w:val="21"/>
          <w:highlight w:val="none"/>
          <w:lang w:val="en-US" w:eastAsia="zh-CN" w:bidi="ar-SA"/>
        </w:rPr>
        <w:t>经以上公式计算得出厂区场地15min内收集的初期雨水量为371.9m</w:t>
      </w:r>
      <w:r>
        <w:rPr>
          <w:rFonts w:hint="default" w:ascii="Times New Roman" w:hAnsi="Times New Roman" w:eastAsia="宋体" w:cs="Times New Roman"/>
          <w:snapToGrid w:val="0"/>
          <w:color w:val="auto"/>
          <w:kern w:val="0"/>
          <w:sz w:val="24"/>
          <w:szCs w:val="21"/>
          <w:highlight w:val="none"/>
          <w:vertAlign w:val="superscript"/>
          <w:lang w:val="en-US" w:eastAsia="zh-CN" w:bidi="ar-SA"/>
        </w:rPr>
        <w:t>3</w:t>
      </w:r>
      <w:r>
        <w:rPr>
          <w:rFonts w:hint="default" w:ascii="Times New Roman" w:hAnsi="Times New Roman" w:eastAsia="宋体" w:cs="Times New Roman"/>
          <w:snapToGrid w:val="0"/>
          <w:color w:val="auto"/>
          <w:kern w:val="0"/>
          <w:sz w:val="24"/>
          <w:szCs w:val="21"/>
          <w:highlight w:val="none"/>
          <w:lang w:val="en-US" w:eastAsia="zh-CN" w:bidi="ar-SA"/>
        </w:rPr>
        <w:t>。则初期雨水经厂区</w:t>
      </w:r>
      <w:r>
        <w:rPr>
          <w:rFonts w:hint="eastAsia" w:ascii="Times New Roman" w:hAnsi="Times New Roman" w:eastAsia="宋体" w:cs="Times New Roman"/>
          <w:snapToGrid w:val="0"/>
          <w:color w:val="auto"/>
          <w:kern w:val="0"/>
          <w:sz w:val="24"/>
          <w:szCs w:val="21"/>
          <w:highlight w:val="none"/>
          <w:lang w:val="en-US" w:eastAsia="zh-CN" w:bidi="ar-SA"/>
        </w:rPr>
        <w:t>引流</w:t>
      </w:r>
      <w:r>
        <w:rPr>
          <w:rFonts w:hint="default" w:ascii="Times New Roman" w:hAnsi="Times New Roman" w:eastAsia="宋体" w:cs="Times New Roman"/>
          <w:snapToGrid w:val="0"/>
          <w:color w:val="auto"/>
          <w:kern w:val="0"/>
          <w:sz w:val="24"/>
          <w:szCs w:val="21"/>
          <w:highlight w:val="none"/>
          <w:lang w:val="en-US" w:eastAsia="zh-CN" w:bidi="ar-SA"/>
        </w:rPr>
        <w:t>沟汇入厂区一座500m</w:t>
      </w:r>
      <w:r>
        <w:rPr>
          <w:rFonts w:hint="default" w:ascii="Times New Roman" w:hAnsi="Times New Roman" w:eastAsia="宋体" w:cs="Times New Roman"/>
          <w:snapToGrid w:val="0"/>
          <w:color w:val="auto"/>
          <w:kern w:val="0"/>
          <w:sz w:val="24"/>
          <w:szCs w:val="21"/>
          <w:highlight w:val="none"/>
          <w:vertAlign w:val="superscript"/>
          <w:lang w:val="en-US" w:eastAsia="zh-CN" w:bidi="ar-SA"/>
        </w:rPr>
        <w:t>3</w:t>
      </w:r>
      <w:r>
        <w:rPr>
          <w:rFonts w:hint="default" w:ascii="Times New Roman" w:hAnsi="Times New Roman" w:eastAsia="宋体" w:cs="Times New Roman"/>
          <w:snapToGrid w:val="0"/>
          <w:color w:val="auto"/>
          <w:kern w:val="0"/>
          <w:sz w:val="24"/>
          <w:szCs w:val="21"/>
          <w:highlight w:val="none"/>
          <w:lang w:val="en-US" w:eastAsia="zh-CN" w:bidi="ar-SA"/>
        </w:rPr>
        <w:t>初期雨水收集池内，</w:t>
      </w:r>
      <w:r>
        <w:rPr>
          <w:rFonts w:hint="default" w:ascii="Times New Roman" w:hAnsi="Times New Roman" w:eastAsia="宋体" w:cs="Times New Roman"/>
          <w:snapToGrid w:val="0"/>
          <w:color w:val="auto"/>
          <w:kern w:val="0"/>
          <w:sz w:val="24"/>
          <w:szCs w:val="21"/>
          <w:highlight w:val="green"/>
          <w:lang w:val="en-US" w:eastAsia="zh-CN" w:bidi="ar-SA"/>
        </w:rPr>
        <w:t>雨水</w:t>
      </w:r>
      <w:r>
        <w:rPr>
          <w:rFonts w:hint="eastAsia" w:ascii="Times New Roman" w:hAnsi="Times New Roman" w:eastAsia="宋体" w:cs="Times New Roman"/>
          <w:snapToGrid w:val="0"/>
          <w:color w:val="auto"/>
          <w:kern w:val="0"/>
          <w:sz w:val="24"/>
          <w:szCs w:val="21"/>
          <w:highlight w:val="green"/>
          <w:lang w:val="en-US" w:eastAsia="zh-CN" w:bidi="ar-SA"/>
        </w:rPr>
        <w:t>收集后拉运至</w:t>
      </w:r>
      <w:r>
        <w:rPr>
          <w:rFonts w:hint="default" w:ascii="Times New Roman" w:hAnsi="Times New Roman" w:eastAsia="宋体" w:cs="Times New Roman"/>
          <w:snapToGrid w:val="0"/>
          <w:color w:val="auto"/>
          <w:kern w:val="0"/>
          <w:sz w:val="24"/>
          <w:szCs w:val="21"/>
          <w:highlight w:val="green"/>
          <w:lang w:val="en-US" w:eastAsia="zh-CN" w:bidi="ar-SA"/>
        </w:rPr>
        <w:t>集贤县碧蓝新环境治理有限责任公司</w:t>
      </w:r>
      <w:r>
        <w:rPr>
          <w:rFonts w:hint="eastAsia" w:ascii="Times New Roman" w:hAnsi="Times New Roman" w:eastAsia="宋体" w:cs="Times New Roman"/>
          <w:snapToGrid w:val="0"/>
          <w:color w:val="auto"/>
          <w:kern w:val="0"/>
          <w:sz w:val="24"/>
          <w:szCs w:val="21"/>
          <w:highlight w:val="green"/>
          <w:lang w:val="en-US" w:eastAsia="zh-CN" w:bidi="ar-SA"/>
        </w:rPr>
        <w:t>进行处理，运动场周围设置围堰，围堰高度40cm，运动场上面设置挡雨棚，牛舍与运动场四周设置雨水导流沟，收集的雨水排入雨水管网:</w:t>
      </w:r>
    </w:p>
    <w:p w14:paraId="70CE7D9F">
      <w:pPr>
        <w:jc w:val="center"/>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rPr>
        <w:t>表3</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宋体" w:cs="Times New Roman"/>
          <w:b/>
          <w:bCs/>
          <w:color w:val="auto"/>
          <w:spacing w:val="-1"/>
          <w:sz w:val="24"/>
          <w:szCs w:val="24"/>
          <w:highlight w:val="none"/>
        </w:rPr>
        <w:t>-</w:t>
      </w:r>
      <w:r>
        <w:rPr>
          <w:rFonts w:hint="default"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宋体" w:cs="Times New Roman"/>
          <w:b/>
          <w:bCs/>
          <w:color w:val="auto"/>
          <w:spacing w:val="-1"/>
          <w:sz w:val="24"/>
          <w:szCs w:val="24"/>
          <w:highlight w:val="none"/>
        </w:rPr>
        <w:t xml:space="preserve"> 废水产生</w:t>
      </w:r>
      <w:r>
        <w:rPr>
          <w:rFonts w:hint="default" w:ascii="Times New Roman" w:hAnsi="Times New Roman" w:eastAsia="宋体" w:cs="Times New Roman"/>
          <w:b/>
          <w:bCs/>
          <w:color w:val="auto"/>
          <w:spacing w:val="-1"/>
          <w:sz w:val="24"/>
          <w:szCs w:val="24"/>
          <w:highlight w:val="none"/>
          <w:lang w:val="en-US" w:eastAsia="zh-CN"/>
        </w:rPr>
        <w:t>源强一览表</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10"/>
        <w:gridCol w:w="963"/>
        <w:gridCol w:w="1143"/>
        <w:gridCol w:w="1071"/>
        <w:gridCol w:w="786"/>
        <w:gridCol w:w="1343"/>
        <w:gridCol w:w="914"/>
        <w:gridCol w:w="944"/>
        <w:gridCol w:w="1731"/>
        <w:gridCol w:w="581"/>
        <w:gridCol w:w="673"/>
        <w:gridCol w:w="1328"/>
        <w:gridCol w:w="1100"/>
        <w:gridCol w:w="887"/>
      </w:tblGrid>
      <w:tr w14:paraId="143485A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250" w:type="pct"/>
            <w:vMerge w:val="restart"/>
            <w:vAlign w:val="center"/>
          </w:tcPr>
          <w:p w14:paraId="5FEE9E77">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工序</w:t>
            </w:r>
          </w:p>
        </w:tc>
        <w:tc>
          <w:tcPr>
            <w:tcW w:w="339" w:type="pct"/>
            <w:vMerge w:val="restart"/>
            <w:vAlign w:val="center"/>
          </w:tcPr>
          <w:p w14:paraId="19DA54D4">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装置</w:t>
            </w:r>
          </w:p>
        </w:tc>
        <w:tc>
          <w:tcPr>
            <w:tcW w:w="403" w:type="pct"/>
            <w:vMerge w:val="restart"/>
            <w:vAlign w:val="center"/>
          </w:tcPr>
          <w:p w14:paraId="0E80DB02">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污染源</w:t>
            </w:r>
          </w:p>
        </w:tc>
        <w:tc>
          <w:tcPr>
            <w:tcW w:w="377" w:type="pct"/>
            <w:vMerge w:val="restart"/>
            <w:vAlign w:val="center"/>
          </w:tcPr>
          <w:p w14:paraId="7BD3D2BE">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污染物</w:t>
            </w:r>
          </w:p>
        </w:tc>
        <w:tc>
          <w:tcPr>
            <w:tcW w:w="1406" w:type="pct"/>
            <w:gridSpan w:val="4"/>
            <w:vAlign w:val="center"/>
          </w:tcPr>
          <w:p w14:paraId="159A8E1F">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污染物产生</w:t>
            </w:r>
          </w:p>
        </w:tc>
        <w:tc>
          <w:tcPr>
            <w:tcW w:w="815" w:type="pct"/>
            <w:gridSpan w:val="2"/>
            <w:vAlign w:val="center"/>
          </w:tcPr>
          <w:p w14:paraId="2BD22848">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治理措施</w:t>
            </w:r>
          </w:p>
        </w:tc>
        <w:tc>
          <w:tcPr>
            <w:tcW w:w="1406" w:type="pct"/>
            <w:gridSpan w:val="4"/>
            <w:vAlign w:val="center"/>
          </w:tcPr>
          <w:p w14:paraId="262458B4">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污染物排放</w:t>
            </w:r>
          </w:p>
        </w:tc>
      </w:tr>
      <w:tr w14:paraId="05DF1DB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250" w:type="pct"/>
            <w:vMerge w:val="continue"/>
            <w:vAlign w:val="center"/>
          </w:tcPr>
          <w:p w14:paraId="4221748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p>
        </w:tc>
        <w:tc>
          <w:tcPr>
            <w:tcW w:w="339" w:type="pct"/>
            <w:vMerge w:val="continue"/>
            <w:vAlign w:val="center"/>
          </w:tcPr>
          <w:p w14:paraId="4DCE45A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p>
        </w:tc>
        <w:tc>
          <w:tcPr>
            <w:tcW w:w="403" w:type="pct"/>
            <w:vMerge w:val="continue"/>
            <w:vAlign w:val="center"/>
          </w:tcPr>
          <w:p w14:paraId="17F0B12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p>
        </w:tc>
        <w:tc>
          <w:tcPr>
            <w:tcW w:w="377" w:type="pct"/>
            <w:vMerge w:val="continue"/>
            <w:vAlign w:val="center"/>
          </w:tcPr>
          <w:p w14:paraId="6E6C485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p>
        </w:tc>
        <w:tc>
          <w:tcPr>
            <w:tcW w:w="277" w:type="pct"/>
            <w:vAlign w:val="center"/>
          </w:tcPr>
          <w:p w14:paraId="37BBA23F">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核算方法</w:t>
            </w:r>
          </w:p>
        </w:tc>
        <w:tc>
          <w:tcPr>
            <w:tcW w:w="473" w:type="pct"/>
            <w:vAlign w:val="center"/>
          </w:tcPr>
          <w:p w14:paraId="06041A36">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产生废水量</w:t>
            </w:r>
          </w:p>
          <w:p w14:paraId="21D2E564">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t/a</w:t>
            </w:r>
          </w:p>
        </w:tc>
        <w:tc>
          <w:tcPr>
            <w:tcW w:w="322" w:type="pct"/>
            <w:vAlign w:val="center"/>
          </w:tcPr>
          <w:p w14:paraId="4E7D860E">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产生浓度</w:t>
            </w:r>
          </w:p>
          <w:p w14:paraId="56C56ABF">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mg/L</w:t>
            </w:r>
          </w:p>
        </w:tc>
        <w:tc>
          <w:tcPr>
            <w:tcW w:w="333" w:type="pct"/>
            <w:vAlign w:val="center"/>
          </w:tcPr>
          <w:p w14:paraId="072823DE">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产生量</w:t>
            </w:r>
          </w:p>
          <w:p w14:paraId="7A3484B2">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t/a</w:t>
            </w:r>
          </w:p>
        </w:tc>
        <w:tc>
          <w:tcPr>
            <w:tcW w:w="610" w:type="pct"/>
            <w:vAlign w:val="center"/>
          </w:tcPr>
          <w:p w14:paraId="61A86D4C">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工艺</w:t>
            </w:r>
          </w:p>
        </w:tc>
        <w:tc>
          <w:tcPr>
            <w:tcW w:w="204" w:type="pct"/>
            <w:vAlign w:val="center"/>
          </w:tcPr>
          <w:p w14:paraId="7D9BF707">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效率%</w:t>
            </w:r>
          </w:p>
        </w:tc>
        <w:tc>
          <w:tcPr>
            <w:tcW w:w="237" w:type="pct"/>
            <w:vAlign w:val="center"/>
          </w:tcPr>
          <w:p w14:paraId="5FE8139D">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核算方法</w:t>
            </w:r>
          </w:p>
        </w:tc>
        <w:tc>
          <w:tcPr>
            <w:tcW w:w="468" w:type="pct"/>
            <w:vAlign w:val="center"/>
          </w:tcPr>
          <w:p w14:paraId="5DC29C26">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排放废水量</w:t>
            </w:r>
          </w:p>
          <w:p w14:paraId="3496C9BB">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t/a</w:t>
            </w:r>
          </w:p>
        </w:tc>
        <w:tc>
          <w:tcPr>
            <w:tcW w:w="388" w:type="pct"/>
            <w:vAlign w:val="center"/>
          </w:tcPr>
          <w:p w14:paraId="158F72F2">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排放浓度</w:t>
            </w:r>
          </w:p>
          <w:p w14:paraId="5532639A">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mg/L</w:t>
            </w:r>
          </w:p>
        </w:tc>
        <w:tc>
          <w:tcPr>
            <w:tcW w:w="312" w:type="pct"/>
            <w:vAlign w:val="center"/>
          </w:tcPr>
          <w:p w14:paraId="0D68EF83">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排放量</w:t>
            </w:r>
          </w:p>
          <w:p w14:paraId="0A14575B">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t/a</w:t>
            </w:r>
          </w:p>
        </w:tc>
      </w:tr>
      <w:tr w14:paraId="0B0DFEA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250" w:type="pct"/>
            <w:vMerge w:val="restart"/>
            <w:vAlign w:val="center"/>
          </w:tcPr>
          <w:p w14:paraId="08A722AA">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生产</w:t>
            </w:r>
          </w:p>
        </w:tc>
        <w:tc>
          <w:tcPr>
            <w:tcW w:w="339" w:type="pct"/>
            <w:vMerge w:val="restart"/>
            <w:vAlign w:val="center"/>
          </w:tcPr>
          <w:p w14:paraId="3A6A6FAE">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eastAsia="zh-CN"/>
              </w:rPr>
            </w:pPr>
            <w:r>
              <w:rPr>
                <w:rFonts w:hint="default" w:ascii="Times New Roman" w:hAnsi="Times New Roman" w:eastAsia="宋体" w:cs="Times New Roman"/>
                <w:snapToGrid w:val="0"/>
                <w:color w:val="auto"/>
                <w:sz w:val="21"/>
                <w:szCs w:val="21"/>
                <w:highlight w:val="none"/>
                <w:lang w:val="en-US" w:eastAsia="zh-CN"/>
              </w:rPr>
              <w:t>牛舍</w:t>
            </w:r>
          </w:p>
        </w:tc>
        <w:tc>
          <w:tcPr>
            <w:tcW w:w="403" w:type="pct"/>
            <w:vMerge w:val="restart"/>
            <w:vAlign w:val="center"/>
          </w:tcPr>
          <w:p w14:paraId="4CB44292">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lang w:val="en-US" w:eastAsia="zh-CN"/>
              </w:rPr>
              <w:t>牛尿</w:t>
            </w:r>
          </w:p>
        </w:tc>
        <w:tc>
          <w:tcPr>
            <w:tcW w:w="377" w:type="pct"/>
            <w:vAlign w:val="center"/>
          </w:tcPr>
          <w:p w14:paraId="6D7B3FB6">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COD</w:t>
            </w:r>
          </w:p>
        </w:tc>
        <w:tc>
          <w:tcPr>
            <w:tcW w:w="277" w:type="pct"/>
            <w:vMerge w:val="restart"/>
            <w:vAlign w:val="center"/>
          </w:tcPr>
          <w:p w14:paraId="67C6C643">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产污系数法</w:t>
            </w:r>
          </w:p>
        </w:tc>
        <w:tc>
          <w:tcPr>
            <w:tcW w:w="473" w:type="pct"/>
            <w:vMerge w:val="restart"/>
            <w:vAlign w:val="center"/>
          </w:tcPr>
          <w:p w14:paraId="57C62F9C">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18250</w:t>
            </w:r>
          </w:p>
        </w:tc>
        <w:tc>
          <w:tcPr>
            <w:tcW w:w="322" w:type="pct"/>
            <w:vAlign w:val="center"/>
          </w:tcPr>
          <w:p w14:paraId="3122A57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rPr>
              <w:t>887</w:t>
            </w:r>
          </w:p>
        </w:tc>
        <w:tc>
          <w:tcPr>
            <w:tcW w:w="333" w:type="pct"/>
            <w:vAlign w:val="center"/>
          </w:tcPr>
          <w:p w14:paraId="7F979A4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i w:val="0"/>
                <w:iCs w:val="0"/>
                <w:color w:val="auto"/>
                <w:kern w:val="0"/>
                <w:sz w:val="21"/>
                <w:szCs w:val="21"/>
                <w:highlight w:val="none"/>
                <w:u w:val="none"/>
                <w:lang w:val="en-US" w:eastAsia="zh-CN" w:bidi="ar"/>
              </w:rPr>
              <w:t>16.19</w:t>
            </w:r>
          </w:p>
        </w:tc>
        <w:tc>
          <w:tcPr>
            <w:tcW w:w="610" w:type="pct"/>
            <w:vMerge w:val="restart"/>
            <w:vAlign w:val="center"/>
          </w:tcPr>
          <w:p w14:paraId="4F713B0E">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rPr>
            </w:pPr>
            <w:r>
              <w:rPr>
                <w:rFonts w:hint="default" w:ascii="Times New Roman" w:hAnsi="Times New Roman" w:eastAsia="宋体" w:cs="Times New Roman"/>
                <w:snapToGrid w:val="0"/>
                <w:color w:val="auto"/>
                <w:sz w:val="21"/>
                <w:szCs w:val="21"/>
                <w:highlight w:val="none"/>
                <w:lang w:val="en-US"/>
              </w:rPr>
              <w:t>牛舍均采用干撒式发酵床工艺</w:t>
            </w:r>
            <w:r>
              <w:rPr>
                <w:rFonts w:hint="default" w:ascii="Times New Roman" w:hAnsi="Times New Roman" w:eastAsia="宋体" w:cs="Times New Roman"/>
                <w:snapToGrid w:val="0"/>
                <w:color w:val="auto"/>
                <w:sz w:val="21"/>
                <w:szCs w:val="21"/>
                <w:highlight w:val="none"/>
                <w:lang w:val="en-US" w:eastAsia="zh-CN"/>
              </w:rPr>
              <w:t>，牛舍产生的牛尿一部分供微生物繁殖使用，一部分被升温转换为气体排出发酵床，不外排</w:t>
            </w:r>
          </w:p>
        </w:tc>
        <w:tc>
          <w:tcPr>
            <w:tcW w:w="204" w:type="pct"/>
            <w:vMerge w:val="restart"/>
            <w:vAlign w:val="center"/>
          </w:tcPr>
          <w:p w14:paraId="787BACE6">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w:t>
            </w:r>
          </w:p>
        </w:tc>
        <w:tc>
          <w:tcPr>
            <w:tcW w:w="237" w:type="pct"/>
            <w:vMerge w:val="restart"/>
            <w:vAlign w:val="center"/>
          </w:tcPr>
          <w:p w14:paraId="0B90ECBE">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w:t>
            </w:r>
          </w:p>
        </w:tc>
        <w:tc>
          <w:tcPr>
            <w:tcW w:w="468" w:type="pct"/>
            <w:vMerge w:val="restart"/>
            <w:vAlign w:val="center"/>
          </w:tcPr>
          <w:p w14:paraId="4D6F9A46">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w:t>
            </w:r>
          </w:p>
        </w:tc>
        <w:tc>
          <w:tcPr>
            <w:tcW w:w="388" w:type="pct"/>
            <w:vMerge w:val="restart"/>
            <w:vAlign w:val="center"/>
          </w:tcPr>
          <w:p w14:paraId="79AD3FF4">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w:t>
            </w:r>
          </w:p>
        </w:tc>
        <w:tc>
          <w:tcPr>
            <w:tcW w:w="312" w:type="pct"/>
            <w:vMerge w:val="restart"/>
            <w:vAlign w:val="center"/>
          </w:tcPr>
          <w:p w14:paraId="318F2496">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w:t>
            </w:r>
          </w:p>
        </w:tc>
      </w:tr>
      <w:tr w14:paraId="13C7B0D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250" w:type="pct"/>
            <w:vMerge w:val="continue"/>
            <w:vAlign w:val="center"/>
          </w:tcPr>
          <w:p w14:paraId="7A1B5557">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39" w:type="pct"/>
            <w:vMerge w:val="continue"/>
            <w:vAlign w:val="center"/>
          </w:tcPr>
          <w:p w14:paraId="732EEC19">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03" w:type="pct"/>
            <w:vMerge w:val="continue"/>
            <w:vAlign w:val="center"/>
          </w:tcPr>
          <w:p w14:paraId="373F964F">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77" w:type="pct"/>
            <w:vAlign w:val="center"/>
          </w:tcPr>
          <w:p w14:paraId="081F3F7C">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总氮</w:t>
            </w:r>
          </w:p>
        </w:tc>
        <w:tc>
          <w:tcPr>
            <w:tcW w:w="277" w:type="pct"/>
            <w:vMerge w:val="continue"/>
            <w:vAlign w:val="center"/>
          </w:tcPr>
          <w:p w14:paraId="4839785A">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73" w:type="pct"/>
            <w:vMerge w:val="continue"/>
            <w:vAlign w:val="center"/>
          </w:tcPr>
          <w:p w14:paraId="60CF35F4">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kern w:val="0"/>
                <w:sz w:val="21"/>
                <w:szCs w:val="21"/>
                <w:highlight w:val="none"/>
              </w:rPr>
            </w:pPr>
          </w:p>
        </w:tc>
        <w:tc>
          <w:tcPr>
            <w:tcW w:w="322" w:type="pct"/>
            <w:vAlign w:val="center"/>
          </w:tcPr>
          <w:p w14:paraId="1DEC846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rPr>
              <w:t>41.1</w:t>
            </w:r>
          </w:p>
        </w:tc>
        <w:tc>
          <w:tcPr>
            <w:tcW w:w="333" w:type="pct"/>
            <w:vAlign w:val="center"/>
          </w:tcPr>
          <w:p w14:paraId="1CD65DF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i w:val="0"/>
                <w:iCs w:val="0"/>
                <w:color w:val="auto"/>
                <w:kern w:val="0"/>
                <w:sz w:val="21"/>
                <w:szCs w:val="21"/>
                <w:highlight w:val="none"/>
                <w:u w:val="none"/>
                <w:lang w:val="en-US" w:eastAsia="zh-CN" w:bidi="ar"/>
              </w:rPr>
              <w:t>0.750</w:t>
            </w:r>
          </w:p>
        </w:tc>
        <w:tc>
          <w:tcPr>
            <w:tcW w:w="610" w:type="pct"/>
            <w:vMerge w:val="continue"/>
            <w:vAlign w:val="center"/>
          </w:tcPr>
          <w:p w14:paraId="155E30B9">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204" w:type="pct"/>
            <w:vMerge w:val="continue"/>
            <w:vAlign w:val="center"/>
          </w:tcPr>
          <w:p w14:paraId="11249E78">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37" w:type="pct"/>
            <w:vMerge w:val="continue"/>
            <w:vAlign w:val="center"/>
          </w:tcPr>
          <w:p w14:paraId="51BADB2A">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68" w:type="pct"/>
            <w:vMerge w:val="continue"/>
            <w:vAlign w:val="center"/>
          </w:tcPr>
          <w:p w14:paraId="64F688AB">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8" w:type="pct"/>
            <w:vMerge w:val="continue"/>
            <w:vAlign w:val="center"/>
          </w:tcPr>
          <w:p w14:paraId="3BA47602">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12" w:type="pct"/>
            <w:vMerge w:val="continue"/>
            <w:vAlign w:val="center"/>
          </w:tcPr>
          <w:p w14:paraId="420A287C">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r>
      <w:tr w14:paraId="2EFF5A5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250" w:type="pct"/>
            <w:vMerge w:val="continue"/>
            <w:vAlign w:val="center"/>
          </w:tcPr>
          <w:p w14:paraId="30988E4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39" w:type="pct"/>
            <w:vMerge w:val="continue"/>
            <w:vAlign w:val="center"/>
          </w:tcPr>
          <w:p w14:paraId="0CC9CA3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03" w:type="pct"/>
            <w:vMerge w:val="continue"/>
            <w:vAlign w:val="center"/>
          </w:tcPr>
          <w:p w14:paraId="41D72236">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77" w:type="pct"/>
            <w:vAlign w:val="center"/>
          </w:tcPr>
          <w:p w14:paraId="156F08A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总磷</w:t>
            </w:r>
          </w:p>
        </w:tc>
        <w:tc>
          <w:tcPr>
            <w:tcW w:w="277" w:type="pct"/>
            <w:vMerge w:val="continue"/>
            <w:vAlign w:val="center"/>
          </w:tcPr>
          <w:p w14:paraId="1DCE2A3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73" w:type="pct"/>
            <w:vMerge w:val="continue"/>
            <w:vAlign w:val="center"/>
          </w:tcPr>
          <w:p w14:paraId="2629A2DE">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22" w:type="pct"/>
            <w:vAlign w:val="center"/>
          </w:tcPr>
          <w:p w14:paraId="6696264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rPr>
              <w:t>5.33</w:t>
            </w:r>
          </w:p>
        </w:tc>
        <w:tc>
          <w:tcPr>
            <w:tcW w:w="333" w:type="pct"/>
            <w:vAlign w:val="center"/>
          </w:tcPr>
          <w:p w14:paraId="3FAAE25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i w:val="0"/>
                <w:iCs w:val="0"/>
                <w:color w:val="auto"/>
                <w:kern w:val="0"/>
                <w:sz w:val="21"/>
                <w:szCs w:val="21"/>
                <w:highlight w:val="none"/>
                <w:u w:val="none"/>
                <w:lang w:val="en-US" w:eastAsia="zh-CN" w:bidi="ar"/>
              </w:rPr>
              <w:t>0.097</w:t>
            </w:r>
          </w:p>
        </w:tc>
        <w:tc>
          <w:tcPr>
            <w:tcW w:w="610" w:type="pct"/>
            <w:vMerge w:val="continue"/>
            <w:vAlign w:val="center"/>
          </w:tcPr>
          <w:p w14:paraId="6BBE258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4" w:type="pct"/>
            <w:vMerge w:val="continue"/>
            <w:vAlign w:val="center"/>
          </w:tcPr>
          <w:p w14:paraId="1393B99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37" w:type="pct"/>
            <w:vMerge w:val="continue"/>
            <w:vAlign w:val="center"/>
          </w:tcPr>
          <w:p w14:paraId="04384A1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68" w:type="pct"/>
            <w:vMerge w:val="continue"/>
            <w:vAlign w:val="center"/>
          </w:tcPr>
          <w:p w14:paraId="670CDCC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8" w:type="pct"/>
            <w:vMerge w:val="continue"/>
            <w:vAlign w:val="center"/>
          </w:tcPr>
          <w:p w14:paraId="5900C91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12" w:type="pct"/>
            <w:vMerge w:val="continue"/>
            <w:vAlign w:val="center"/>
          </w:tcPr>
          <w:p w14:paraId="07327A4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r>
      <w:tr w14:paraId="17235AB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27" w:hRule="atLeast"/>
        </w:trPr>
        <w:tc>
          <w:tcPr>
            <w:tcW w:w="250" w:type="pct"/>
            <w:vMerge w:val="continue"/>
            <w:vAlign w:val="center"/>
          </w:tcPr>
          <w:p w14:paraId="229568D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39" w:type="pct"/>
            <w:vMerge w:val="continue"/>
            <w:vAlign w:val="center"/>
          </w:tcPr>
          <w:p w14:paraId="38EF944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03" w:type="pct"/>
            <w:vMerge w:val="continue"/>
            <w:vAlign w:val="center"/>
          </w:tcPr>
          <w:p w14:paraId="336BC013">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77" w:type="pct"/>
            <w:vAlign w:val="center"/>
          </w:tcPr>
          <w:p w14:paraId="545E9F8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氨氮</w:t>
            </w:r>
          </w:p>
        </w:tc>
        <w:tc>
          <w:tcPr>
            <w:tcW w:w="277" w:type="pct"/>
            <w:vMerge w:val="continue"/>
            <w:vAlign w:val="center"/>
          </w:tcPr>
          <w:p w14:paraId="22270F9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73" w:type="pct"/>
            <w:vMerge w:val="continue"/>
            <w:vAlign w:val="center"/>
          </w:tcPr>
          <w:p w14:paraId="1661617F">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22" w:type="pct"/>
            <w:vAlign w:val="center"/>
          </w:tcPr>
          <w:p w14:paraId="7E429D4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rPr>
              <w:t>22.1</w:t>
            </w:r>
          </w:p>
        </w:tc>
        <w:tc>
          <w:tcPr>
            <w:tcW w:w="333" w:type="pct"/>
            <w:vAlign w:val="center"/>
          </w:tcPr>
          <w:p w14:paraId="054A244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i w:val="0"/>
                <w:iCs w:val="0"/>
                <w:color w:val="auto"/>
                <w:kern w:val="0"/>
                <w:sz w:val="21"/>
                <w:szCs w:val="21"/>
                <w:highlight w:val="none"/>
                <w:u w:val="none"/>
                <w:lang w:val="en-US" w:eastAsia="zh-CN" w:bidi="ar"/>
              </w:rPr>
              <w:t>0.40</w:t>
            </w:r>
          </w:p>
        </w:tc>
        <w:tc>
          <w:tcPr>
            <w:tcW w:w="610" w:type="pct"/>
            <w:vMerge w:val="continue"/>
            <w:vAlign w:val="center"/>
          </w:tcPr>
          <w:p w14:paraId="0330991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4" w:type="pct"/>
            <w:vMerge w:val="continue"/>
            <w:vAlign w:val="center"/>
          </w:tcPr>
          <w:p w14:paraId="7864CA0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37" w:type="pct"/>
            <w:vMerge w:val="continue"/>
            <w:vAlign w:val="center"/>
          </w:tcPr>
          <w:p w14:paraId="75C9977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68" w:type="pct"/>
            <w:vMerge w:val="continue"/>
            <w:vAlign w:val="center"/>
          </w:tcPr>
          <w:p w14:paraId="7B9E1DA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8" w:type="pct"/>
            <w:vMerge w:val="continue"/>
            <w:vAlign w:val="center"/>
          </w:tcPr>
          <w:p w14:paraId="59B611F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12" w:type="pct"/>
            <w:vMerge w:val="continue"/>
            <w:vAlign w:val="center"/>
          </w:tcPr>
          <w:p w14:paraId="5EAE485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r>
      <w:tr w14:paraId="3389A96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4" w:hRule="atLeast"/>
        </w:trPr>
        <w:tc>
          <w:tcPr>
            <w:tcW w:w="250" w:type="pct"/>
            <w:vMerge w:val="restart"/>
            <w:vAlign w:val="center"/>
          </w:tcPr>
          <w:p w14:paraId="520AE3A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生活</w:t>
            </w:r>
          </w:p>
        </w:tc>
        <w:tc>
          <w:tcPr>
            <w:tcW w:w="339" w:type="pct"/>
            <w:vMerge w:val="restart"/>
            <w:vAlign w:val="center"/>
          </w:tcPr>
          <w:p w14:paraId="69CFF339">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化粪池</w:t>
            </w:r>
          </w:p>
        </w:tc>
        <w:tc>
          <w:tcPr>
            <w:tcW w:w="403" w:type="pct"/>
            <w:vMerge w:val="restart"/>
            <w:vAlign w:val="center"/>
          </w:tcPr>
          <w:p w14:paraId="64E68F0F">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生活污水</w:t>
            </w:r>
          </w:p>
        </w:tc>
        <w:tc>
          <w:tcPr>
            <w:tcW w:w="377" w:type="pct"/>
            <w:vAlign w:val="center"/>
          </w:tcPr>
          <w:p w14:paraId="7ADF2030">
            <w:pPr>
              <w:pStyle w:val="49"/>
              <w:jc w:val="center"/>
              <w:rPr>
                <w:rFonts w:hint="default" w:ascii="Times New Roman" w:hAnsi="Times New Roman" w:eastAsia="宋体" w:cs="Times New Roman"/>
                <w:snapToGrid w:val="0"/>
                <w:color w:val="auto"/>
                <w:kern w:val="2"/>
                <w:sz w:val="21"/>
                <w:szCs w:val="21"/>
                <w:highlight w:val="none"/>
                <w:lang w:val="zh-CN" w:eastAsia="zh-CN" w:bidi="ar-SA"/>
              </w:rPr>
            </w:pPr>
            <w:r>
              <w:rPr>
                <w:rFonts w:hint="default" w:ascii="Times New Roman" w:hAnsi="Times New Roman" w:eastAsia="宋体" w:cs="Times New Roman"/>
                <w:snapToGrid w:val="0"/>
                <w:color w:val="auto"/>
                <w:kern w:val="2"/>
                <w:sz w:val="21"/>
                <w:szCs w:val="21"/>
                <w:highlight w:val="none"/>
                <w:lang w:val="en-US" w:eastAsia="zh-CN" w:bidi="ar-SA"/>
              </w:rPr>
              <w:t>COD</w:t>
            </w:r>
          </w:p>
        </w:tc>
        <w:tc>
          <w:tcPr>
            <w:tcW w:w="277" w:type="pct"/>
            <w:vMerge w:val="restart"/>
            <w:vAlign w:val="center"/>
          </w:tcPr>
          <w:p w14:paraId="007F2BE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产污系数法</w:t>
            </w:r>
          </w:p>
        </w:tc>
        <w:tc>
          <w:tcPr>
            <w:tcW w:w="473" w:type="pct"/>
            <w:vMerge w:val="restart"/>
            <w:vAlign w:val="center"/>
          </w:tcPr>
          <w:p w14:paraId="376BAF90">
            <w:pPr>
              <w:pStyle w:val="38"/>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584</w:t>
            </w:r>
          </w:p>
        </w:tc>
        <w:tc>
          <w:tcPr>
            <w:tcW w:w="322" w:type="pct"/>
            <w:vAlign w:val="center"/>
          </w:tcPr>
          <w:p w14:paraId="2AE0C2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300</w:t>
            </w:r>
          </w:p>
        </w:tc>
        <w:tc>
          <w:tcPr>
            <w:tcW w:w="333" w:type="pct"/>
            <w:vAlign w:val="center"/>
          </w:tcPr>
          <w:p w14:paraId="37D442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0.1752</w:t>
            </w:r>
          </w:p>
        </w:tc>
        <w:tc>
          <w:tcPr>
            <w:tcW w:w="610" w:type="pct"/>
            <w:vMerge w:val="restart"/>
            <w:vAlign w:val="center"/>
          </w:tcPr>
          <w:p w14:paraId="0EE72E5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防渗旱厕，定期清掏，外运堆肥</w:t>
            </w:r>
          </w:p>
        </w:tc>
        <w:tc>
          <w:tcPr>
            <w:tcW w:w="204" w:type="pct"/>
            <w:vMerge w:val="restart"/>
            <w:vAlign w:val="center"/>
          </w:tcPr>
          <w:p w14:paraId="252E24B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w:t>
            </w:r>
          </w:p>
        </w:tc>
        <w:tc>
          <w:tcPr>
            <w:tcW w:w="237" w:type="pct"/>
            <w:vMerge w:val="restart"/>
            <w:vAlign w:val="center"/>
          </w:tcPr>
          <w:p w14:paraId="5344801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w:t>
            </w:r>
          </w:p>
        </w:tc>
        <w:tc>
          <w:tcPr>
            <w:tcW w:w="468" w:type="pct"/>
            <w:vMerge w:val="restart"/>
            <w:vAlign w:val="center"/>
          </w:tcPr>
          <w:p w14:paraId="50A6BD3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0</w:t>
            </w:r>
          </w:p>
        </w:tc>
        <w:tc>
          <w:tcPr>
            <w:tcW w:w="388" w:type="pct"/>
            <w:vMerge w:val="restart"/>
            <w:vAlign w:val="center"/>
          </w:tcPr>
          <w:p w14:paraId="5998C44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w:t>
            </w:r>
          </w:p>
        </w:tc>
        <w:tc>
          <w:tcPr>
            <w:tcW w:w="312" w:type="pct"/>
            <w:vMerge w:val="restart"/>
            <w:vAlign w:val="center"/>
          </w:tcPr>
          <w:p w14:paraId="3309BBC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0</w:t>
            </w:r>
          </w:p>
        </w:tc>
      </w:tr>
      <w:tr w14:paraId="0AE368B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4" w:hRule="atLeast"/>
        </w:trPr>
        <w:tc>
          <w:tcPr>
            <w:tcW w:w="250" w:type="pct"/>
            <w:vMerge w:val="continue"/>
            <w:vAlign w:val="center"/>
          </w:tcPr>
          <w:p w14:paraId="45E2EC74">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cs="Times New Roman"/>
                <w:color w:val="auto"/>
                <w:highlight w:val="none"/>
              </w:rPr>
            </w:pPr>
          </w:p>
        </w:tc>
        <w:tc>
          <w:tcPr>
            <w:tcW w:w="339" w:type="pct"/>
            <w:vMerge w:val="continue"/>
            <w:vAlign w:val="center"/>
          </w:tcPr>
          <w:p w14:paraId="0D1CB90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cs="Times New Roman"/>
                <w:color w:val="auto"/>
                <w:highlight w:val="none"/>
              </w:rPr>
            </w:pPr>
          </w:p>
        </w:tc>
        <w:tc>
          <w:tcPr>
            <w:tcW w:w="403" w:type="pct"/>
            <w:vMerge w:val="continue"/>
            <w:vAlign w:val="center"/>
          </w:tcPr>
          <w:p w14:paraId="34F351A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cs="Times New Roman"/>
                <w:color w:val="auto"/>
                <w:highlight w:val="none"/>
              </w:rPr>
            </w:pPr>
          </w:p>
        </w:tc>
        <w:tc>
          <w:tcPr>
            <w:tcW w:w="377" w:type="pct"/>
            <w:vAlign w:val="center"/>
          </w:tcPr>
          <w:p w14:paraId="35BEE147">
            <w:pPr>
              <w:pStyle w:val="49"/>
              <w:jc w:val="center"/>
              <w:rPr>
                <w:rFonts w:hint="default" w:ascii="Times New Roman" w:hAnsi="Times New Roman" w:eastAsia="宋体" w:cs="Times New Roman"/>
                <w:snapToGrid w:val="0"/>
                <w:color w:val="auto"/>
                <w:kern w:val="2"/>
                <w:sz w:val="21"/>
                <w:szCs w:val="21"/>
                <w:highlight w:val="none"/>
                <w:lang w:val="zh-CN" w:eastAsia="zh-CN" w:bidi="ar-SA"/>
              </w:rPr>
            </w:pPr>
            <w:r>
              <w:rPr>
                <w:rFonts w:hint="default" w:ascii="Times New Roman" w:hAnsi="Times New Roman" w:eastAsia="宋体" w:cs="Times New Roman"/>
                <w:snapToGrid w:val="0"/>
                <w:color w:val="auto"/>
                <w:kern w:val="2"/>
                <w:sz w:val="21"/>
                <w:szCs w:val="21"/>
                <w:highlight w:val="none"/>
                <w:lang w:val="en-US" w:eastAsia="zh-CN" w:bidi="ar-SA"/>
              </w:rPr>
              <w:t>氮氮</w:t>
            </w:r>
          </w:p>
        </w:tc>
        <w:tc>
          <w:tcPr>
            <w:tcW w:w="277" w:type="pct"/>
            <w:vMerge w:val="continue"/>
            <w:vAlign w:val="center"/>
          </w:tcPr>
          <w:p w14:paraId="7EA65B0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73" w:type="pct"/>
            <w:vMerge w:val="continue"/>
            <w:vAlign w:val="center"/>
          </w:tcPr>
          <w:p w14:paraId="2B653B6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22" w:type="pct"/>
            <w:vAlign w:val="center"/>
          </w:tcPr>
          <w:p w14:paraId="5B45419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cs="Times New Roman"/>
                <w:snapToGrid w:val="0"/>
                <w:color w:val="auto"/>
                <w:sz w:val="21"/>
                <w:szCs w:val="21"/>
                <w:highlight w:val="none"/>
                <w:lang w:val="en-US" w:eastAsia="zh-CN"/>
              </w:rPr>
              <w:t>25</w:t>
            </w:r>
          </w:p>
        </w:tc>
        <w:tc>
          <w:tcPr>
            <w:tcW w:w="333" w:type="pct"/>
            <w:vAlign w:val="center"/>
          </w:tcPr>
          <w:p w14:paraId="0620D11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0.0146</w:t>
            </w:r>
          </w:p>
        </w:tc>
        <w:tc>
          <w:tcPr>
            <w:tcW w:w="610" w:type="pct"/>
            <w:vMerge w:val="continue"/>
            <w:vAlign w:val="center"/>
          </w:tcPr>
          <w:p w14:paraId="78A5770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4" w:type="pct"/>
            <w:vMerge w:val="continue"/>
            <w:vAlign w:val="center"/>
          </w:tcPr>
          <w:p w14:paraId="6C721A3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37" w:type="pct"/>
            <w:vMerge w:val="continue"/>
            <w:vAlign w:val="center"/>
          </w:tcPr>
          <w:p w14:paraId="7CBE8A0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68" w:type="pct"/>
            <w:vMerge w:val="continue"/>
            <w:vAlign w:val="center"/>
          </w:tcPr>
          <w:p w14:paraId="73A5450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8" w:type="pct"/>
            <w:vMerge w:val="continue"/>
            <w:vAlign w:val="center"/>
          </w:tcPr>
          <w:p w14:paraId="3BD871E0">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12" w:type="pct"/>
            <w:vMerge w:val="continue"/>
            <w:vAlign w:val="center"/>
          </w:tcPr>
          <w:p w14:paraId="3CA62F2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r>
      <w:tr w14:paraId="5A49F1E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4" w:hRule="atLeast"/>
        </w:trPr>
        <w:tc>
          <w:tcPr>
            <w:tcW w:w="250" w:type="pct"/>
            <w:vMerge w:val="continue"/>
            <w:vAlign w:val="center"/>
          </w:tcPr>
          <w:p w14:paraId="5E62E8D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39" w:type="pct"/>
            <w:vMerge w:val="continue"/>
            <w:vAlign w:val="center"/>
          </w:tcPr>
          <w:p w14:paraId="4AE7FAEE">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03" w:type="pct"/>
            <w:vMerge w:val="continue"/>
            <w:vAlign w:val="center"/>
          </w:tcPr>
          <w:p w14:paraId="73B0979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77" w:type="pct"/>
            <w:vAlign w:val="center"/>
          </w:tcPr>
          <w:p w14:paraId="3F8D24BD">
            <w:pPr>
              <w:pStyle w:val="49"/>
              <w:jc w:val="center"/>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kern w:val="2"/>
                <w:sz w:val="21"/>
                <w:szCs w:val="21"/>
                <w:highlight w:val="none"/>
                <w:lang w:val="en-US" w:eastAsia="zh-CN" w:bidi="ar-SA"/>
              </w:rPr>
              <w:t>BOD</w:t>
            </w:r>
            <w:r>
              <w:rPr>
                <w:rFonts w:hint="default" w:ascii="Times New Roman" w:hAnsi="Times New Roman" w:eastAsia="宋体" w:cs="Times New Roman"/>
                <w:snapToGrid w:val="0"/>
                <w:color w:val="auto"/>
                <w:kern w:val="2"/>
                <w:sz w:val="21"/>
                <w:szCs w:val="21"/>
                <w:highlight w:val="none"/>
                <w:vertAlign w:val="subscript"/>
                <w:lang w:val="en-US" w:eastAsia="zh-CN" w:bidi="ar-SA"/>
              </w:rPr>
              <w:t>5</w:t>
            </w:r>
          </w:p>
        </w:tc>
        <w:tc>
          <w:tcPr>
            <w:tcW w:w="277" w:type="pct"/>
            <w:vMerge w:val="continue"/>
            <w:vAlign w:val="center"/>
          </w:tcPr>
          <w:p w14:paraId="03BB372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73" w:type="pct"/>
            <w:vMerge w:val="continue"/>
            <w:vAlign w:val="center"/>
          </w:tcPr>
          <w:p w14:paraId="47946B22">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22" w:type="pct"/>
            <w:vAlign w:val="center"/>
          </w:tcPr>
          <w:p w14:paraId="7DA59A5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160</w:t>
            </w:r>
          </w:p>
        </w:tc>
        <w:tc>
          <w:tcPr>
            <w:tcW w:w="333" w:type="pct"/>
            <w:vAlign w:val="center"/>
          </w:tcPr>
          <w:p w14:paraId="106E1FD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0.0934</w:t>
            </w:r>
          </w:p>
        </w:tc>
        <w:tc>
          <w:tcPr>
            <w:tcW w:w="610" w:type="pct"/>
            <w:vMerge w:val="continue"/>
            <w:vAlign w:val="center"/>
          </w:tcPr>
          <w:p w14:paraId="2C868C1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4" w:type="pct"/>
            <w:vMerge w:val="continue"/>
            <w:vAlign w:val="center"/>
          </w:tcPr>
          <w:p w14:paraId="0EF9B57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37" w:type="pct"/>
            <w:vMerge w:val="continue"/>
            <w:vAlign w:val="center"/>
          </w:tcPr>
          <w:p w14:paraId="18050763">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68" w:type="pct"/>
            <w:vMerge w:val="continue"/>
            <w:vAlign w:val="center"/>
          </w:tcPr>
          <w:p w14:paraId="6CDF1EC5">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8" w:type="pct"/>
            <w:vMerge w:val="continue"/>
            <w:vAlign w:val="center"/>
          </w:tcPr>
          <w:p w14:paraId="4CE1A6DB">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12" w:type="pct"/>
            <w:vMerge w:val="continue"/>
            <w:vAlign w:val="center"/>
          </w:tcPr>
          <w:p w14:paraId="6C711F4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r>
      <w:tr w14:paraId="6D74514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4" w:hRule="atLeast"/>
        </w:trPr>
        <w:tc>
          <w:tcPr>
            <w:tcW w:w="250" w:type="pct"/>
            <w:vMerge w:val="continue"/>
            <w:vAlign w:val="center"/>
          </w:tcPr>
          <w:p w14:paraId="4B16DE7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39" w:type="pct"/>
            <w:vMerge w:val="continue"/>
            <w:vAlign w:val="center"/>
          </w:tcPr>
          <w:p w14:paraId="585A681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03" w:type="pct"/>
            <w:vMerge w:val="continue"/>
            <w:vAlign w:val="center"/>
          </w:tcPr>
          <w:p w14:paraId="6DDFA66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77" w:type="pct"/>
            <w:vAlign w:val="center"/>
          </w:tcPr>
          <w:p w14:paraId="50169B58">
            <w:pPr>
              <w:pStyle w:val="49"/>
              <w:jc w:val="center"/>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snapToGrid w:val="0"/>
                <w:color w:val="auto"/>
                <w:kern w:val="2"/>
                <w:sz w:val="21"/>
                <w:szCs w:val="21"/>
                <w:highlight w:val="none"/>
                <w:lang w:val="en-US" w:eastAsia="zh-CN" w:bidi="ar-SA"/>
              </w:rPr>
              <w:t>SS</w:t>
            </w:r>
          </w:p>
        </w:tc>
        <w:tc>
          <w:tcPr>
            <w:tcW w:w="277" w:type="pct"/>
            <w:vMerge w:val="continue"/>
            <w:vAlign w:val="center"/>
          </w:tcPr>
          <w:p w14:paraId="20D3582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73" w:type="pct"/>
            <w:vMerge w:val="continue"/>
            <w:vAlign w:val="center"/>
          </w:tcPr>
          <w:p w14:paraId="7E63799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22" w:type="pct"/>
            <w:vAlign w:val="center"/>
          </w:tcPr>
          <w:p w14:paraId="0C6D567D">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200</w:t>
            </w:r>
          </w:p>
        </w:tc>
        <w:tc>
          <w:tcPr>
            <w:tcW w:w="333" w:type="pct"/>
            <w:vAlign w:val="center"/>
          </w:tcPr>
          <w:p w14:paraId="1BA9EF9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0.1168</w:t>
            </w:r>
          </w:p>
        </w:tc>
        <w:tc>
          <w:tcPr>
            <w:tcW w:w="610" w:type="pct"/>
            <w:vMerge w:val="continue"/>
            <w:vAlign w:val="center"/>
          </w:tcPr>
          <w:p w14:paraId="6D735DEC">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04" w:type="pct"/>
            <w:vMerge w:val="continue"/>
            <w:vAlign w:val="center"/>
          </w:tcPr>
          <w:p w14:paraId="50DE1E6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237" w:type="pct"/>
            <w:vMerge w:val="continue"/>
            <w:vAlign w:val="center"/>
          </w:tcPr>
          <w:p w14:paraId="47043168">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468" w:type="pct"/>
            <w:vMerge w:val="continue"/>
            <w:vAlign w:val="center"/>
          </w:tcPr>
          <w:p w14:paraId="1AD91A2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88" w:type="pct"/>
            <w:vMerge w:val="continue"/>
            <w:vAlign w:val="center"/>
          </w:tcPr>
          <w:p w14:paraId="488CC546">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c>
          <w:tcPr>
            <w:tcW w:w="312" w:type="pct"/>
            <w:vMerge w:val="continue"/>
            <w:vAlign w:val="center"/>
          </w:tcPr>
          <w:p w14:paraId="11A02FFF">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snapToGrid w:val="0"/>
                <w:color w:val="auto"/>
                <w:sz w:val="21"/>
                <w:szCs w:val="21"/>
                <w:highlight w:val="none"/>
              </w:rPr>
            </w:pPr>
          </w:p>
        </w:tc>
      </w:tr>
    </w:tbl>
    <w:p w14:paraId="1DB8208E">
      <w:pPr>
        <w:keepNext w:val="0"/>
        <w:keepLines w:val="0"/>
        <w:pageBreakBefore w:val="0"/>
        <w:kinsoku/>
        <w:wordWrap w:val="0"/>
        <w:overflowPunct/>
        <w:topLinePunct/>
        <w:autoSpaceDE/>
        <w:autoSpaceDN/>
        <w:bidi w:val="0"/>
        <w:adjustRightInd w:val="0"/>
        <w:snapToGrid w:val="0"/>
        <w:spacing w:before="34" w:line="233" w:lineRule="auto"/>
        <w:ind w:left="510"/>
        <w:textAlignment w:val="baseline"/>
        <w:rPr>
          <w:rFonts w:hint="default" w:ascii="Times New Roman" w:hAnsi="Times New Roman" w:eastAsia="宋体" w:cs="Times New Roman"/>
          <w:color w:val="auto"/>
          <w:spacing w:val="-4"/>
          <w:sz w:val="24"/>
          <w:szCs w:val="24"/>
          <w:highlight w:val="none"/>
        </w:rPr>
        <w:sectPr>
          <w:headerReference r:id="rId19" w:type="default"/>
          <w:footerReference r:id="rId20"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441FBBD0">
      <w:pPr>
        <w:keepNext w:val="0"/>
        <w:keepLines w:val="0"/>
        <w:pageBreakBefore w:val="0"/>
        <w:widowControl/>
        <w:kinsoku/>
        <w:wordWrap w:val="0"/>
        <w:overflowPunct/>
        <w:topLinePunct/>
        <w:autoSpaceDE/>
        <w:autoSpaceDN/>
        <w:bidi w:val="0"/>
        <w:adjustRightInd w:val="0"/>
        <w:snapToGrid w:val="0"/>
        <w:spacing w:line="360" w:lineRule="auto"/>
        <w:ind w:left="0" w:right="0" w:firstLine="478" w:firstLineChars="200"/>
        <w:textAlignment w:val="baseline"/>
        <w:outlineLvl w:val="3"/>
        <w:rPr>
          <w:rFonts w:hint="default" w:ascii="Times New Roman" w:hAnsi="Times New Roman" w:eastAsia="宋体" w:cs="Times New Roman"/>
          <w:b/>
          <w:bCs/>
          <w:color w:val="auto"/>
          <w:spacing w:val="-1"/>
          <w:sz w:val="24"/>
          <w:szCs w:val="24"/>
          <w:highlight w:val="none"/>
          <w:lang w:eastAsia="zh-CN"/>
        </w:rPr>
      </w:pPr>
      <w:r>
        <w:rPr>
          <w:rFonts w:hint="default" w:ascii="Times New Roman" w:hAnsi="Times New Roman" w:eastAsia="宋体" w:cs="Times New Roman"/>
          <w:b/>
          <w:bCs/>
          <w:color w:val="auto"/>
          <w:spacing w:val="-1"/>
          <w:sz w:val="24"/>
          <w:szCs w:val="24"/>
          <w:highlight w:val="none"/>
          <w:lang w:val="en-US" w:eastAsia="zh-CN"/>
        </w:rPr>
        <w:t>3.3.2.3噪声</w:t>
      </w:r>
    </w:p>
    <w:p w14:paraId="36411E40">
      <w:pPr>
        <w:pStyle w:val="40"/>
        <w:keepNext w:val="0"/>
        <w:keepLines w:val="0"/>
        <w:pageBreakBefore w:val="0"/>
        <w:widowControl/>
        <w:kinsoku w:val="0"/>
        <w:wordWrap/>
        <w:overflowPunct/>
        <w:topLinePunct w:val="0"/>
        <w:autoSpaceDE w:val="0"/>
        <w:autoSpaceDN w:val="0"/>
        <w:bidi w:val="0"/>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zh-CN" w:bidi="ar-SA"/>
        </w:rPr>
      </w:pPr>
      <w:r>
        <w:rPr>
          <w:rFonts w:hint="default" w:ascii="Times New Roman" w:hAnsi="Times New Roman" w:eastAsia="宋体" w:cs="Times New Roman"/>
          <w:snapToGrid w:val="0"/>
          <w:color w:val="auto"/>
          <w:kern w:val="0"/>
          <w:sz w:val="24"/>
          <w:szCs w:val="24"/>
          <w:highlight w:val="none"/>
          <w:lang w:val="en-US" w:eastAsia="zh-CN" w:bidi="ar-SA"/>
        </w:rPr>
        <w:t>建设项目固定噪声源主要为风机、牛叫声等，针对噪声源产生情况，项目采取以下防噪降噪措施。</w:t>
      </w:r>
    </w:p>
    <w:p w14:paraId="1BADFA32">
      <w:pPr>
        <w:pStyle w:val="40"/>
        <w:keepNext w:val="0"/>
        <w:keepLines w:val="0"/>
        <w:pageBreakBefore w:val="0"/>
        <w:widowControl/>
        <w:kinsoku w:val="0"/>
        <w:wordWrap/>
        <w:overflowPunct/>
        <w:topLinePunct w:val="0"/>
        <w:autoSpaceDE w:val="0"/>
        <w:autoSpaceDN w:val="0"/>
        <w:bidi w:val="0"/>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zh-CN" w:bidi="ar-SA"/>
        </w:rPr>
      </w:pPr>
      <w:r>
        <w:rPr>
          <w:rFonts w:hint="default" w:ascii="Times New Roman" w:hAnsi="Times New Roman" w:eastAsia="宋体" w:cs="Times New Roman"/>
          <w:snapToGrid w:val="0"/>
          <w:color w:val="auto"/>
          <w:kern w:val="0"/>
          <w:sz w:val="24"/>
          <w:szCs w:val="24"/>
          <w:highlight w:val="none"/>
          <w:lang w:val="en-US" w:eastAsia="zh-CN" w:bidi="ar-SA"/>
        </w:rPr>
        <w:t>（1）选用低噪声设备，建筑采取隔声、降噪措施，振动较大的设备采取独立基础，设置减振器，风机进出口均设软管连接等措施。</w:t>
      </w:r>
    </w:p>
    <w:p w14:paraId="5C040507">
      <w:pPr>
        <w:pStyle w:val="40"/>
        <w:keepNext w:val="0"/>
        <w:keepLines w:val="0"/>
        <w:pageBreakBefore w:val="0"/>
        <w:widowControl/>
        <w:kinsoku w:val="0"/>
        <w:wordWrap/>
        <w:overflowPunct/>
        <w:topLinePunct w:val="0"/>
        <w:autoSpaceDE w:val="0"/>
        <w:autoSpaceDN w:val="0"/>
        <w:bidi w:val="0"/>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zh-CN" w:bidi="ar-SA"/>
        </w:rPr>
      </w:pPr>
      <w:r>
        <w:rPr>
          <w:rFonts w:hint="default" w:ascii="Times New Roman" w:hAnsi="Times New Roman" w:eastAsia="宋体" w:cs="Times New Roman"/>
          <w:snapToGrid w:val="0"/>
          <w:color w:val="auto"/>
          <w:kern w:val="0"/>
          <w:sz w:val="24"/>
          <w:szCs w:val="24"/>
          <w:highlight w:val="none"/>
          <w:lang w:val="en-US" w:eastAsia="zh-CN" w:bidi="ar-SA"/>
        </w:rPr>
        <w:t>（2）场区平面布置优化、合理布局，将高噪声设备尽量布置在远离厂界处。加强绿化，利用树木吸声、消声作用，减少噪声对外环境的影响。</w:t>
      </w:r>
    </w:p>
    <w:p w14:paraId="4F5A028B">
      <w:pPr>
        <w:pStyle w:val="40"/>
        <w:keepNext w:val="0"/>
        <w:keepLines w:val="0"/>
        <w:pageBreakBefore w:val="0"/>
        <w:widowControl/>
        <w:kinsoku w:val="0"/>
        <w:wordWrap/>
        <w:overflowPunct/>
        <w:topLinePunct w:val="0"/>
        <w:autoSpaceDE w:val="0"/>
        <w:autoSpaceDN w:val="0"/>
        <w:bidi w:val="0"/>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zh-CN" w:bidi="ar-SA"/>
        </w:rPr>
      </w:pPr>
      <w:r>
        <w:rPr>
          <w:rFonts w:hint="default" w:ascii="Times New Roman" w:hAnsi="Times New Roman" w:eastAsia="宋体" w:cs="Times New Roman"/>
          <w:snapToGrid w:val="0"/>
          <w:color w:val="auto"/>
          <w:kern w:val="0"/>
          <w:sz w:val="24"/>
          <w:szCs w:val="24"/>
          <w:highlight w:val="none"/>
          <w:lang w:val="en-US" w:eastAsia="zh-CN" w:bidi="ar-SA"/>
        </w:rPr>
        <w:t>根据《环评工作中常见噪声源的噪声控制措施》（韩金枝.环境科学与管理，2011），风机噪声声级为80-120dB(A)，牛叫噪声声级为75-110dB(A)。本项目选用低噪声设备，风机噪声声级按90dB(A)计，牛叫噪声声级按85dB(A)计。本项目噪声排放情况见下表</w:t>
      </w:r>
    </w:p>
    <w:p w14:paraId="01E4C358">
      <w:pPr>
        <w:keepNext w:val="0"/>
        <w:keepLines w:val="0"/>
        <w:pageBreakBefore w:val="0"/>
        <w:kinsoku/>
        <w:wordWrap w:val="0"/>
        <w:overflowPunct/>
        <w:topLinePunct/>
        <w:autoSpaceDE/>
        <w:autoSpaceDN/>
        <w:bidi w:val="0"/>
        <w:adjustRightInd w:val="0"/>
        <w:snapToGrid w:val="0"/>
        <w:spacing w:before="1" w:line="213" w:lineRule="auto"/>
        <w:ind w:left="3124"/>
        <w:textAlignment w:val="baseline"/>
        <w:rPr>
          <w:rFonts w:hint="default" w:ascii="Times New Roman" w:hAnsi="Times New Roman" w:eastAsia="宋体" w:cs="Times New Roman"/>
          <w:b/>
          <w:bCs/>
          <w:color w:val="auto"/>
          <w:spacing w:val="-2"/>
          <w:sz w:val="24"/>
          <w:szCs w:val="24"/>
          <w:highlight w:val="none"/>
        </w:rPr>
        <w:sectPr>
          <w:headerReference r:id="rId21" w:type="default"/>
          <w:footerReference r:id="rId22"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67500168">
      <w:pPr>
        <w:keepNext w:val="0"/>
        <w:keepLines w:val="0"/>
        <w:pageBreakBefore w:val="0"/>
        <w:kinsoku/>
        <w:wordWrap w:val="0"/>
        <w:overflowPunct/>
        <w:topLinePunct/>
        <w:autoSpaceDE/>
        <w:autoSpaceDN/>
        <w:bidi w:val="0"/>
        <w:adjustRightInd w:val="0"/>
        <w:snapToGrid w:val="0"/>
        <w:spacing w:before="1" w:line="213" w:lineRule="auto"/>
        <w:jc w:val="center"/>
        <w:textAlignment w:val="baseline"/>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3.3-</w:t>
      </w:r>
      <w:r>
        <w:rPr>
          <w:rFonts w:hint="default" w:ascii="Times New Roman" w:hAnsi="Times New Roman" w:eastAsia="宋体" w:cs="Times New Roman"/>
          <w:b/>
          <w:bCs/>
          <w:color w:val="auto"/>
          <w:spacing w:val="-2"/>
          <w:sz w:val="24"/>
          <w:szCs w:val="24"/>
          <w:highlight w:val="none"/>
          <w:lang w:val="en-US" w:eastAsia="zh-CN"/>
        </w:rPr>
        <w:t>5</w:t>
      </w:r>
      <w:r>
        <w:rPr>
          <w:rFonts w:hint="default" w:ascii="Times New Roman" w:hAnsi="Times New Roman" w:eastAsia="宋体" w:cs="Times New Roman"/>
          <w:b/>
          <w:bCs/>
          <w:color w:val="auto"/>
          <w:spacing w:val="-2"/>
          <w:sz w:val="24"/>
          <w:szCs w:val="24"/>
          <w:highlight w:val="none"/>
        </w:rPr>
        <w:t>主要产噪设备汇总表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88"/>
        <w:gridCol w:w="757"/>
        <w:gridCol w:w="732"/>
        <w:gridCol w:w="743"/>
        <w:gridCol w:w="1342"/>
        <w:gridCol w:w="1396"/>
        <w:gridCol w:w="859"/>
        <w:gridCol w:w="859"/>
        <w:gridCol w:w="601"/>
        <w:gridCol w:w="1041"/>
        <w:gridCol w:w="1336"/>
        <w:gridCol w:w="672"/>
        <w:gridCol w:w="1461"/>
        <w:gridCol w:w="1067"/>
        <w:gridCol w:w="820"/>
      </w:tblGrid>
      <w:tr w14:paraId="4BF69D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92" w:hRule="exact"/>
          <w:jc w:val="center"/>
        </w:trPr>
        <w:tc>
          <w:tcPr>
            <w:tcW w:w="172" w:type="pct"/>
            <w:vMerge w:val="restart"/>
            <w:vAlign w:val="center"/>
          </w:tcPr>
          <w:p w14:paraId="201B341C">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序号</w:t>
            </w:r>
          </w:p>
        </w:tc>
        <w:tc>
          <w:tcPr>
            <w:tcW w:w="267" w:type="pct"/>
            <w:vMerge w:val="restart"/>
            <w:vAlign w:val="center"/>
          </w:tcPr>
          <w:p w14:paraId="1BFAA62F">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建筑物名称</w:t>
            </w:r>
          </w:p>
        </w:tc>
        <w:tc>
          <w:tcPr>
            <w:tcW w:w="258" w:type="pct"/>
            <w:vMerge w:val="restart"/>
            <w:vAlign w:val="center"/>
          </w:tcPr>
          <w:p w14:paraId="598097E3">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声源名称</w:t>
            </w:r>
          </w:p>
        </w:tc>
        <w:tc>
          <w:tcPr>
            <w:tcW w:w="262" w:type="pct"/>
            <w:vMerge w:val="restart"/>
            <w:vAlign w:val="center"/>
          </w:tcPr>
          <w:p w14:paraId="1CF14851">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型号</w:t>
            </w:r>
          </w:p>
        </w:tc>
        <w:tc>
          <w:tcPr>
            <w:tcW w:w="473" w:type="pct"/>
            <w:vAlign w:val="center"/>
          </w:tcPr>
          <w:p w14:paraId="428218B2">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声源源强</w:t>
            </w:r>
          </w:p>
        </w:tc>
        <w:tc>
          <w:tcPr>
            <w:tcW w:w="492" w:type="pct"/>
            <w:vMerge w:val="restart"/>
            <w:vAlign w:val="center"/>
          </w:tcPr>
          <w:p w14:paraId="5719CE58">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声源控制措施</w:t>
            </w:r>
          </w:p>
        </w:tc>
        <w:tc>
          <w:tcPr>
            <w:tcW w:w="818" w:type="pct"/>
            <w:gridSpan w:val="3"/>
            <w:vAlign w:val="center"/>
          </w:tcPr>
          <w:p w14:paraId="4F6BB16F">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空间相对位置/m</w:t>
            </w:r>
          </w:p>
        </w:tc>
        <w:tc>
          <w:tcPr>
            <w:tcW w:w="367" w:type="pct"/>
            <w:vMerge w:val="restart"/>
            <w:vAlign w:val="center"/>
          </w:tcPr>
          <w:p w14:paraId="1735B63D">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距室内边界距离/m</w:t>
            </w:r>
          </w:p>
        </w:tc>
        <w:tc>
          <w:tcPr>
            <w:tcW w:w="471" w:type="pct"/>
            <w:vMerge w:val="restart"/>
            <w:vAlign w:val="center"/>
          </w:tcPr>
          <w:p w14:paraId="2AD0C686">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室内边界声级/dB(A)</w:t>
            </w:r>
          </w:p>
        </w:tc>
        <w:tc>
          <w:tcPr>
            <w:tcW w:w="237" w:type="pct"/>
            <w:vMerge w:val="restart"/>
            <w:vAlign w:val="center"/>
          </w:tcPr>
          <w:p w14:paraId="278DC433">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运行时段</w:t>
            </w:r>
          </w:p>
        </w:tc>
        <w:tc>
          <w:tcPr>
            <w:tcW w:w="515" w:type="pct"/>
            <w:vMerge w:val="restart"/>
            <w:vAlign w:val="center"/>
          </w:tcPr>
          <w:p w14:paraId="7B6F671B">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建筑物插入损失/dB(A)</w:t>
            </w:r>
          </w:p>
        </w:tc>
        <w:tc>
          <w:tcPr>
            <w:tcW w:w="665" w:type="pct"/>
            <w:gridSpan w:val="2"/>
            <w:vAlign w:val="center"/>
          </w:tcPr>
          <w:p w14:paraId="052DBA58">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建筑物外噪声</w:t>
            </w:r>
          </w:p>
        </w:tc>
      </w:tr>
      <w:tr w14:paraId="35FA6D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2" w:type="pct"/>
            <w:vMerge w:val="continue"/>
            <w:shd w:val="clear" w:color="auto" w:fill="FFFFFF"/>
            <w:vAlign w:val="center"/>
          </w:tcPr>
          <w:p w14:paraId="462C0D40">
            <w:pPr>
              <w:bidi w:val="0"/>
              <w:jc w:val="center"/>
              <w:rPr>
                <w:rFonts w:hint="default" w:ascii="Times New Roman" w:hAnsi="Times New Roman" w:eastAsia="宋体" w:cs="Times New Roman"/>
                <w:color w:val="auto"/>
                <w:highlight w:val="none"/>
              </w:rPr>
            </w:pPr>
          </w:p>
        </w:tc>
        <w:tc>
          <w:tcPr>
            <w:tcW w:w="267" w:type="pct"/>
            <w:vMerge w:val="continue"/>
            <w:shd w:val="clear" w:color="auto" w:fill="FFFFFF"/>
            <w:vAlign w:val="center"/>
          </w:tcPr>
          <w:p w14:paraId="60A1EBDB">
            <w:pPr>
              <w:bidi w:val="0"/>
              <w:jc w:val="center"/>
              <w:rPr>
                <w:rFonts w:hint="default" w:ascii="Times New Roman" w:hAnsi="Times New Roman" w:eastAsia="宋体" w:cs="Times New Roman"/>
                <w:color w:val="auto"/>
                <w:highlight w:val="none"/>
              </w:rPr>
            </w:pPr>
          </w:p>
        </w:tc>
        <w:tc>
          <w:tcPr>
            <w:tcW w:w="258" w:type="pct"/>
            <w:vMerge w:val="continue"/>
            <w:shd w:val="clear" w:color="auto" w:fill="FFFFFF"/>
            <w:vAlign w:val="center"/>
          </w:tcPr>
          <w:p w14:paraId="2B048332">
            <w:pPr>
              <w:bidi w:val="0"/>
              <w:jc w:val="center"/>
              <w:rPr>
                <w:rFonts w:hint="default" w:ascii="Times New Roman" w:hAnsi="Times New Roman" w:eastAsia="宋体" w:cs="Times New Roman"/>
                <w:color w:val="auto"/>
                <w:highlight w:val="none"/>
              </w:rPr>
            </w:pPr>
          </w:p>
        </w:tc>
        <w:tc>
          <w:tcPr>
            <w:tcW w:w="262" w:type="pct"/>
            <w:vMerge w:val="continue"/>
            <w:shd w:val="clear" w:color="auto" w:fill="FFFFFF"/>
            <w:vAlign w:val="center"/>
          </w:tcPr>
          <w:p w14:paraId="7CEBE3A1">
            <w:pPr>
              <w:bidi w:val="0"/>
              <w:jc w:val="center"/>
              <w:rPr>
                <w:rFonts w:hint="default" w:ascii="Times New Roman" w:hAnsi="Times New Roman" w:eastAsia="宋体" w:cs="Times New Roman"/>
                <w:color w:val="auto"/>
                <w:highlight w:val="none"/>
              </w:rPr>
            </w:pPr>
          </w:p>
        </w:tc>
        <w:tc>
          <w:tcPr>
            <w:tcW w:w="473" w:type="pct"/>
            <w:shd w:val="clear" w:color="auto" w:fill="FFFFFF"/>
            <w:vAlign w:val="center"/>
          </w:tcPr>
          <w:p w14:paraId="539263CF">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声功率级/dB(A)</w:t>
            </w:r>
          </w:p>
        </w:tc>
        <w:tc>
          <w:tcPr>
            <w:tcW w:w="492" w:type="pct"/>
            <w:vMerge w:val="continue"/>
            <w:shd w:val="clear" w:color="auto" w:fill="FFFFFF"/>
            <w:vAlign w:val="center"/>
          </w:tcPr>
          <w:p w14:paraId="4D9D53BF">
            <w:pPr>
              <w:bidi w:val="0"/>
              <w:jc w:val="center"/>
              <w:rPr>
                <w:rFonts w:hint="default" w:ascii="Times New Roman" w:hAnsi="Times New Roman" w:eastAsia="宋体" w:cs="Times New Roman"/>
                <w:color w:val="auto"/>
                <w:highlight w:val="none"/>
              </w:rPr>
            </w:pPr>
          </w:p>
        </w:tc>
        <w:tc>
          <w:tcPr>
            <w:tcW w:w="303" w:type="pct"/>
            <w:shd w:val="clear" w:color="auto" w:fill="FFFFFF"/>
            <w:vAlign w:val="center"/>
          </w:tcPr>
          <w:p w14:paraId="594CAB91">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X</w:t>
            </w:r>
          </w:p>
        </w:tc>
        <w:tc>
          <w:tcPr>
            <w:tcW w:w="303" w:type="pct"/>
            <w:shd w:val="clear" w:color="auto" w:fill="FFFFFF"/>
            <w:vAlign w:val="center"/>
          </w:tcPr>
          <w:p w14:paraId="33D00963">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Y</w:t>
            </w:r>
          </w:p>
        </w:tc>
        <w:tc>
          <w:tcPr>
            <w:tcW w:w="212" w:type="pct"/>
            <w:shd w:val="clear" w:color="auto" w:fill="FFFFFF"/>
            <w:vAlign w:val="center"/>
          </w:tcPr>
          <w:p w14:paraId="1DFEF434">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Z</w:t>
            </w:r>
          </w:p>
        </w:tc>
        <w:tc>
          <w:tcPr>
            <w:tcW w:w="367" w:type="pct"/>
            <w:vMerge w:val="continue"/>
            <w:shd w:val="clear" w:color="auto" w:fill="FFFFFF"/>
            <w:vAlign w:val="center"/>
          </w:tcPr>
          <w:p w14:paraId="4B77EFD3">
            <w:pPr>
              <w:bidi w:val="0"/>
              <w:jc w:val="center"/>
              <w:rPr>
                <w:rFonts w:hint="default" w:ascii="Times New Roman" w:hAnsi="Times New Roman" w:eastAsia="宋体" w:cs="Times New Roman"/>
                <w:color w:val="auto"/>
                <w:highlight w:val="none"/>
              </w:rPr>
            </w:pPr>
          </w:p>
        </w:tc>
        <w:tc>
          <w:tcPr>
            <w:tcW w:w="471" w:type="pct"/>
            <w:vMerge w:val="continue"/>
            <w:shd w:val="clear" w:color="auto" w:fill="FFFFFF"/>
            <w:vAlign w:val="center"/>
          </w:tcPr>
          <w:p w14:paraId="6688C5F4">
            <w:pPr>
              <w:bidi w:val="0"/>
              <w:jc w:val="center"/>
              <w:rPr>
                <w:rFonts w:hint="default" w:ascii="Times New Roman" w:hAnsi="Times New Roman" w:eastAsia="宋体" w:cs="Times New Roman"/>
                <w:color w:val="auto"/>
                <w:highlight w:val="none"/>
              </w:rPr>
            </w:pPr>
          </w:p>
        </w:tc>
        <w:tc>
          <w:tcPr>
            <w:tcW w:w="237" w:type="pct"/>
            <w:vMerge w:val="continue"/>
            <w:shd w:val="clear" w:color="auto" w:fill="FFFFFF"/>
            <w:vAlign w:val="center"/>
          </w:tcPr>
          <w:p w14:paraId="06468295">
            <w:pPr>
              <w:bidi w:val="0"/>
              <w:jc w:val="center"/>
              <w:rPr>
                <w:rFonts w:hint="default" w:ascii="Times New Roman" w:hAnsi="Times New Roman" w:eastAsia="宋体" w:cs="Times New Roman"/>
                <w:color w:val="auto"/>
                <w:highlight w:val="none"/>
              </w:rPr>
            </w:pPr>
          </w:p>
        </w:tc>
        <w:tc>
          <w:tcPr>
            <w:tcW w:w="515" w:type="pct"/>
            <w:vMerge w:val="continue"/>
            <w:shd w:val="clear" w:color="auto" w:fill="FFFFFF"/>
            <w:vAlign w:val="center"/>
          </w:tcPr>
          <w:p w14:paraId="233D4E1A">
            <w:pPr>
              <w:bidi w:val="0"/>
              <w:jc w:val="center"/>
              <w:rPr>
                <w:rFonts w:hint="default" w:ascii="Times New Roman" w:hAnsi="Times New Roman" w:eastAsia="宋体" w:cs="Times New Roman"/>
                <w:color w:val="auto"/>
                <w:highlight w:val="none"/>
              </w:rPr>
            </w:pPr>
          </w:p>
        </w:tc>
        <w:tc>
          <w:tcPr>
            <w:tcW w:w="376" w:type="pct"/>
            <w:shd w:val="clear" w:color="auto" w:fill="FFFFFF"/>
            <w:vAlign w:val="center"/>
          </w:tcPr>
          <w:p w14:paraId="69288760">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声压级/dB(A)</w:t>
            </w:r>
          </w:p>
        </w:tc>
        <w:tc>
          <w:tcPr>
            <w:tcW w:w="289" w:type="pct"/>
            <w:shd w:val="clear" w:color="auto" w:fill="FFFFFF"/>
            <w:vAlign w:val="center"/>
          </w:tcPr>
          <w:p w14:paraId="2EE2F2F5">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建筑物外距离</w:t>
            </w:r>
          </w:p>
        </w:tc>
      </w:tr>
      <w:tr w14:paraId="421B86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2" w:type="pct"/>
            <w:shd w:val="clear" w:color="auto" w:fill="FFFFFF"/>
            <w:vAlign w:val="center"/>
          </w:tcPr>
          <w:p w14:paraId="0D874429">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c>
          <w:tcPr>
            <w:tcW w:w="267" w:type="pct"/>
            <w:shd w:val="clear" w:color="auto" w:fill="FFFFFF"/>
            <w:vAlign w:val="center"/>
          </w:tcPr>
          <w:p w14:paraId="15D12CD5">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牛舍</w:t>
            </w:r>
            <w:r>
              <w:rPr>
                <w:rFonts w:hint="default" w:ascii="Times New Roman" w:hAnsi="Times New Roman" w:eastAsia="宋体" w:cs="Times New Roman"/>
                <w:color w:val="auto"/>
                <w:highlight w:val="none"/>
              </w:rPr>
              <w:t>牛叫声</w:t>
            </w:r>
          </w:p>
        </w:tc>
        <w:tc>
          <w:tcPr>
            <w:tcW w:w="258" w:type="pct"/>
            <w:shd w:val="clear" w:color="auto" w:fill="FFFFFF"/>
            <w:vAlign w:val="center"/>
          </w:tcPr>
          <w:p w14:paraId="7AC571FF">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牛只叫声</w:t>
            </w:r>
          </w:p>
        </w:tc>
        <w:tc>
          <w:tcPr>
            <w:tcW w:w="262" w:type="pct"/>
            <w:shd w:val="clear" w:color="auto" w:fill="FFFFFF"/>
            <w:vAlign w:val="center"/>
          </w:tcPr>
          <w:p w14:paraId="1DA66213">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73" w:type="pct"/>
            <w:shd w:val="clear" w:color="auto" w:fill="FFFFFF"/>
            <w:vAlign w:val="center"/>
          </w:tcPr>
          <w:p w14:paraId="366310C8">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85</w:t>
            </w:r>
          </w:p>
        </w:tc>
        <w:tc>
          <w:tcPr>
            <w:tcW w:w="492" w:type="pct"/>
            <w:vMerge w:val="restart"/>
            <w:shd w:val="clear" w:color="auto" w:fill="FFFFFF"/>
            <w:vAlign w:val="center"/>
          </w:tcPr>
          <w:p w14:paraId="492FEDC0">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选用低噪设备、厂房隔声、基础减振</w:t>
            </w:r>
          </w:p>
        </w:tc>
        <w:tc>
          <w:tcPr>
            <w:tcW w:w="303" w:type="pct"/>
            <w:shd w:val="clear" w:color="auto" w:fill="FFFFFF"/>
            <w:vAlign w:val="center"/>
          </w:tcPr>
          <w:p w14:paraId="0362DD68">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303" w:type="pct"/>
            <w:shd w:val="clear" w:color="auto" w:fill="FFFFFF"/>
            <w:vAlign w:val="center"/>
          </w:tcPr>
          <w:p w14:paraId="05A1E4EA">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212" w:type="pct"/>
            <w:shd w:val="clear" w:color="auto" w:fill="FFFFFF"/>
            <w:vAlign w:val="center"/>
          </w:tcPr>
          <w:p w14:paraId="3F79E7D1">
            <w:pPr>
              <w:bidi w:val="0"/>
              <w:jc w:val="center"/>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lang w:val="en-US" w:eastAsia="zh-CN"/>
              </w:rPr>
              <w:t>/</w:t>
            </w:r>
          </w:p>
        </w:tc>
        <w:tc>
          <w:tcPr>
            <w:tcW w:w="367" w:type="pct"/>
            <w:shd w:val="clear" w:color="auto" w:fill="FFFFFF"/>
            <w:vAlign w:val="center"/>
          </w:tcPr>
          <w:p w14:paraId="59FBEB43">
            <w:pPr>
              <w:bidi w:val="0"/>
              <w:jc w:val="center"/>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lang w:val="en-US" w:eastAsia="zh-CN"/>
              </w:rPr>
              <w:t>/</w:t>
            </w:r>
          </w:p>
        </w:tc>
        <w:tc>
          <w:tcPr>
            <w:tcW w:w="471" w:type="pct"/>
            <w:shd w:val="clear" w:color="auto" w:fill="FFFFFF"/>
            <w:vAlign w:val="center"/>
          </w:tcPr>
          <w:p w14:paraId="5C9C2EF3">
            <w:pPr>
              <w:bidi w:val="0"/>
              <w:jc w:val="center"/>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lang w:val="en-US" w:eastAsia="zh-CN"/>
              </w:rPr>
              <w:t>/</w:t>
            </w:r>
          </w:p>
        </w:tc>
        <w:tc>
          <w:tcPr>
            <w:tcW w:w="237" w:type="pct"/>
            <w:shd w:val="clear" w:color="auto" w:fill="FFFFFF"/>
            <w:vAlign w:val="center"/>
          </w:tcPr>
          <w:p w14:paraId="589416F1">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昼间</w:t>
            </w:r>
          </w:p>
          <w:p w14:paraId="020287AC">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夜间</w:t>
            </w:r>
          </w:p>
        </w:tc>
        <w:tc>
          <w:tcPr>
            <w:tcW w:w="515" w:type="pct"/>
            <w:shd w:val="clear" w:color="auto" w:fill="FFFFFF"/>
            <w:vAlign w:val="center"/>
          </w:tcPr>
          <w:p w14:paraId="09867286">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20</w:t>
            </w:r>
          </w:p>
        </w:tc>
        <w:tc>
          <w:tcPr>
            <w:tcW w:w="376" w:type="pct"/>
            <w:shd w:val="clear" w:color="auto" w:fill="FFFFFF"/>
            <w:vAlign w:val="center"/>
          </w:tcPr>
          <w:p w14:paraId="281A0600">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65</w:t>
            </w:r>
          </w:p>
        </w:tc>
        <w:tc>
          <w:tcPr>
            <w:tcW w:w="289" w:type="pct"/>
            <w:shd w:val="clear" w:color="auto" w:fill="FFFFFF"/>
            <w:vAlign w:val="center"/>
          </w:tcPr>
          <w:p w14:paraId="33686CEE">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r>
      <w:tr w14:paraId="38451B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2" w:type="pct"/>
            <w:shd w:val="clear" w:color="auto" w:fill="FFFFFF"/>
            <w:vAlign w:val="center"/>
          </w:tcPr>
          <w:p w14:paraId="2A1DA670">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2</w:t>
            </w:r>
          </w:p>
        </w:tc>
        <w:tc>
          <w:tcPr>
            <w:tcW w:w="267" w:type="pct"/>
            <w:shd w:val="clear" w:color="auto" w:fill="FFFFFF"/>
            <w:vAlign w:val="center"/>
          </w:tcPr>
          <w:p w14:paraId="108B0CDD">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风机</w:t>
            </w:r>
          </w:p>
        </w:tc>
        <w:tc>
          <w:tcPr>
            <w:tcW w:w="258" w:type="pct"/>
            <w:shd w:val="clear" w:color="auto" w:fill="FFFFFF"/>
            <w:vAlign w:val="center"/>
          </w:tcPr>
          <w:p w14:paraId="36174E60">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换气风机</w:t>
            </w:r>
          </w:p>
        </w:tc>
        <w:tc>
          <w:tcPr>
            <w:tcW w:w="262" w:type="pct"/>
            <w:shd w:val="clear" w:color="auto" w:fill="FFFFFF"/>
            <w:vAlign w:val="center"/>
          </w:tcPr>
          <w:p w14:paraId="2BEC9384">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24寸</w:t>
            </w:r>
          </w:p>
        </w:tc>
        <w:tc>
          <w:tcPr>
            <w:tcW w:w="473" w:type="pct"/>
            <w:shd w:val="clear" w:color="auto" w:fill="FFFFFF"/>
            <w:vAlign w:val="center"/>
          </w:tcPr>
          <w:p w14:paraId="6E7FAA35">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90</w:t>
            </w:r>
          </w:p>
        </w:tc>
        <w:tc>
          <w:tcPr>
            <w:tcW w:w="492" w:type="pct"/>
            <w:vMerge w:val="continue"/>
            <w:shd w:val="clear" w:color="auto" w:fill="FFFFFF"/>
            <w:vAlign w:val="center"/>
          </w:tcPr>
          <w:p w14:paraId="19737646">
            <w:pPr>
              <w:bidi w:val="0"/>
              <w:jc w:val="center"/>
              <w:rPr>
                <w:rFonts w:hint="default" w:ascii="Times New Roman" w:hAnsi="Times New Roman" w:eastAsia="宋体" w:cs="Times New Roman"/>
                <w:color w:val="auto"/>
                <w:highlight w:val="none"/>
              </w:rPr>
            </w:pPr>
          </w:p>
        </w:tc>
        <w:tc>
          <w:tcPr>
            <w:tcW w:w="303" w:type="pct"/>
            <w:shd w:val="clear" w:color="auto" w:fill="FFFFFF"/>
            <w:vAlign w:val="center"/>
          </w:tcPr>
          <w:p w14:paraId="7DE7AB84">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110.19</w:t>
            </w:r>
          </w:p>
        </w:tc>
        <w:tc>
          <w:tcPr>
            <w:tcW w:w="303" w:type="pct"/>
            <w:shd w:val="clear" w:color="auto" w:fill="FFFFFF"/>
            <w:vAlign w:val="center"/>
          </w:tcPr>
          <w:p w14:paraId="11899D2E">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152.8</w:t>
            </w:r>
          </w:p>
        </w:tc>
        <w:tc>
          <w:tcPr>
            <w:tcW w:w="212" w:type="pct"/>
            <w:shd w:val="clear" w:color="auto" w:fill="FFFFFF"/>
            <w:vAlign w:val="center"/>
          </w:tcPr>
          <w:p w14:paraId="6D670F18">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c>
          <w:tcPr>
            <w:tcW w:w="367" w:type="pct"/>
            <w:shd w:val="clear" w:color="auto" w:fill="FFFFFF"/>
            <w:vAlign w:val="center"/>
          </w:tcPr>
          <w:p w14:paraId="2BB2E230">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10</w:t>
            </w:r>
          </w:p>
        </w:tc>
        <w:tc>
          <w:tcPr>
            <w:tcW w:w="471" w:type="pct"/>
            <w:shd w:val="clear" w:color="auto" w:fill="FFFFFF"/>
            <w:vAlign w:val="center"/>
          </w:tcPr>
          <w:p w14:paraId="1066B05D">
            <w:pPr>
              <w:bidi w:val="0"/>
              <w:jc w:val="center"/>
              <w:rPr>
                <w:rFonts w:hint="default" w:ascii="Times New Roman" w:hAnsi="Times New Roman" w:eastAsia="宋体" w:cs="Times New Roman"/>
                <w:color w:val="auto"/>
                <w:highlight w:val="none"/>
                <w:lang w:val="en-US"/>
              </w:rPr>
            </w:pPr>
            <w:r>
              <w:rPr>
                <w:rFonts w:hint="default" w:ascii="Times New Roman" w:hAnsi="Times New Roman" w:eastAsia="宋体" w:cs="Times New Roman"/>
                <w:color w:val="auto"/>
                <w:highlight w:val="none"/>
                <w:lang w:val="en-US" w:eastAsia="zh-CN"/>
              </w:rPr>
              <w:t>70</w:t>
            </w:r>
          </w:p>
        </w:tc>
        <w:tc>
          <w:tcPr>
            <w:tcW w:w="237" w:type="pct"/>
            <w:shd w:val="clear" w:color="auto" w:fill="FFFFFF"/>
            <w:vAlign w:val="center"/>
          </w:tcPr>
          <w:p w14:paraId="359FEB5B">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昼间</w:t>
            </w:r>
          </w:p>
          <w:p w14:paraId="621E06E3">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夜间</w:t>
            </w:r>
          </w:p>
        </w:tc>
        <w:tc>
          <w:tcPr>
            <w:tcW w:w="515" w:type="pct"/>
            <w:shd w:val="clear" w:color="auto" w:fill="FFFFFF"/>
            <w:vAlign w:val="center"/>
          </w:tcPr>
          <w:p w14:paraId="6F3A7BDB">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20</w:t>
            </w:r>
          </w:p>
        </w:tc>
        <w:tc>
          <w:tcPr>
            <w:tcW w:w="376" w:type="pct"/>
            <w:shd w:val="clear" w:color="auto" w:fill="FFFFFF"/>
            <w:vAlign w:val="center"/>
          </w:tcPr>
          <w:p w14:paraId="5137797B">
            <w:pPr>
              <w:bidi w:val="0"/>
              <w:jc w:val="center"/>
              <w:rPr>
                <w:rFonts w:hint="default" w:ascii="Times New Roman" w:hAnsi="Times New Roman" w:eastAsia="宋体" w:cs="Times New Roman"/>
                <w:color w:val="auto"/>
                <w:highlight w:val="none"/>
                <w:lang w:val="en-US"/>
              </w:rPr>
            </w:pPr>
            <w:r>
              <w:rPr>
                <w:rFonts w:hint="default" w:ascii="Times New Roman" w:hAnsi="Times New Roman" w:eastAsia="宋体" w:cs="Times New Roman"/>
                <w:color w:val="auto"/>
                <w:highlight w:val="none"/>
                <w:lang w:val="en-US" w:eastAsia="zh-CN"/>
              </w:rPr>
              <w:t>50</w:t>
            </w:r>
          </w:p>
        </w:tc>
        <w:tc>
          <w:tcPr>
            <w:tcW w:w="289" w:type="pct"/>
            <w:shd w:val="clear" w:color="auto" w:fill="FFFFFF"/>
            <w:vAlign w:val="center"/>
          </w:tcPr>
          <w:p w14:paraId="7D1CCAA5">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r>
      <w:tr w14:paraId="495024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2" w:type="pct"/>
            <w:shd w:val="clear" w:color="auto" w:fill="FFFFFF"/>
            <w:vAlign w:val="center"/>
          </w:tcPr>
          <w:p w14:paraId="7EFC17A2">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3</w:t>
            </w:r>
          </w:p>
        </w:tc>
        <w:tc>
          <w:tcPr>
            <w:tcW w:w="267" w:type="pct"/>
            <w:shd w:val="clear" w:color="auto" w:fill="FFFFFF"/>
            <w:vAlign w:val="center"/>
          </w:tcPr>
          <w:p w14:paraId="34859CA6">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TMR搅拌机</w:t>
            </w:r>
          </w:p>
        </w:tc>
        <w:tc>
          <w:tcPr>
            <w:tcW w:w="258" w:type="pct"/>
            <w:shd w:val="clear" w:color="auto" w:fill="FFFFFF"/>
            <w:vAlign w:val="center"/>
          </w:tcPr>
          <w:p w14:paraId="5F2FB19F">
            <w:pPr>
              <w:bidi w:val="0"/>
              <w:jc w:val="center"/>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lang w:val="en-US" w:eastAsia="zh-CN"/>
              </w:rPr>
              <w:t>设备运行</w:t>
            </w:r>
          </w:p>
        </w:tc>
        <w:tc>
          <w:tcPr>
            <w:tcW w:w="262" w:type="pct"/>
            <w:shd w:val="clear" w:color="auto" w:fill="FFFFFF"/>
            <w:vAlign w:val="center"/>
          </w:tcPr>
          <w:p w14:paraId="6C4073AB">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73" w:type="pct"/>
            <w:shd w:val="clear" w:color="auto" w:fill="FFFFFF"/>
            <w:vAlign w:val="center"/>
          </w:tcPr>
          <w:p w14:paraId="356F6522">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90</w:t>
            </w:r>
          </w:p>
        </w:tc>
        <w:tc>
          <w:tcPr>
            <w:tcW w:w="492" w:type="pct"/>
            <w:vMerge w:val="continue"/>
            <w:shd w:val="clear" w:color="auto" w:fill="FFFFFF"/>
            <w:vAlign w:val="center"/>
          </w:tcPr>
          <w:p w14:paraId="7DDE9C0C">
            <w:pPr>
              <w:bidi w:val="0"/>
              <w:jc w:val="center"/>
              <w:rPr>
                <w:rFonts w:hint="default" w:ascii="Times New Roman" w:hAnsi="Times New Roman" w:eastAsia="宋体" w:cs="Times New Roman"/>
                <w:color w:val="auto"/>
                <w:highlight w:val="none"/>
              </w:rPr>
            </w:pPr>
          </w:p>
        </w:tc>
        <w:tc>
          <w:tcPr>
            <w:tcW w:w="303" w:type="pct"/>
            <w:shd w:val="clear" w:color="auto" w:fill="FFFFFF"/>
            <w:vAlign w:val="center"/>
          </w:tcPr>
          <w:p w14:paraId="3C24CDBB">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16.07</w:t>
            </w:r>
          </w:p>
        </w:tc>
        <w:tc>
          <w:tcPr>
            <w:tcW w:w="303" w:type="pct"/>
            <w:shd w:val="clear" w:color="auto" w:fill="FFFFFF"/>
            <w:vAlign w:val="center"/>
          </w:tcPr>
          <w:p w14:paraId="36109608">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36.05</w:t>
            </w:r>
          </w:p>
        </w:tc>
        <w:tc>
          <w:tcPr>
            <w:tcW w:w="212" w:type="pct"/>
            <w:shd w:val="clear" w:color="auto" w:fill="FFFFFF"/>
            <w:vAlign w:val="center"/>
          </w:tcPr>
          <w:p w14:paraId="739234DE">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c>
          <w:tcPr>
            <w:tcW w:w="367" w:type="pct"/>
            <w:shd w:val="clear" w:color="auto" w:fill="FFFFFF"/>
            <w:vAlign w:val="center"/>
          </w:tcPr>
          <w:p w14:paraId="71EB2A0B">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8</w:t>
            </w:r>
          </w:p>
        </w:tc>
        <w:tc>
          <w:tcPr>
            <w:tcW w:w="471" w:type="pct"/>
            <w:shd w:val="clear" w:color="auto" w:fill="FFFFFF"/>
            <w:vAlign w:val="center"/>
          </w:tcPr>
          <w:p w14:paraId="69E2BCE6">
            <w:pPr>
              <w:bidi w:val="0"/>
              <w:jc w:val="center"/>
              <w:rPr>
                <w:rFonts w:hint="default" w:ascii="Times New Roman" w:hAnsi="Times New Roman" w:eastAsia="宋体" w:cs="Times New Roman"/>
                <w:color w:val="auto"/>
                <w:highlight w:val="none"/>
                <w:lang w:val="en-US"/>
              </w:rPr>
            </w:pPr>
            <w:r>
              <w:rPr>
                <w:rFonts w:hint="default" w:ascii="Times New Roman" w:hAnsi="Times New Roman" w:eastAsia="宋体" w:cs="Times New Roman"/>
                <w:color w:val="auto"/>
                <w:highlight w:val="none"/>
                <w:lang w:val="en-US" w:eastAsia="zh-CN"/>
              </w:rPr>
              <w:t>72</w:t>
            </w:r>
          </w:p>
        </w:tc>
        <w:tc>
          <w:tcPr>
            <w:tcW w:w="237" w:type="pct"/>
            <w:shd w:val="clear" w:color="auto" w:fill="FFFFFF"/>
            <w:vAlign w:val="center"/>
          </w:tcPr>
          <w:p w14:paraId="7F2B18F4">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昼间</w:t>
            </w:r>
          </w:p>
          <w:p w14:paraId="1AA9D29A">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夜间</w:t>
            </w:r>
          </w:p>
        </w:tc>
        <w:tc>
          <w:tcPr>
            <w:tcW w:w="515" w:type="pct"/>
            <w:shd w:val="clear" w:color="auto" w:fill="FFFFFF"/>
            <w:vAlign w:val="center"/>
          </w:tcPr>
          <w:p w14:paraId="19758B08">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20</w:t>
            </w:r>
          </w:p>
        </w:tc>
        <w:tc>
          <w:tcPr>
            <w:tcW w:w="376" w:type="pct"/>
            <w:shd w:val="clear" w:color="auto" w:fill="FFFFFF"/>
            <w:vAlign w:val="center"/>
          </w:tcPr>
          <w:p w14:paraId="5FA12E14">
            <w:pPr>
              <w:bidi w:val="0"/>
              <w:jc w:val="center"/>
              <w:rPr>
                <w:rFonts w:hint="default" w:ascii="Times New Roman" w:hAnsi="Times New Roman" w:eastAsia="宋体" w:cs="Times New Roman"/>
                <w:color w:val="auto"/>
                <w:highlight w:val="none"/>
                <w:lang w:val="en-US"/>
              </w:rPr>
            </w:pPr>
            <w:r>
              <w:rPr>
                <w:rFonts w:hint="default" w:ascii="Times New Roman" w:hAnsi="Times New Roman" w:eastAsia="宋体" w:cs="Times New Roman"/>
                <w:color w:val="auto"/>
                <w:highlight w:val="none"/>
                <w:lang w:val="en-US" w:eastAsia="zh-CN"/>
              </w:rPr>
              <w:t>52</w:t>
            </w:r>
          </w:p>
        </w:tc>
        <w:tc>
          <w:tcPr>
            <w:tcW w:w="289" w:type="pct"/>
            <w:shd w:val="clear" w:color="auto" w:fill="FFFFFF"/>
            <w:vAlign w:val="center"/>
          </w:tcPr>
          <w:p w14:paraId="1E213C1C">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r>
      <w:tr w14:paraId="59FD53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2" w:type="pct"/>
            <w:shd w:val="clear" w:color="auto" w:fill="FFFFFF"/>
            <w:vAlign w:val="center"/>
          </w:tcPr>
          <w:p w14:paraId="0FFC2FCE">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4</w:t>
            </w:r>
          </w:p>
        </w:tc>
        <w:tc>
          <w:tcPr>
            <w:tcW w:w="267" w:type="pct"/>
            <w:shd w:val="clear" w:color="auto" w:fill="FFFFFF"/>
            <w:vAlign w:val="center"/>
          </w:tcPr>
          <w:p w14:paraId="27779F23">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饲料装载机</w:t>
            </w:r>
          </w:p>
        </w:tc>
        <w:tc>
          <w:tcPr>
            <w:tcW w:w="258" w:type="pct"/>
            <w:shd w:val="clear" w:color="auto" w:fill="FFFFFF"/>
            <w:vAlign w:val="center"/>
          </w:tcPr>
          <w:p w14:paraId="524A3100">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设备运行</w:t>
            </w:r>
          </w:p>
        </w:tc>
        <w:tc>
          <w:tcPr>
            <w:tcW w:w="262" w:type="pct"/>
            <w:shd w:val="clear" w:color="auto" w:fill="FFFFFF"/>
            <w:vAlign w:val="center"/>
          </w:tcPr>
          <w:p w14:paraId="021E4F73">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73" w:type="pct"/>
            <w:shd w:val="clear" w:color="auto" w:fill="FFFFFF"/>
            <w:vAlign w:val="center"/>
          </w:tcPr>
          <w:p w14:paraId="5CDFD0F1">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90</w:t>
            </w:r>
          </w:p>
        </w:tc>
        <w:tc>
          <w:tcPr>
            <w:tcW w:w="492" w:type="pct"/>
            <w:vMerge w:val="continue"/>
            <w:shd w:val="clear" w:color="auto" w:fill="FFFFFF"/>
            <w:vAlign w:val="center"/>
          </w:tcPr>
          <w:p w14:paraId="7ADE173C">
            <w:pPr>
              <w:bidi w:val="0"/>
              <w:jc w:val="center"/>
              <w:rPr>
                <w:rFonts w:hint="default" w:ascii="Times New Roman" w:hAnsi="Times New Roman" w:eastAsia="宋体" w:cs="Times New Roman"/>
                <w:color w:val="auto"/>
                <w:highlight w:val="none"/>
              </w:rPr>
            </w:pPr>
          </w:p>
        </w:tc>
        <w:tc>
          <w:tcPr>
            <w:tcW w:w="303" w:type="pct"/>
            <w:shd w:val="clear" w:color="auto" w:fill="FFFFFF"/>
            <w:vAlign w:val="center"/>
          </w:tcPr>
          <w:p w14:paraId="2179C11A">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30.07</w:t>
            </w:r>
          </w:p>
        </w:tc>
        <w:tc>
          <w:tcPr>
            <w:tcW w:w="303" w:type="pct"/>
            <w:shd w:val="clear" w:color="auto" w:fill="FFFFFF"/>
            <w:vAlign w:val="center"/>
          </w:tcPr>
          <w:p w14:paraId="5D740C73">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36.00</w:t>
            </w:r>
          </w:p>
        </w:tc>
        <w:tc>
          <w:tcPr>
            <w:tcW w:w="212" w:type="pct"/>
            <w:shd w:val="clear" w:color="auto" w:fill="FFFFFF"/>
            <w:vAlign w:val="center"/>
          </w:tcPr>
          <w:p w14:paraId="2ACA962F">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c>
          <w:tcPr>
            <w:tcW w:w="367" w:type="pct"/>
            <w:shd w:val="clear" w:color="auto" w:fill="FFFFFF"/>
            <w:vAlign w:val="center"/>
          </w:tcPr>
          <w:p w14:paraId="64C57F49">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5</w:t>
            </w:r>
          </w:p>
        </w:tc>
        <w:tc>
          <w:tcPr>
            <w:tcW w:w="471" w:type="pct"/>
            <w:shd w:val="clear" w:color="auto" w:fill="FFFFFF"/>
            <w:vAlign w:val="center"/>
          </w:tcPr>
          <w:p w14:paraId="083A6BF1">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76</w:t>
            </w:r>
          </w:p>
        </w:tc>
        <w:tc>
          <w:tcPr>
            <w:tcW w:w="237" w:type="pct"/>
            <w:shd w:val="clear" w:color="auto" w:fill="FFFFFF"/>
            <w:vAlign w:val="center"/>
          </w:tcPr>
          <w:p w14:paraId="1FA6C31F">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昼间</w:t>
            </w:r>
          </w:p>
          <w:p w14:paraId="14224744">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夜间</w:t>
            </w:r>
          </w:p>
        </w:tc>
        <w:tc>
          <w:tcPr>
            <w:tcW w:w="515" w:type="pct"/>
            <w:shd w:val="clear" w:color="auto" w:fill="FFFFFF"/>
            <w:vAlign w:val="center"/>
          </w:tcPr>
          <w:p w14:paraId="392648AE">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20</w:t>
            </w:r>
          </w:p>
        </w:tc>
        <w:tc>
          <w:tcPr>
            <w:tcW w:w="376" w:type="pct"/>
            <w:shd w:val="clear" w:color="auto" w:fill="FFFFFF"/>
            <w:vAlign w:val="center"/>
          </w:tcPr>
          <w:p w14:paraId="0E0D6DEE">
            <w:pPr>
              <w:bidi w:val="0"/>
              <w:jc w:val="center"/>
              <w:rPr>
                <w:rFonts w:hint="default" w:ascii="Times New Roman" w:hAnsi="Times New Roman" w:eastAsia="宋体" w:cs="Times New Roman"/>
                <w:color w:val="auto"/>
                <w:highlight w:val="none"/>
                <w:lang w:val="en-US"/>
              </w:rPr>
            </w:pPr>
            <w:r>
              <w:rPr>
                <w:rFonts w:hint="default" w:ascii="Times New Roman" w:hAnsi="Times New Roman" w:eastAsia="宋体" w:cs="Times New Roman"/>
                <w:color w:val="auto"/>
                <w:highlight w:val="none"/>
                <w:lang w:val="en-US" w:eastAsia="zh-CN"/>
              </w:rPr>
              <w:t>56</w:t>
            </w:r>
          </w:p>
        </w:tc>
        <w:tc>
          <w:tcPr>
            <w:tcW w:w="289" w:type="pct"/>
            <w:shd w:val="clear" w:color="auto" w:fill="FFFFFF"/>
            <w:vAlign w:val="center"/>
          </w:tcPr>
          <w:p w14:paraId="2E2B750C">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r>
      <w:tr w14:paraId="373648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2" w:type="pct"/>
            <w:shd w:val="clear" w:color="auto" w:fill="FFFFFF"/>
            <w:vAlign w:val="center"/>
          </w:tcPr>
          <w:p w14:paraId="148656E8">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5</w:t>
            </w:r>
          </w:p>
        </w:tc>
        <w:tc>
          <w:tcPr>
            <w:tcW w:w="267" w:type="pct"/>
            <w:shd w:val="clear" w:color="auto" w:fill="FFFFFF"/>
            <w:vAlign w:val="center"/>
          </w:tcPr>
          <w:p w14:paraId="7A5D30B0">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清运机</w:t>
            </w:r>
          </w:p>
        </w:tc>
        <w:tc>
          <w:tcPr>
            <w:tcW w:w="258" w:type="pct"/>
            <w:shd w:val="clear" w:color="auto" w:fill="FFFFFF"/>
            <w:vAlign w:val="center"/>
          </w:tcPr>
          <w:p w14:paraId="33D1E043">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设备运行</w:t>
            </w:r>
          </w:p>
        </w:tc>
        <w:tc>
          <w:tcPr>
            <w:tcW w:w="262" w:type="pct"/>
            <w:shd w:val="clear" w:color="auto" w:fill="FFFFFF"/>
            <w:vAlign w:val="center"/>
          </w:tcPr>
          <w:p w14:paraId="18ECCED7">
            <w:pPr>
              <w:bidi w:val="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p>
        </w:tc>
        <w:tc>
          <w:tcPr>
            <w:tcW w:w="473" w:type="pct"/>
            <w:shd w:val="clear" w:color="auto" w:fill="FFFFFF"/>
            <w:vAlign w:val="center"/>
          </w:tcPr>
          <w:p w14:paraId="38EC5580">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90</w:t>
            </w:r>
          </w:p>
        </w:tc>
        <w:tc>
          <w:tcPr>
            <w:tcW w:w="492" w:type="pct"/>
            <w:vMerge w:val="continue"/>
            <w:shd w:val="clear" w:color="auto" w:fill="FFFFFF"/>
            <w:vAlign w:val="center"/>
          </w:tcPr>
          <w:p w14:paraId="1DC9A861">
            <w:pPr>
              <w:bidi w:val="0"/>
              <w:jc w:val="center"/>
              <w:rPr>
                <w:rFonts w:hint="default" w:ascii="Times New Roman" w:hAnsi="Times New Roman" w:eastAsia="宋体" w:cs="Times New Roman"/>
                <w:color w:val="auto"/>
                <w:highlight w:val="none"/>
              </w:rPr>
            </w:pPr>
          </w:p>
        </w:tc>
        <w:tc>
          <w:tcPr>
            <w:tcW w:w="303" w:type="pct"/>
            <w:shd w:val="clear" w:color="auto" w:fill="FFFFFF"/>
            <w:vAlign w:val="center"/>
          </w:tcPr>
          <w:p w14:paraId="0747163B">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-40.07</w:t>
            </w:r>
          </w:p>
        </w:tc>
        <w:tc>
          <w:tcPr>
            <w:tcW w:w="303" w:type="pct"/>
            <w:shd w:val="clear" w:color="auto" w:fill="FFFFFF"/>
            <w:vAlign w:val="center"/>
          </w:tcPr>
          <w:p w14:paraId="5DCA51C3">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10.10</w:t>
            </w:r>
          </w:p>
        </w:tc>
        <w:tc>
          <w:tcPr>
            <w:tcW w:w="212" w:type="pct"/>
            <w:shd w:val="clear" w:color="auto" w:fill="FFFFFF"/>
            <w:vAlign w:val="center"/>
          </w:tcPr>
          <w:p w14:paraId="75521CE6">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c>
          <w:tcPr>
            <w:tcW w:w="367" w:type="pct"/>
            <w:shd w:val="clear" w:color="auto" w:fill="FFFFFF"/>
            <w:vAlign w:val="center"/>
          </w:tcPr>
          <w:p w14:paraId="71C100DB">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10</w:t>
            </w:r>
          </w:p>
        </w:tc>
        <w:tc>
          <w:tcPr>
            <w:tcW w:w="471" w:type="pct"/>
            <w:shd w:val="clear" w:color="auto" w:fill="FFFFFF"/>
            <w:vAlign w:val="center"/>
          </w:tcPr>
          <w:p w14:paraId="24E0C1D1">
            <w:pPr>
              <w:bidi w:val="0"/>
              <w:jc w:val="center"/>
              <w:rPr>
                <w:rFonts w:hint="default" w:ascii="Times New Roman" w:hAnsi="Times New Roman" w:eastAsia="宋体" w:cs="Times New Roman"/>
                <w:color w:val="auto"/>
                <w:highlight w:val="none"/>
                <w:lang w:val="en-US"/>
              </w:rPr>
            </w:pPr>
            <w:r>
              <w:rPr>
                <w:rFonts w:hint="default" w:ascii="Times New Roman" w:hAnsi="Times New Roman" w:eastAsia="宋体" w:cs="Times New Roman"/>
                <w:color w:val="auto"/>
                <w:highlight w:val="none"/>
                <w:lang w:val="en-US" w:eastAsia="zh-CN"/>
              </w:rPr>
              <w:t>70</w:t>
            </w:r>
          </w:p>
        </w:tc>
        <w:tc>
          <w:tcPr>
            <w:tcW w:w="237" w:type="pct"/>
            <w:shd w:val="clear" w:color="auto" w:fill="FFFFFF"/>
            <w:vAlign w:val="center"/>
          </w:tcPr>
          <w:p w14:paraId="19F2EED9">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昼间</w:t>
            </w:r>
          </w:p>
          <w:p w14:paraId="6B62265A">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夜间</w:t>
            </w:r>
          </w:p>
        </w:tc>
        <w:tc>
          <w:tcPr>
            <w:tcW w:w="515" w:type="pct"/>
            <w:shd w:val="clear" w:color="auto" w:fill="FFFFFF"/>
            <w:vAlign w:val="center"/>
          </w:tcPr>
          <w:p w14:paraId="539FECE9">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20</w:t>
            </w:r>
          </w:p>
        </w:tc>
        <w:tc>
          <w:tcPr>
            <w:tcW w:w="376" w:type="pct"/>
            <w:shd w:val="clear" w:color="auto" w:fill="FFFFFF"/>
            <w:vAlign w:val="center"/>
          </w:tcPr>
          <w:p w14:paraId="41475A79">
            <w:pPr>
              <w:bidi w:val="0"/>
              <w:jc w:val="center"/>
              <w:rPr>
                <w:rFonts w:hint="default" w:ascii="Times New Roman" w:hAnsi="Times New Roman" w:eastAsia="宋体" w:cs="Times New Roman"/>
                <w:color w:val="auto"/>
                <w:highlight w:val="none"/>
                <w:lang w:val="en-US"/>
              </w:rPr>
            </w:pPr>
            <w:r>
              <w:rPr>
                <w:rFonts w:hint="default" w:ascii="Times New Roman" w:hAnsi="Times New Roman" w:eastAsia="宋体" w:cs="Times New Roman"/>
                <w:color w:val="auto"/>
                <w:highlight w:val="none"/>
                <w:lang w:val="en-US" w:eastAsia="zh-CN"/>
              </w:rPr>
              <w:t>50</w:t>
            </w:r>
          </w:p>
        </w:tc>
        <w:tc>
          <w:tcPr>
            <w:tcW w:w="289" w:type="pct"/>
            <w:shd w:val="clear" w:color="auto" w:fill="FFFFFF"/>
            <w:vAlign w:val="center"/>
          </w:tcPr>
          <w:p w14:paraId="09DB13DF">
            <w:pPr>
              <w:bidi w:val="0"/>
              <w:jc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w:t>
            </w:r>
          </w:p>
        </w:tc>
      </w:tr>
    </w:tbl>
    <w:p w14:paraId="3210E787">
      <w:pPr>
        <w:pStyle w:val="11"/>
        <w:rPr>
          <w:rFonts w:hint="default" w:ascii="Times New Roman" w:hAnsi="Times New Roman" w:eastAsia="宋体" w:cs="Times New Roman"/>
          <w:b/>
          <w:bCs/>
          <w:color w:val="auto"/>
          <w:spacing w:val="-1"/>
          <w:sz w:val="24"/>
          <w:szCs w:val="24"/>
          <w:highlight w:val="none"/>
          <w:lang w:val="en-US" w:eastAsia="zh-CN"/>
        </w:rPr>
      </w:pPr>
    </w:p>
    <w:p w14:paraId="11F1C51D">
      <w:pPr>
        <w:pStyle w:val="32"/>
        <w:rPr>
          <w:rFonts w:hint="default" w:ascii="Times New Roman" w:hAnsi="Times New Roman" w:cs="Times New Roman"/>
          <w:color w:val="auto"/>
          <w:highlight w:val="none"/>
          <w:lang w:val="en-US" w:eastAsia="zh-CN"/>
        </w:rPr>
        <w:sectPr>
          <w:headerReference r:id="rId23" w:type="default"/>
          <w:footerReference r:id="rId24"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56CC59CB">
      <w:pPr>
        <w:keepNext w:val="0"/>
        <w:keepLines w:val="0"/>
        <w:pageBreakBefore w:val="0"/>
        <w:widowControl/>
        <w:kinsoku/>
        <w:wordWrap w:val="0"/>
        <w:overflowPunct/>
        <w:topLinePunct/>
        <w:autoSpaceDE/>
        <w:autoSpaceDN/>
        <w:bidi w:val="0"/>
        <w:adjustRightInd w:val="0"/>
        <w:snapToGrid w:val="0"/>
        <w:spacing w:line="360" w:lineRule="auto"/>
        <w:ind w:right="0" w:firstLine="478" w:firstLineChars="20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3.3.2.4固体废物</w:t>
      </w:r>
    </w:p>
    <w:p w14:paraId="738EF798">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本项目固体废物主要来源是牛粪及垫料、病死牛、医疗废</w:t>
      </w:r>
      <w:r>
        <w:rPr>
          <w:rFonts w:hint="default" w:ascii="Times New Roman" w:hAnsi="Times New Roman" w:eastAsia="宋体" w:cs="Times New Roman"/>
          <w:color w:val="auto"/>
          <w:spacing w:val="-1"/>
          <w:sz w:val="24"/>
          <w:szCs w:val="24"/>
          <w:highlight w:val="none"/>
        </w:rPr>
        <w:t>物</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防疫过程产生的废注射器和废药瓶、病牛治疗过程产生的废注射器和废药瓶）</w:t>
      </w:r>
      <w:r>
        <w:rPr>
          <w:rFonts w:hint="default" w:ascii="Times New Roman" w:hAnsi="Times New Roman" w:eastAsia="宋体" w:cs="Times New Roman"/>
          <w:color w:val="auto"/>
          <w:spacing w:val="-1"/>
          <w:sz w:val="24"/>
          <w:szCs w:val="24"/>
          <w:highlight w:val="none"/>
        </w:rPr>
        <w:t>及职工生活垃圾等。</w:t>
      </w:r>
    </w:p>
    <w:p w14:paraId="339DED3C">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z w:val="24"/>
          <w:szCs w:val="24"/>
          <w:highlight w:val="none"/>
          <w:lang w:val="en-US" w:eastAsia="zh-CN"/>
        </w:rPr>
        <w:t>牛舍更换的发酵床垫料</w:t>
      </w:r>
    </w:p>
    <w:p w14:paraId="0FA1E356">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eastAsia="zh-CN"/>
        </w:rPr>
      </w:pPr>
      <w:r>
        <w:rPr>
          <w:rFonts w:hint="default" w:ascii="Times New Roman" w:hAnsi="Times New Roman" w:eastAsia="宋体" w:cs="Times New Roman"/>
          <w:color w:val="auto"/>
          <w:sz w:val="24"/>
          <w:szCs w:val="24"/>
          <w:highlight w:val="none"/>
        </w:rPr>
        <w:t>根据《排污许可证申请与核发技术规范 畜禽养殖行业》（HJ1029</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2019）“表9 各类畜禽污染物产生量：肉牛粪便产生量为10.88kg/d·头”</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年存栏量5000头</w:t>
      </w:r>
      <w:r>
        <w:rPr>
          <w:rFonts w:hint="default" w:ascii="Times New Roman" w:hAnsi="Times New Roman" w:eastAsia="宋体" w:cs="Times New Roman"/>
          <w:color w:val="auto"/>
          <w:sz w:val="24"/>
          <w:szCs w:val="24"/>
          <w:highlight w:val="none"/>
        </w:rPr>
        <w:t>，则养殖场牛粪产生量为</w:t>
      </w:r>
      <w:r>
        <w:rPr>
          <w:rFonts w:hint="default" w:ascii="Times New Roman" w:hAnsi="Times New Roman" w:eastAsia="宋体" w:cs="Times New Roman"/>
          <w:color w:val="auto"/>
          <w:sz w:val="24"/>
          <w:szCs w:val="24"/>
          <w:highlight w:val="none"/>
          <w:lang w:val="en-US" w:eastAsia="zh-CN"/>
        </w:rPr>
        <w:t>19856</w:t>
      </w:r>
      <w:r>
        <w:rPr>
          <w:rFonts w:hint="default" w:ascii="Times New Roman" w:hAnsi="Times New Roman" w:eastAsia="宋体" w:cs="Times New Roman"/>
          <w:color w:val="auto"/>
          <w:sz w:val="24"/>
          <w:szCs w:val="24"/>
          <w:highlight w:val="none"/>
        </w:rPr>
        <w:t>t/a（</w:t>
      </w:r>
      <w:r>
        <w:rPr>
          <w:rFonts w:hint="default" w:ascii="Times New Roman" w:hAnsi="Times New Roman" w:eastAsia="宋体" w:cs="Times New Roman"/>
          <w:color w:val="auto"/>
          <w:sz w:val="24"/>
          <w:szCs w:val="24"/>
          <w:highlight w:val="none"/>
          <w:lang w:val="en-US" w:eastAsia="zh-CN"/>
        </w:rPr>
        <w:t>54.4</w:t>
      </w:r>
      <w:r>
        <w:rPr>
          <w:rFonts w:hint="default" w:ascii="Times New Roman" w:hAnsi="Times New Roman" w:eastAsia="宋体" w:cs="Times New Roman"/>
          <w:color w:val="auto"/>
          <w:sz w:val="24"/>
          <w:szCs w:val="24"/>
          <w:highlight w:val="none"/>
        </w:rPr>
        <w:t>t/d）。</w:t>
      </w:r>
      <w:r>
        <w:rPr>
          <w:rFonts w:hint="default" w:ascii="Times New Roman" w:hAnsi="Times New Roman" w:eastAsia="宋体" w:cs="Times New Roman"/>
          <w:color w:val="auto"/>
          <w:sz w:val="24"/>
          <w:szCs w:val="24"/>
          <w:highlight w:val="none"/>
          <w:lang w:val="en-US" w:eastAsia="zh-CN"/>
        </w:rPr>
        <w:t>本项目采用</w:t>
      </w:r>
      <w:r>
        <w:rPr>
          <w:rFonts w:hint="default" w:ascii="Times New Roman" w:hAnsi="Times New Roman" w:eastAsia="宋体" w:cs="Times New Roman"/>
          <w:snapToGrid w:val="0"/>
          <w:color w:val="auto"/>
          <w:kern w:val="0"/>
          <w:sz w:val="24"/>
          <w:szCs w:val="24"/>
          <w:highlight w:val="none"/>
        </w:rPr>
        <w:t>干撒式发酵床发酵菌剂可将牛尿、牛粪一部分降解为水蒸气和二氧化碳，另一部分转化为粗蛋白、菌体蛋白和维生素等营养物质。</w:t>
      </w:r>
      <w:r>
        <w:rPr>
          <w:rFonts w:hint="default" w:ascii="Times New Roman" w:hAnsi="Times New Roman" w:eastAsia="宋体" w:cs="Times New Roman"/>
          <w:color w:val="auto"/>
          <w:sz w:val="24"/>
          <w:highlight w:val="none"/>
        </w:rPr>
        <w:t>根据前文工程分析，</w:t>
      </w:r>
      <w:r>
        <w:rPr>
          <w:rFonts w:hint="default"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kern w:val="2"/>
          <w:sz w:val="24"/>
          <w:szCs w:val="24"/>
          <w:highlight w:val="none"/>
          <w:lang w:val="zh-CN" w:eastAsia="zh-CN"/>
        </w:rPr>
        <w:t>产生的牛尿</w:t>
      </w:r>
      <w:r>
        <w:rPr>
          <w:rFonts w:hint="default" w:ascii="Times New Roman" w:hAnsi="Times New Roman" w:eastAsia="宋体" w:cs="Times New Roman"/>
          <w:color w:val="auto"/>
          <w:kern w:val="2"/>
          <w:sz w:val="24"/>
          <w:szCs w:val="24"/>
          <w:highlight w:val="none"/>
          <w:lang w:val="en-US" w:eastAsia="zh-CN"/>
        </w:rPr>
        <w:t>为18250t</w:t>
      </w:r>
      <w:r>
        <w:rPr>
          <w:rFonts w:hint="default" w:ascii="Times New Roman" w:hAnsi="Times New Roman" w:eastAsia="宋体" w:cs="Times New Roman"/>
          <w:color w:val="auto"/>
          <w:sz w:val="24"/>
          <w:highlight w:val="none"/>
        </w:rPr>
        <w:t>/a</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本项目牛粪和牛尿产生总量为</w:t>
      </w:r>
      <w:r>
        <w:rPr>
          <w:rFonts w:hint="default" w:ascii="Times New Roman" w:hAnsi="Times New Roman" w:eastAsia="宋体" w:cs="Times New Roman"/>
          <w:color w:val="auto"/>
          <w:sz w:val="24"/>
          <w:highlight w:val="none"/>
          <w:lang w:val="en-US" w:eastAsia="zh-CN"/>
        </w:rPr>
        <w:t>38106</w:t>
      </w:r>
      <w:r>
        <w:rPr>
          <w:rFonts w:hint="default" w:ascii="Times New Roman" w:hAnsi="Times New Roman" w:eastAsia="宋体" w:cs="Times New Roman"/>
          <w:color w:val="auto"/>
          <w:sz w:val="24"/>
          <w:highlight w:val="none"/>
        </w:rPr>
        <w:t>t/a</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snapToGrid w:val="0"/>
          <w:color w:val="auto"/>
          <w:kern w:val="0"/>
          <w:sz w:val="24"/>
          <w:szCs w:val="24"/>
          <w:highlight w:val="none"/>
        </w:rPr>
        <w:t>发酵床</w:t>
      </w:r>
      <w:r>
        <w:rPr>
          <w:rFonts w:hint="default" w:ascii="Times New Roman" w:hAnsi="Times New Roman" w:eastAsia="宋体" w:cs="Times New Roman"/>
          <w:color w:val="auto"/>
          <w:sz w:val="24"/>
          <w:highlight w:val="none"/>
          <w:lang w:eastAsia="zh-CN"/>
        </w:rPr>
        <w:t>中大量微生物通过呼吸作用能将粪尿</w:t>
      </w:r>
      <w:r>
        <w:rPr>
          <w:rFonts w:hint="default" w:ascii="Times New Roman" w:hAnsi="Times New Roman" w:eastAsia="宋体" w:cs="Times New Roman"/>
          <w:snapToGrid w:val="0"/>
          <w:color w:val="auto"/>
          <w:kern w:val="0"/>
          <w:sz w:val="24"/>
          <w:szCs w:val="24"/>
          <w:highlight w:val="none"/>
        </w:rPr>
        <w:t>降解为水蒸气和二氧化碳</w:t>
      </w:r>
      <w:r>
        <w:rPr>
          <w:rFonts w:hint="default" w:ascii="Times New Roman" w:hAnsi="Times New Roman" w:eastAsia="宋体" w:cs="Times New Roman"/>
          <w:color w:val="auto"/>
          <w:sz w:val="24"/>
          <w:highlight w:val="none"/>
          <w:lang w:eastAsia="zh-CN"/>
        </w:rPr>
        <w:t>，同时产生大量的热量，剩余固体部分为</w:t>
      </w:r>
      <w:r>
        <w:rPr>
          <w:rFonts w:hint="default" w:ascii="Times New Roman" w:hAnsi="Times New Roman" w:eastAsia="宋体" w:cs="Times New Roman"/>
          <w:color w:val="auto"/>
          <w:sz w:val="24"/>
          <w:highlight w:val="none"/>
          <w:lang w:val="en-US" w:eastAsia="zh-CN"/>
        </w:rPr>
        <w:t>19053</w:t>
      </w:r>
      <w:r>
        <w:rPr>
          <w:rFonts w:hint="default" w:ascii="Times New Roman" w:hAnsi="Times New Roman" w:eastAsia="宋体" w:cs="Times New Roman"/>
          <w:color w:val="auto"/>
          <w:sz w:val="24"/>
          <w:highlight w:val="none"/>
        </w:rPr>
        <w:t>t/a</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FF0000"/>
          <w:sz w:val="24"/>
          <w:highlight w:val="none"/>
          <w:lang w:eastAsia="zh-CN"/>
        </w:rPr>
        <w:t>根据</w:t>
      </w:r>
      <w:r>
        <w:rPr>
          <w:rFonts w:hint="eastAsia" w:ascii="Times New Roman" w:hAnsi="Times New Roman" w:eastAsia="宋体" w:cs="Times New Roman"/>
          <w:color w:val="FF0000"/>
          <w:sz w:val="24"/>
          <w:highlight w:val="none"/>
          <w:lang w:val="en-US" w:eastAsia="zh-CN"/>
        </w:rPr>
        <w:t>干撒式发酵床设计</w:t>
      </w:r>
      <w:r>
        <w:rPr>
          <w:rFonts w:hint="default" w:ascii="Times New Roman" w:hAnsi="Times New Roman" w:eastAsia="宋体" w:cs="Times New Roman"/>
          <w:color w:val="FF0000"/>
          <w:sz w:val="24"/>
          <w:highlight w:val="none"/>
          <w:lang w:eastAsia="zh-CN"/>
        </w:rPr>
        <w:t>单位提供的资料计算，垫料铺设厚度在</w:t>
      </w:r>
      <w:r>
        <w:rPr>
          <w:rFonts w:hint="default" w:ascii="Times New Roman" w:hAnsi="Times New Roman" w:eastAsia="宋体" w:cs="Times New Roman"/>
          <w:color w:val="FF0000"/>
          <w:sz w:val="24"/>
          <w:highlight w:val="none"/>
          <w:lang w:val="en-US" w:eastAsia="zh-CN"/>
        </w:rPr>
        <w:t>50</w:t>
      </w:r>
      <w:r>
        <w:rPr>
          <w:rFonts w:hint="default" w:ascii="Times New Roman" w:hAnsi="Times New Roman" w:eastAsia="宋体" w:cs="Times New Roman"/>
          <w:color w:val="FF0000"/>
          <w:sz w:val="24"/>
          <w:highlight w:val="none"/>
          <w:lang w:eastAsia="zh-CN"/>
        </w:rPr>
        <w:t>cm左右，发酵床占地面积</w:t>
      </w:r>
      <w:r>
        <w:rPr>
          <w:rFonts w:hint="default" w:ascii="Times New Roman" w:hAnsi="Times New Roman" w:eastAsia="宋体" w:cs="Times New Roman"/>
          <w:color w:val="FF0000"/>
          <w:sz w:val="24"/>
          <w:highlight w:val="none"/>
          <w:lang w:val="en-US" w:eastAsia="zh-CN"/>
        </w:rPr>
        <w:t>27900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2</w:t>
      </w:r>
      <w:r>
        <w:rPr>
          <w:rFonts w:hint="default" w:ascii="Times New Roman" w:hAnsi="Times New Roman" w:eastAsia="宋体" w:cs="Times New Roman"/>
          <w:color w:val="FF0000"/>
          <w:sz w:val="24"/>
          <w:highlight w:val="none"/>
          <w:lang w:eastAsia="zh-CN"/>
        </w:rPr>
        <w:t>，则需要的垫料量约为</w:t>
      </w:r>
      <w:r>
        <w:rPr>
          <w:rFonts w:hint="default" w:ascii="Times New Roman" w:hAnsi="Times New Roman" w:eastAsia="宋体" w:cs="Times New Roman"/>
          <w:color w:val="FF0000"/>
          <w:sz w:val="24"/>
          <w:highlight w:val="none"/>
          <w:lang w:val="en-US" w:eastAsia="zh-CN"/>
        </w:rPr>
        <w:t>13950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3</w:t>
      </w:r>
      <w:r>
        <w:rPr>
          <w:rFonts w:hint="default" w:ascii="Times New Roman" w:hAnsi="Times New Roman" w:eastAsia="宋体" w:cs="Times New Roman"/>
          <w:color w:val="FF0000"/>
          <w:sz w:val="24"/>
          <w:highlight w:val="none"/>
          <w:lang w:eastAsia="zh-CN"/>
        </w:rPr>
        <w:t>（1m</w:t>
      </w:r>
      <w:r>
        <w:rPr>
          <w:rFonts w:hint="default" w:ascii="Times New Roman" w:hAnsi="Times New Roman" w:eastAsia="宋体" w:cs="Times New Roman"/>
          <w:color w:val="FF0000"/>
          <w:sz w:val="24"/>
          <w:highlight w:val="none"/>
          <w:vertAlign w:val="superscript"/>
          <w:lang w:eastAsia="zh-CN"/>
        </w:rPr>
        <w:t>3</w:t>
      </w:r>
      <w:r>
        <w:rPr>
          <w:rFonts w:hint="default" w:ascii="Times New Roman" w:hAnsi="Times New Roman" w:eastAsia="宋体" w:cs="Times New Roman"/>
          <w:color w:val="FF0000"/>
          <w:sz w:val="24"/>
          <w:highlight w:val="none"/>
          <w:lang w:eastAsia="zh-CN"/>
        </w:rPr>
        <w:t>垫料约为0.2</w:t>
      </w:r>
      <w:r>
        <w:rPr>
          <w:rFonts w:hint="default" w:ascii="Times New Roman" w:hAnsi="Times New Roman" w:eastAsia="宋体" w:cs="Times New Roman"/>
          <w:color w:val="FF0000"/>
          <w:sz w:val="24"/>
          <w:highlight w:val="none"/>
          <w:lang w:val="en-US" w:eastAsia="zh-CN"/>
        </w:rPr>
        <w:t>0</w:t>
      </w:r>
      <w:r>
        <w:rPr>
          <w:rFonts w:hint="default" w:ascii="Times New Roman" w:hAnsi="Times New Roman" w:eastAsia="宋体" w:cs="Times New Roman"/>
          <w:color w:val="FF0000"/>
          <w:sz w:val="24"/>
          <w:highlight w:val="none"/>
          <w:lang w:eastAsia="zh-CN"/>
        </w:rPr>
        <w:t>t），垫料按</w:t>
      </w:r>
      <w:r>
        <w:rPr>
          <w:rFonts w:hint="default" w:ascii="Times New Roman" w:hAnsi="Times New Roman" w:eastAsia="宋体" w:cs="Times New Roman"/>
          <w:color w:val="FF0000"/>
          <w:sz w:val="24"/>
          <w:highlight w:val="none"/>
          <w:lang w:val="en-US" w:eastAsia="zh-CN"/>
        </w:rPr>
        <w:t>一</w:t>
      </w:r>
      <w:r>
        <w:rPr>
          <w:rFonts w:hint="default" w:ascii="Times New Roman" w:hAnsi="Times New Roman" w:eastAsia="宋体" w:cs="Times New Roman"/>
          <w:color w:val="FF0000"/>
          <w:sz w:val="24"/>
          <w:highlight w:val="none"/>
          <w:lang w:eastAsia="zh-CN"/>
        </w:rPr>
        <w:t>年更换</w:t>
      </w:r>
      <w:r>
        <w:rPr>
          <w:rFonts w:hint="default" w:ascii="Times New Roman" w:hAnsi="Times New Roman" w:eastAsia="宋体" w:cs="Times New Roman"/>
          <w:color w:val="FF0000"/>
          <w:sz w:val="24"/>
          <w:highlight w:val="none"/>
          <w:lang w:val="en-US" w:eastAsia="zh-CN"/>
        </w:rPr>
        <w:t>1</w:t>
      </w:r>
      <w:r>
        <w:rPr>
          <w:rFonts w:hint="default" w:ascii="Times New Roman" w:hAnsi="Times New Roman" w:eastAsia="宋体" w:cs="Times New Roman"/>
          <w:color w:val="FF0000"/>
          <w:sz w:val="24"/>
          <w:highlight w:val="none"/>
          <w:lang w:eastAsia="zh-CN"/>
        </w:rPr>
        <w:t>次，则需要</w:t>
      </w:r>
      <w:r>
        <w:rPr>
          <w:rFonts w:hint="default" w:ascii="Times New Roman" w:hAnsi="Times New Roman" w:eastAsia="宋体" w:cs="Times New Roman"/>
          <w:color w:val="FF0000"/>
          <w:sz w:val="24"/>
          <w:highlight w:val="none"/>
          <w:lang w:val="en-US" w:eastAsia="zh-CN"/>
        </w:rPr>
        <w:t>发酵床垫2790</w:t>
      </w:r>
      <w:r>
        <w:rPr>
          <w:rFonts w:hint="default" w:ascii="Times New Roman" w:hAnsi="Times New Roman" w:eastAsia="宋体" w:cs="Times New Roman"/>
          <w:color w:val="FF0000"/>
          <w:sz w:val="24"/>
          <w:highlight w:val="none"/>
          <w:lang w:eastAsia="zh-CN"/>
        </w:rPr>
        <w:t>t/a。</w:t>
      </w:r>
    </w:p>
    <w:p w14:paraId="6D8A0665">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val="en-US" w:eastAsia="zh-CN"/>
        </w:rPr>
      </w:pPr>
      <w:r>
        <w:rPr>
          <w:rFonts w:hint="default" w:ascii="Times New Roman" w:hAnsi="Times New Roman" w:eastAsia="宋体" w:cs="Times New Roman"/>
          <w:color w:val="FF0000"/>
          <w:sz w:val="24"/>
          <w:highlight w:val="none"/>
          <w:lang w:eastAsia="zh-CN"/>
        </w:rPr>
        <w:t>需要添加菌剂</w:t>
      </w:r>
      <w:r>
        <w:rPr>
          <w:rFonts w:hint="default" w:ascii="Times New Roman" w:hAnsi="Times New Roman" w:eastAsia="宋体" w:cs="Times New Roman"/>
          <w:color w:val="FF0000"/>
          <w:sz w:val="24"/>
          <w:highlight w:val="none"/>
          <w:lang w:val="en-US" w:eastAsia="zh-CN"/>
        </w:rPr>
        <w:t>10t/a</w:t>
      </w:r>
      <w:r>
        <w:rPr>
          <w:rFonts w:hint="default" w:ascii="Times New Roman" w:hAnsi="Times New Roman" w:eastAsia="宋体" w:cs="Times New Roman"/>
          <w:color w:val="FF0000"/>
          <w:sz w:val="24"/>
          <w:highlight w:val="none"/>
          <w:lang w:eastAsia="zh-CN"/>
        </w:rPr>
        <w:t>。牛舍垫料更换期间会有一定的水分挥发，</w:t>
      </w:r>
      <w:r>
        <w:rPr>
          <w:rFonts w:hint="default" w:ascii="Times New Roman" w:hAnsi="Times New Roman" w:eastAsia="宋体" w:cs="Times New Roman"/>
          <w:color w:val="FF0000"/>
          <w:sz w:val="24"/>
          <w:highlight w:val="none"/>
          <w:lang w:val="en-US" w:eastAsia="zh-CN"/>
        </w:rPr>
        <w:t>其中</w:t>
      </w:r>
      <w:r>
        <w:rPr>
          <w:rFonts w:hint="default" w:ascii="Times New Roman" w:hAnsi="Times New Roman" w:eastAsia="宋体" w:cs="Times New Roman"/>
          <w:color w:val="FF0000"/>
          <w:sz w:val="24"/>
          <w:highlight w:val="none"/>
          <w:lang w:eastAsia="zh-CN"/>
        </w:rPr>
        <w:t>挥发量占20%左右，</w:t>
      </w:r>
      <w:r>
        <w:rPr>
          <w:rFonts w:hint="default" w:ascii="Times New Roman" w:hAnsi="Times New Roman" w:eastAsia="宋体" w:cs="Times New Roman"/>
          <w:color w:val="FF0000"/>
          <w:sz w:val="24"/>
          <w:highlight w:val="none"/>
          <w:lang w:val="en-US" w:eastAsia="zh-CN"/>
        </w:rPr>
        <w:t>则</w:t>
      </w:r>
      <w:r>
        <w:rPr>
          <w:rFonts w:hint="default" w:ascii="Times New Roman" w:hAnsi="Times New Roman" w:eastAsia="宋体" w:cs="Times New Roman"/>
          <w:color w:val="FF0000"/>
          <w:sz w:val="24"/>
          <w:highlight w:val="none"/>
          <w:lang w:eastAsia="zh-CN"/>
        </w:rPr>
        <w:t>牛舍垫料为</w:t>
      </w:r>
      <w:r>
        <w:rPr>
          <w:rFonts w:hint="default" w:ascii="Times New Roman" w:hAnsi="Times New Roman" w:eastAsia="宋体" w:cs="Times New Roman"/>
          <w:color w:val="FF0000"/>
          <w:sz w:val="24"/>
          <w:highlight w:val="none"/>
          <w:lang w:val="en-US" w:eastAsia="zh-CN"/>
        </w:rPr>
        <w:t>2240</w:t>
      </w:r>
      <w:r>
        <w:rPr>
          <w:rFonts w:hint="default" w:ascii="Times New Roman" w:hAnsi="Times New Roman" w:eastAsia="宋体" w:cs="Times New Roman"/>
          <w:color w:val="FF0000"/>
          <w:sz w:val="24"/>
          <w:highlight w:val="none"/>
          <w:lang w:eastAsia="zh-CN"/>
        </w:rPr>
        <w:t>t/a，因此，牛舍更换的发酵床垫料最终产生</w:t>
      </w:r>
      <w:r>
        <w:rPr>
          <w:rFonts w:hint="default" w:ascii="Times New Roman" w:hAnsi="Times New Roman" w:eastAsia="宋体" w:cs="Times New Roman"/>
          <w:color w:val="FF0000"/>
          <w:sz w:val="24"/>
          <w:highlight w:val="none"/>
          <w:lang w:val="en-US" w:eastAsia="zh-CN"/>
        </w:rPr>
        <w:t>固体</w:t>
      </w:r>
      <w:r>
        <w:rPr>
          <w:rFonts w:hint="default" w:ascii="Times New Roman" w:hAnsi="Times New Roman" w:eastAsia="宋体" w:cs="Times New Roman"/>
          <w:color w:val="FF0000"/>
          <w:sz w:val="24"/>
          <w:highlight w:val="none"/>
          <w:lang w:eastAsia="zh-CN"/>
        </w:rPr>
        <w:t>总量约为</w:t>
      </w:r>
      <w:r>
        <w:rPr>
          <w:rFonts w:hint="default" w:ascii="Times New Roman" w:hAnsi="Times New Roman" w:eastAsia="宋体" w:cs="Times New Roman"/>
          <w:color w:val="FF0000"/>
          <w:sz w:val="24"/>
          <w:highlight w:val="none"/>
          <w:lang w:val="en-US" w:eastAsia="zh-CN"/>
        </w:rPr>
        <w:t>10182.4</w:t>
      </w:r>
      <w:r>
        <w:rPr>
          <w:rFonts w:hint="default" w:ascii="Times New Roman" w:hAnsi="Times New Roman" w:eastAsia="宋体" w:cs="Times New Roman"/>
          <w:color w:val="FF0000"/>
          <w:sz w:val="24"/>
          <w:highlight w:val="none"/>
          <w:lang w:eastAsia="zh-CN"/>
        </w:rPr>
        <w:t>t/a。牛舍更换的发酵床垫料，暂存于粪污储存间，定期外售至有机肥厂。</w:t>
      </w:r>
    </w:p>
    <w:p w14:paraId="008F50BB">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eastAsia="zh-CN"/>
        </w:rPr>
      </w:pPr>
      <w:r>
        <w:rPr>
          <w:rFonts w:hint="default" w:ascii="Times New Roman" w:hAnsi="Times New Roman" w:eastAsia="宋体" w:cs="Times New Roman"/>
          <w:color w:val="FF0000"/>
          <w:sz w:val="24"/>
          <w:highlight w:val="none"/>
          <w:lang w:eastAsia="zh-CN"/>
        </w:rPr>
        <w:t>粪污储存间</w:t>
      </w:r>
      <w:r>
        <w:rPr>
          <w:rFonts w:hint="default" w:ascii="Times New Roman" w:hAnsi="Times New Roman" w:eastAsia="宋体" w:cs="Times New Roman"/>
          <w:color w:val="FF0000"/>
          <w:sz w:val="24"/>
          <w:highlight w:val="none"/>
          <w:lang w:val="en-US" w:eastAsia="zh-CN"/>
        </w:rPr>
        <w:t>3500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2</w:t>
      </w:r>
      <w:r>
        <w:rPr>
          <w:rFonts w:hint="default" w:ascii="Times New Roman" w:hAnsi="Times New Roman" w:eastAsia="宋体" w:cs="Times New Roman"/>
          <w:color w:val="FF0000"/>
          <w:sz w:val="24"/>
          <w:highlight w:val="none"/>
          <w:lang w:eastAsia="zh-CN"/>
        </w:rPr>
        <w:t>，存放高度</w:t>
      </w:r>
      <w:r>
        <w:rPr>
          <w:rFonts w:hint="default" w:ascii="Times New Roman" w:hAnsi="Times New Roman" w:eastAsia="宋体" w:cs="Times New Roman"/>
          <w:color w:val="FF0000"/>
          <w:sz w:val="24"/>
          <w:highlight w:val="none"/>
          <w:lang w:val="en-US" w:eastAsia="zh-CN"/>
        </w:rPr>
        <w:t>5m，存放30000t</w:t>
      </w:r>
      <w:r>
        <w:rPr>
          <w:rFonts w:hint="default" w:ascii="Times New Roman" w:hAnsi="Times New Roman" w:eastAsia="宋体" w:cs="Times New Roman"/>
          <w:color w:val="FF0000"/>
          <w:sz w:val="24"/>
          <w:highlight w:val="none"/>
          <w:lang w:eastAsia="zh-CN"/>
        </w:rPr>
        <w:t>牛舍更换的发酵床垫料</w:t>
      </w:r>
      <w:r>
        <w:rPr>
          <w:rFonts w:hint="default" w:ascii="Times New Roman" w:hAnsi="Times New Roman" w:eastAsia="宋体" w:cs="Times New Roman"/>
          <w:color w:val="FF0000"/>
          <w:sz w:val="24"/>
          <w:highlight w:val="none"/>
          <w:lang w:val="en-US" w:eastAsia="zh-CN"/>
        </w:rPr>
        <w:t>，</w:t>
      </w:r>
      <w:r>
        <w:rPr>
          <w:rFonts w:hint="default" w:ascii="Times New Roman" w:hAnsi="Times New Roman" w:eastAsia="宋体" w:cs="Times New Roman"/>
          <w:color w:val="FF0000"/>
          <w:sz w:val="24"/>
          <w:highlight w:val="none"/>
          <w:lang w:eastAsia="zh-CN"/>
        </w:rPr>
        <w:t>发酵床</w:t>
      </w:r>
      <w:r>
        <w:rPr>
          <w:rFonts w:hint="default" w:ascii="Times New Roman" w:hAnsi="Times New Roman" w:eastAsia="宋体" w:cs="Times New Roman"/>
          <w:color w:val="FF0000"/>
          <w:sz w:val="24"/>
          <w:highlight w:val="none"/>
          <w:lang w:val="en-US" w:eastAsia="zh-CN"/>
        </w:rPr>
        <w:t>一年使用周期结束，进行分批次清运，每次清运半个牛舍的</w:t>
      </w:r>
      <w:r>
        <w:rPr>
          <w:rFonts w:hint="default" w:ascii="Times New Roman" w:hAnsi="Times New Roman" w:eastAsia="宋体" w:cs="Times New Roman"/>
          <w:color w:val="FF0000"/>
          <w:sz w:val="24"/>
          <w:highlight w:val="none"/>
          <w:lang w:eastAsia="zh-CN"/>
        </w:rPr>
        <w:t>发酵床垫料</w:t>
      </w:r>
      <w:r>
        <w:rPr>
          <w:rFonts w:hint="default" w:ascii="Times New Roman" w:hAnsi="Times New Roman" w:eastAsia="宋体" w:cs="Times New Roman"/>
          <w:color w:val="FF0000"/>
          <w:sz w:val="24"/>
          <w:highlight w:val="none"/>
          <w:lang w:val="en-US" w:eastAsia="zh-CN"/>
        </w:rPr>
        <w:t>（约5091.2t）</w:t>
      </w:r>
      <w:r>
        <w:rPr>
          <w:rFonts w:hint="default" w:ascii="Times New Roman" w:hAnsi="Times New Roman" w:eastAsia="宋体" w:cs="Times New Roman"/>
          <w:color w:val="FF0000"/>
          <w:sz w:val="24"/>
          <w:highlight w:val="none"/>
          <w:lang w:eastAsia="zh-CN"/>
        </w:rPr>
        <w:t>。</w:t>
      </w:r>
    </w:p>
    <w:p w14:paraId="4C2FE700">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val="en-US" w:eastAsia="zh-CN"/>
        </w:rPr>
      </w:pPr>
      <w:r>
        <w:rPr>
          <w:rFonts w:hint="default" w:ascii="Times New Roman" w:hAnsi="Times New Roman" w:eastAsia="宋体" w:cs="Times New Roman"/>
          <w:color w:val="FF0000"/>
          <w:sz w:val="24"/>
          <w:highlight w:val="none"/>
          <w:lang w:val="en-US" w:eastAsia="zh-CN"/>
        </w:rPr>
        <w:t>发酵床处理能力可行性：根据</w:t>
      </w:r>
      <w:r>
        <w:rPr>
          <w:rFonts w:hint="eastAsia" w:ascii="Times New Roman" w:hAnsi="Times New Roman" w:eastAsia="宋体" w:cs="Times New Roman"/>
          <w:color w:val="FF0000"/>
          <w:sz w:val="24"/>
          <w:highlight w:val="none"/>
          <w:lang w:val="en-US" w:eastAsia="zh-CN"/>
        </w:rPr>
        <w:t>干撒式发酵床设计</w:t>
      </w:r>
      <w:r>
        <w:rPr>
          <w:rFonts w:hint="default" w:ascii="Times New Roman" w:hAnsi="Times New Roman" w:eastAsia="宋体" w:cs="Times New Roman"/>
          <w:color w:val="FF0000"/>
          <w:sz w:val="24"/>
          <w:highlight w:val="none"/>
          <w:lang w:eastAsia="zh-CN"/>
        </w:rPr>
        <w:t>单位提供的资料</w:t>
      </w:r>
      <w:r>
        <w:rPr>
          <w:rFonts w:hint="default" w:ascii="Times New Roman" w:hAnsi="Times New Roman" w:eastAsia="宋体" w:cs="Times New Roman"/>
          <w:color w:val="FF0000"/>
          <w:sz w:val="24"/>
          <w:highlight w:val="none"/>
          <w:lang w:val="en-US" w:eastAsia="zh-CN"/>
        </w:rPr>
        <w:t>每立方发酵基质每日可发酵处理粪污30kg，本项目发酵床面积为27900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2</w:t>
      </w:r>
      <w:r>
        <w:rPr>
          <w:rFonts w:hint="default" w:ascii="Times New Roman" w:hAnsi="Times New Roman" w:eastAsia="宋体" w:cs="Times New Roman"/>
          <w:color w:val="FF0000"/>
          <w:sz w:val="24"/>
          <w:highlight w:val="none"/>
          <w:lang w:val="en-US" w:eastAsia="zh-CN"/>
        </w:rPr>
        <w:t>，垫料铺设厚度在50cm左右，可得发酵床实际总体积13950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3</w:t>
      </w:r>
      <w:r>
        <w:rPr>
          <w:rFonts w:hint="default" w:ascii="Times New Roman" w:hAnsi="Times New Roman" w:eastAsia="宋体" w:cs="Times New Roman"/>
          <w:color w:val="FF0000"/>
          <w:sz w:val="24"/>
          <w:highlight w:val="none"/>
          <w:lang w:val="en-US" w:eastAsia="zh-CN"/>
        </w:rPr>
        <w:t>，可日发酵处理粪污为418.5t，项目日产生粪污为104.4t，因此，设计发酵床可完成处理产生的粪污，在保证发酵床正常运行的情况下可实现粪污全部降解。</w:t>
      </w:r>
    </w:p>
    <w:p w14:paraId="143836FB">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val="en-US" w:eastAsia="zh-CN"/>
        </w:rPr>
      </w:pPr>
      <w:r>
        <w:rPr>
          <w:rFonts w:hint="default" w:ascii="Times New Roman" w:hAnsi="Times New Roman" w:eastAsia="宋体" w:cs="Times New Roman"/>
          <w:color w:val="FF0000"/>
          <w:sz w:val="24"/>
          <w:highlight w:val="none"/>
          <w:lang w:val="en-US" w:eastAsia="zh-CN"/>
        </w:rPr>
        <w:t>发酵床垫非正常工况下的处置措施：出现非工况为发酵床破损或部分发酵菌剂失活，发酵床工艺是通过人工把牛粪埋到15公分以下，当员工再埋粪时发现发酵床垫料破损时，及时更换此部分垫料；由于动物踩踏和垫料颗粒分解细化，会造成局部或整体发酵菌剂通透性下降，垫料板结，影响粪尿的发酵分解，还会为病原微生物的</w:t>
      </w:r>
      <w:r>
        <w:rPr>
          <w:rFonts w:hint="eastAsia" w:ascii="Times New Roman" w:hAnsi="Times New Roman" w:eastAsia="宋体" w:cs="Times New Roman"/>
          <w:color w:val="FF0000"/>
          <w:sz w:val="24"/>
          <w:highlight w:val="none"/>
          <w:lang w:val="en-US" w:eastAsia="zh-CN"/>
        </w:rPr>
        <w:t>滋生</w:t>
      </w:r>
      <w:r>
        <w:rPr>
          <w:rFonts w:hint="default" w:ascii="Times New Roman" w:hAnsi="Times New Roman" w:eastAsia="宋体" w:cs="Times New Roman"/>
          <w:color w:val="FF0000"/>
          <w:sz w:val="24"/>
          <w:highlight w:val="none"/>
          <w:lang w:val="en-US" w:eastAsia="zh-CN"/>
        </w:rPr>
        <w:t>提供条件。这时就要及时翻床，保持适当的通透性，保证发酵床有较高的粪尿分解能力。</w:t>
      </w:r>
    </w:p>
    <w:p w14:paraId="14910172">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2</w:t>
      </w:r>
      <w:r>
        <w:rPr>
          <w:rFonts w:hint="default" w:ascii="Times New Roman" w:hAnsi="Times New Roman" w:eastAsia="宋体" w:cs="Times New Roman"/>
          <w:color w:val="auto"/>
          <w:spacing w:val="-4"/>
          <w:sz w:val="24"/>
          <w:szCs w:val="24"/>
          <w:highlight w:val="none"/>
        </w:rPr>
        <w:t>）生活垃圾</w:t>
      </w:r>
    </w:p>
    <w:p w14:paraId="7B179DAA">
      <w:pPr>
        <w:pStyle w:val="11"/>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textAlignment w:val="baseline"/>
        <w:rPr>
          <w:rFonts w:hint="default" w:ascii="Times New Roman" w:hAnsi="Times New Roman" w:cs="Times New Roman"/>
          <w:color w:val="auto"/>
          <w:highlight w:val="none"/>
        </w:rPr>
      </w:pPr>
      <w:r>
        <w:rPr>
          <w:rFonts w:hint="default" w:ascii="Times New Roman" w:hAnsi="Times New Roman" w:eastAsia="宋体" w:cs="Times New Roman"/>
          <w:color w:val="auto"/>
          <w:spacing w:val="-6"/>
          <w:sz w:val="24"/>
          <w:szCs w:val="24"/>
          <w:highlight w:val="none"/>
        </w:rPr>
        <w:t>本项目共有职工</w:t>
      </w:r>
      <w:r>
        <w:rPr>
          <w:rFonts w:hint="default" w:ascii="Times New Roman" w:hAnsi="Times New Roman" w:eastAsia="宋体" w:cs="Times New Roman"/>
          <w:color w:val="auto"/>
          <w:spacing w:val="-6"/>
          <w:sz w:val="24"/>
          <w:szCs w:val="24"/>
          <w:highlight w:val="none"/>
          <w:lang w:val="en-US" w:eastAsia="zh-CN"/>
        </w:rPr>
        <w:t>20</w:t>
      </w:r>
      <w:r>
        <w:rPr>
          <w:rFonts w:hint="default" w:ascii="Times New Roman" w:hAnsi="Times New Roman" w:eastAsia="宋体" w:cs="Times New Roman"/>
          <w:color w:val="auto"/>
          <w:spacing w:val="-6"/>
          <w:sz w:val="24"/>
          <w:szCs w:val="24"/>
          <w:highlight w:val="none"/>
        </w:rPr>
        <w:t>人，生活垃圾按每人每天</w:t>
      </w:r>
      <w:r>
        <w:rPr>
          <w:rFonts w:hint="default" w:ascii="Times New Roman" w:hAnsi="Times New Roman" w:eastAsia="Times New Roman" w:cs="Times New Roman"/>
          <w:color w:val="auto"/>
          <w:spacing w:val="-6"/>
          <w:sz w:val="24"/>
          <w:szCs w:val="24"/>
          <w:highlight w:val="none"/>
        </w:rPr>
        <w:t>0.5k</w:t>
      </w:r>
      <w:r>
        <w:rPr>
          <w:rFonts w:hint="default" w:ascii="Times New Roman" w:hAnsi="Times New Roman" w:eastAsia="Times New Roman" w:cs="Times New Roman"/>
          <w:color w:val="auto"/>
          <w:spacing w:val="-7"/>
          <w:sz w:val="24"/>
          <w:szCs w:val="24"/>
          <w:highlight w:val="none"/>
        </w:rPr>
        <w:t>g</w:t>
      </w:r>
      <w:r>
        <w:rPr>
          <w:rFonts w:hint="default" w:ascii="Times New Roman" w:hAnsi="Times New Roman" w:eastAsia="宋体" w:cs="Times New Roman"/>
          <w:color w:val="auto"/>
          <w:spacing w:val="-7"/>
          <w:sz w:val="24"/>
          <w:szCs w:val="24"/>
          <w:highlight w:val="none"/>
        </w:rPr>
        <w:t>计算，则日产生活垃圾</w:t>
      </w:r>
      <w:r>
        <w:rPr>
          <w:rFonts w:hint="default" w:ascii="Times New Roman" w:hAnsi="Times New Roman" w:eastAsia="Times New Roman" w:cs="Times New Roman"/>
          <w:color w:val="auto"/>
          <w:spacing w:val="-7"/>
          <w:sz w:val="24"/>
          <w:szCs w:val="24"/>
          <w:highlight w:val="none"/>
        </w:rPr>
        <w:t>0.0</w:t>
      </w:r>
      <w:r>
        <w:rPr>
          <w:rFonts w:hint="default" w:ascii="Times New Roman" w:hAnsi="Times New Roman" w:eastAsia="宋体" w:cs="Times New Roman"/>
          <w:color w:val="auto"/>
          <w:spacing w:val="-7"/>
          <w:sz w:val="24"/>
          <w:szCs w:val="24"/>
          <w:highlight w:val="none"/>
          <w:lang w:val="en-US" w:eastAsia="zh-CN"/>
        </w:rPr>
        <w:t>1</w:t>
      </w:r>
      <w:r>
        <w:rPr>
          <w:rFonts w:hint="default" w:ascii="Times New Roman" w:hAnsi="Times New Roman" w:eastAsia="Times New Roman" w:cs="Times New Roman"/>
          <w:color w:val="auto"/>
          <w:spacing w:val="-7"/>
          <w:sz w:val="24"/>
          <w:szCs w:val="24"/>
          <w:highlight w:val="none"/>
        </w:rPr>
        <w:t>t</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宋体" w:cs="Times New Roman"/>
          <w:color w:val="auto"/>
          <w:spacing w:val="-2"/>
          <w:sz w:val="24"/>
          <w:szCs w:val="24"/>
          <w:highlight w:val="none"/>
        </w:rPr>
        <w:t>全年共产生活垃圾</w:t>
      </w:r>
      <w:r>
        <w:rPr>
          <w:rFonts w:hint="default" w:ascii="Times New Roman" w:hAnsi="Times New Roman" w:eastAsia="宋体" w:cs="Times New Roman"/>
          <w:color w:val="auto"/>
          <w:spacing w:val="-2"/>
          <w:sz w:val="24"/>
          <w:szCs w:val="24"/>
          <w:highlight w:val="none"/>
          <w:lang w:val="en-US" w:eastAsia="zh-CN"/>
        </w:rPr>
        <w:t>3.65</w:t>
      </w:r>
      <w:r>
        <w:rPr>
          <w:rFonts w:hint="default" w:ascii="Times New Roman" w:hAnsi="Times New Roman" w:eastAsia="Times New Roman" w:cs="Times New Roman"/>
          <w:color w:val="auto"/>
          <w:spacing w:val="-2"/>
          <w:sz w:val="24"/>
          <w:szCs w:val="24"/>
          <w:highlight w:val="none"/>
        </w:rPr>
        <w:t>t</w:t>
      </w:r>
      <w:r>
        <w:rPr>
          <w:rFonts w:hint="default" w:ascii="Times New Roman" w:hAnsi="Times New Roman" w:eastAsia="宋体" w:cs="Times New Roman"/>
          <w:color w:val="auto"/>
          <w:spacing w:val="-2"/>
          <w:sz w:val="24"/>
          <w:szCs w:val="24"/>
          <w:highlight w:val="none"/>
        </w:rPr>
        <w:t>，场内设置生活垃圾收集装置，生活垃圾暂存后委托当地环</w:t>
      </w:r>
      <w:r>
        <w:rPr>
          <w:rFonts w:hint="default" w:ascii="Times New Roman" w:hAnsi="Times New Roman" w:eastAsia="宋体" w:cs="Times New Roman"/>
          <w:color w:val="auto"/>
          <w:spacing w:val="-6"/>
          <w:sz w:val="24"/>
          <w:szCs w:val="24"/>
          <w:highlight w:val="none"/>
        </w:rPr>
        <w:t>卫部门处置。</w:t>
      </w:r>
    </w:p>
    <w:p w14:paraId="2279C50C">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）病死牛及</w:t>
      </w:r>
      <w:r>
        <w:rPr>
          <w:rFonts w:hint="default" w:ascii="Times New Roman" w:hAnsi="Times New Roman" w:eastAsia="宋体" w:cs="Times New Roman"/>
          <w:color w:val="auto"/>
          <w:spacing w:val="-2"/>
          <w:sz w:val="24"/>
          <w:szCs w:val="24"/>
          <w:highlight w:val="none"/>
          <w:lang w:eastAsia="zh-CN"/>
        </w:rPr>
        <w:t>分娩废物</w:t>
      </w:r>
    </w:p>
    <w:p w14:paraId="0B157C27">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根据《国家危险废物名录》</w:t>
      </w:r>
      <w:r>
        <w:rPr>
          <w:rFonts w:hint="default" w:ascii="Times New Roman" w:hAnsi="Times New Roman" w:eastAsia="Times New Roman" w:cs="Times New Roman"/>
          <w:color w:val="auto"/>
          <w:spacing w:val="-3"/>
          <w:sz w:val="24"/>
          <w:szCs w:val="24"/>
          <w:highlight w:val="none"/>
        </w:rPr>
        <w:t>(2021</w:t>
      </w:r>
      <w:r>
        <w:rPr>
          <w:rFonts w:hint="default" w:ascii="Times New Roman" w:hAnsi="Times New Roman" w:eastAsia="宋体" w:cs="Times New Roman"/>
          <w:color w:val="auto"/>
          <w:spacing w:val="-3"/>
          <w:sz w:val="24"/>
          <w:szCs w:val="24"/>
          <w:highlight w:val="none"/>
        </w:rPr>
        <w:t>年版</w:t>
      </w:r>
      <w:r>
        <w:rPr>
          <w:rFonts w:hint="default" w:ascii="Times New Roman" w:hAnsi="Times New Roman" w:eastAsia="Times New Roman"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rPr>
        <w:t>病死牛不属于危废，根据目前规模化养殖场的管理水平，出现病死牛的</w:t>
      </w:r>
      <w:r>
        <w:rPr>
          <w:rFonts w:hint="default" w:ascii="Times New Roman" w:hAnsi="Times New Roman" w:eastAsia="宋体" w:cs="Times New Roman"/>
          <w:color w:val="auto"/>
          <w:spacing w:val="-3"/>
          <w:sz w:val="24"/>
          <w:szCs w:val="24"/>
          <w:highlight w:val="none"/>
          <w:lang w:eastAsia="zh-CN"/>
        </w:rPr>
        <w:t>概率</w:t>
      </w:r>
      <w:r>
        <w:rPr>
          <w:rFonts w:hint="default" w:ascii="Times New Roman" w:hAnsi="Times New Roman" w:eastAsia="宋体" w:cs="Times New Roman"/>
          <w:color w:val="auto"/>
          <w:spacing w:val="-3"/>
          <w:sz w:val="24"/>
          <w:szCs w:val="24"/>
          <w:highlight w:val="none"/>
        </w:rPr>
        <w:t>和数量较低，为</w:t>
      </w:r>
      <w:r>
        <w:rPr>
          <w:rFonts w:hint="default" w:ascii="Times New Roman" w:hAnsi="Times New Roman" w:eastAsia="Times New Roman" w:cs="Times New Roman"/>
          <w:color w:val="auto"/>
          <w:spacing w:val="-3"/>
          <w:sz w:val="24"/>
          <w:szCs w:val="24"/>
          <w:highlight w:val="none"/>
        </w:rPr>
        <w:t>0.1%</w:t>
      </w:r>
      <w:r>
        <w:rPr>
          <w:rFonts w:hint="default" w:ascii="Times New Roman" w:hAnsi="Times New Roman" w:eastAsia="宋体" w:cs="Times New Roman"/>
          <w:color w:val="auto"/>
          <w:spacing w:val="-3"/>
          <w:sz w:val="24"/>
          <w:szCs w:val="24"/>
          <w:highlight w:val="none"/>
        </w:rPr>
        <w:t>，年产生病死牛</w:t>
      </w:r>
      <w:r>
        <w:rPr>
          <w:rFonts w:hint="default" w:ascii="Times New Roman" w:hAnsi="Times New Roman" w:eastAsia="宋体" w:cs="Times New Roman"/>
          <w:color w:val="auto"/>
          <w:spacing w:val="-3"/>
          <w:sz w:val="24"/>
          <w:szCs w:val="24"/>
          <w:highlight w:val="none"/>
          <w:lang w:val="en-US" w:eastAsia="zh-CN"/>
        </w:rPr>
        <w:t>5头/a，每头病死牛平均体重按300kg计，约1.5t/a；</w:t>
      </w:r>
      <w:r>
        <w:rPr>
          <w:rFonts w:hint="eastAsia" w:ascii="Times New Roman" w:hAnsi="Times New Roman" w:eastAsia="宋体" w:cs="Times New Roman"/>
          <w:color w:val="auto"/>
          <w:spacing w:val="-3"/>
          <w:sz w:val="24"/>
          <w:szCs w:val="24"/>
          <w:highlight w:val="green"/>
          <w:lang w:val="en-US" w:eastAsia="zh-CN"/>
        </w:rPr>
        <w:t>据类比其他养牛场，分娩一只牛犊的分娩废物约为4kg，年生产1000只牛犊，</w:t>
      </w:r>
      <w:r>
        <w:rPr>
          <w:rFonts w:hint="default" w:ascii="Times New Roman" w:hAnsi="Times New Roman" w:eastAsia="宋体" w:cs="Times New Roman"/>
          <w:color w:val="auto"/>
          <w:spacing w:val="-4"/>
          <w:sz w:val="24"/>
          <w:szCs w:val="24"/>
          <w:highlight w:val="green"/>
          <w:lang w:eastAsia="zh-CN"/>
        </w:rPr>
        <w:t>分娩废物</w:t>
      </w:r>
      <w:r>
        <w:rPr>
          <w:rFonts w:hint="default" w:ascii="Times New Roman" w:hAnsi="Times New Roman" w:eastAsia="宋体" w:cs="Times New Roman"/>
          <w:color w:val="auto"/>
          <w:spacing w:val="-4"/>
          <w:sz w:val="24"/>
          <w:szCs w:val="24"/>
          <w:highlight w:val="green"/>
        </w:rPr>
        <w:t>产</w:t>
      </w:r>
      <w:r>
        <w:rPr>
          <w:rFonts w:hint="default" w:ascii="Times New Roman" w:hAnsi="Times New Roman" w:eastAsia="宋体" w:cs="Times New Roman"/>
          <w:color w:val="auto"/>
          <w:spacing w:val="-3"/>
          <w:sz w:val="24"/>
          <w:szCs w:val="24"/>
          <w:highlight w:val="green"/>
        </w:rPr>
        <w:t>生量约为</w:t>
      </w:r>
      <w:r>
        <w:rPr>
          <w:rFonts w:hint="default" w:ascii="Times New Roman" w:hAnsi="Times New Roman" w:eastAsia="宋体" w:cs="Times New Roman"/>
          <w:color w:val="auto"/>
          <w:spacing w:val="-3"/>
          <w:sz w:val="24"/>
          <w:szCs w:val="24"/>
          <w:highlight w:val="green"/>
          <w:lang w:val="en-US" w:eastAsia="zh-CN"/>
        </w:rPr>
        <w:t>4</w:t>
      </w:r>
      <w:r>
        <w:rPr>
          <w:rFonts w:hint="default" w:ascii="Times New Roman" w:hAnsi="Times New Roman" w:eastAsia="Times New Roman" w:cs="Times New Roman"/>
          <w:color w:val="auto"/>
          <w:spacing w:val="-3"/>
          <w:sz w:val="24"/>
          <w:szCs w:val="24"/>
          <w:highlight w:val="green"/>
        </w:rPr>
        <w:t>t/a</w:t>
      </w:r>
      <w:r>
        <w:rPr>
          <w:rFonts w:hint="default" w:ascii="Times New Roman" w:hAnsi="Times New Roman" w:eastAsia="宋体" w:cs="Times New Roman"/>
          <w:color w:val="auto"/>
          <w:spacing w:val="-3"/>
          <w:sz w:val="24"/>
          <w:szCs w:val="24"/>
          <w:highlight w:val="green"/>
        </w:rPr>
        <w:t>。</w:t>
      </w:r>
      <w:r>
        <w:rPr>
          <w:rFonts w:hint="default" w:ascii="Times New Roman" w:hAnsi="Times New Roman" w:eastAsia="宋体" w:cs="Times New Roman"/>
          <w:color w:val="auto"/>
          <w:spacing w:val="-3"/>
          <w:sz w:val="24"/>
          <w:szCs w:val="24"/>
          <w:highlight w:val="none"/>
          <w:lang w:eastAsia="zh-CN"/>
        </w:rPr>
        <w:t>分娩废物</w:t>
      </w:r>
      <w:r>
        <w:rPr>
          <w:rFonts w:hint="default" w:ascii="Times New Roman" w:hAnsi="Times New Roman" w:eastAsia="宋体" w:cs="Times New Roman"/>
          <w:color w:val="auto"/>
          <w:spacing w:val="-3"/>
          <w:sz w:val="24"/>
          <w:szCs w:val="24"/>
          <w:highlight w:val="none"/>
        </w:rPr>
        <w:t>及病死牛</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rPr>
        <w:t>委托</w:t>
      </w:r>
      <w:r>
        <w:rPr>
          <w:rFonts w:hint="default" w:ascii="Times New Roman" w:hAnsi="Times New Roman" w:eastAsia="宋体" w:cs="Times New Roman"/>
          <w:color w:val="FF0000"/>
          <w:sz w:val="24"/>
          <w:szCs w:val="24"/>
          <w:lang w:val="en-US" w:eastAsia="zh-CN"/>
        </w:rPr>
        <w:t>双鸭山百奥迈斯生物科技有限公司</w:t>
      </w:r>
      <w:r>
        <w:rPr>
          <w:rFonts w:hint="default" w:ascii="Times New Roman" w:hAnsi="Times New Roman" w:eastAsia="宋体" w:cs="Times New Roman"/>
          <w:color w:val="auto"/>
          <w:spacing w:val="-3"/>
          <w:sz w:val="24"/>
          <w:szCs w:val="24"/>
          <w:highlight w:val="none"/>
        </w:rPr>
        <w:t>处置。</w:t>
      </w:r>
    </w:p>
    <w:p w14:paraId="1A373F11">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4</w:t>
      </w:r>
      <w:r>
        <w:rPr>
          <w:rFonts w:hint="default" w:ascii="Times New Roman" w:hAnsi="Times New Roman" w:eastAsia="宋体" w:cs="Times New Roman"/>
          <w:color w:val="auto"/>
          <w:spacing w:val="-4"/>
          <w:sz w:val="24"/>
          <w:szCs w:val="24"/>
          <w:highlight w:val="none"/>
        </w:rPr>
        <w:t>）医疗废物</w:t>
      </w:r>
    </w:p>
    <w:p w14:paraId="27B7BFA7">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pacing w:val="-3"/>
          <w:sz w:val="24"/>
          <w:szCs w:val="24"/>
          <w:highlight w:val="green"/>
        </w:rPr>
      </w:pPr>
      <w:r>
        <w:rPr>
          <w:rFonts w:hint="default" w:ascii="Times New Roman" w:hAnsi="Times New Roman" w:eastAsia="宋体" w:cs="Times New Roman"/>
          <w:color w:val="auto"/>
          <w:spacing w:val="-3"/>
          <w:sz w:val="24"/>
          <w:szCs w:val="24"/>
          <w:highlight w:val="green"/>
          <w:lang w:val="en-US" w:eastAsia="zh-CN"/>
        </w:rPr>
        <w:t>肉牛在生长过程接种免疫或发病期接受治疗会产生少量的医疗废物，主要 有各种疫苗空瓶、抗生药物的瓶、袋、废消毒包装物等，使用量视当年疫病发生情况有所不同，类比其他养牛场合计约 0.</w:t>
      </w:r>
      <w:r>
        <w:rPr>
          <w:rFonts w:hint="eastAsia" w:ascii="Times New Roman" w:hAnsi="Times New Roman" w:eastAsia="宋体" w:cs="Times New Roman"/>
          <w:color w:val="auto"/>
          <w:spacing w:val="-3"/>
          <w:sz w:val="24"/>
          <w:szCs w:val="24"/>
          <w:highlight w:val="green"/>
          <w:lang w:val="en-US" w:eastAsia="zh-CN"/>
        </w:rPr>
        <w:t>2</w:t>
      </w:r>
      <w:r>
        <w:rPr>
          <w:rFonts w:hint="default" w:ascii="Times New Roman" w:hAnsi="Times New Roman" w:eastAsia="宋体" w:cs="Times New Roman"/>
          <w:color w:val="auto"/>
          <w:spacing w:val="-3"/>
          <w:sz w:val="24"/>
          <w:szCs w:val="24"/>
          <w:highlight w:val="green"/>
          <w:lang w:val="en-US" w:eastAsia="zh-CN"/>
        </w:rPr>
        <w:t>t/a。</w:t>
      </w:r>
    </w:p>
    <w:p w14:paraId="02B4B67A">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根据《国家危险废</w:t>
      </w:r>
      <w:r>
        <w:rPr>
          <w:rFonts w:hint="default" w:ascii="Times New Roman" w:hAnsi="Times New Roman" w:eastAsia="宋体" w:cs="Times New Roman"/>
          <w:color w:val="auto"/>
          <w:spacing w:val="1"/>
          <w:sz w:val="24"/>
          <w:szCs w:val="24"/>
          <w:highlight w:val="none"/>
        </w:rPr>
        <w:t>物名录》（</w:t>
      </w:r>
      <w:r>
        <w:rPr>
          <w:rFonts w:hint="default" w:ascii="Times New Roman" w:hAnsi="Times New Roman" w:eastAsia="Times New Roman" w:cs="Times New Roman"/>
          <w:color w:val="auto"/>
          <w:spacing w:val="1"/>
          <w:sz w:val="24"/>
          <w:szCs w:val="24"/>
          <w:highlight w:val="none"/>
        </w:rPr>
        <w:t>2021</w:t>
      </w:r>
      <w:r>
        <w:rPr>
          <w:rFonts w:hint="default" w:ascii="Times New Roman" w:hAnsi="Times New Roman" w:eastAsia="宋体" w:cs="Times New Roman"/>
          <w:color w:val="auto"/>
          <w:spacing w:val="1"/>
          <w:sz w:val="24"/>
          <w:szCs w:val="24"/>
          <w:highlight w:val="none"/>
        </w:rPr>
        <w:t>年版</w:t>
      </w:r>
      <w:r>
        <w:rPr>
          <w:rFonts w:hint="default" w:ascii="Times New Roman" w:hAnsi="Times New Roman" w:eastAsia="宋体" w:cs="Times New Roman"/>
          <w:color w:val="auto"/>
          <w:spacing w:val="17"/>
          <w:sz w:val="24"/>
          <w:szCs w:val="24"/>
          <w:highlight w:val="none"/>
        </w:rPr>
        <w:t>），</w:t>
      </w:r>
      <w:r>
        <w:rPr>
          <w:rFonts w:hint="default" w:ascii="Times New Roman" w:hAnsi="Times New Roman" w:eastAsia="宋体" w:cs="Times New Roman"/>
          <w:color w:val="auto"/>
          <w:spacing w:val="1"/>
          <w:sz w:val="24"/>
          <w:szCs w:val="24"/>
          <w:highlight w:val="none"/>
        </w:rPr>
        <w:t>废注射器和废药瓶属于</w:t>
      </w:r>
      <w:r>
        <w:rPr>
          <w:rFonts w:hint="default" w:ascii="Times New Roman" w:hAnsi="Times New Roman" w:eastAsia="Times New Roman" w:cs="Times New Roman"/>
          <w:color w:val="auto"/>
          <w:sz w:val="24"/>
          <w:szCs w:val="24"/>
          <w:highlight w:val="none"/>
        </w:rPr>
        <w:t>HW</w:t>
      </w:r>
      <w:r>
        <w:rPr>
          <w:rFonts w:hint="default" w:ascii="Times New Roman" w:hAnsi="Times New Roman" w:eastAsia="Times New Roman" w:cs="Times New Roman"/>
          <w:color w:val="auto"/>
          <w:spacing w:val="1"/>
          <w:sz w:val="24"/>
          <w:szCs w:val="24"/>
          <w:highlight w:val="none"/>
        </w:rPr>
        <w:t>01</w:t>
      </w:r>
      <w:r>
        <w:rPr>
          <w:rFonts w:hint="default" w:ascii="Times New Roman" w:hAnsi="Times New Roman" w:eastAsia="宋体" w:cs="Times New Roman"/>
          <w:color w:val="auto"/>
          <w:spacing w:val="1"/>
          <w:sz w:val="24"/>
          <w:szCs w:val="24"/>
          <w:highlight w:val="none"/>
        </w:rPr>
        <w:t>类危险废物，废物代码为</w:t>
      </w:r>
      <w:r>
        <w:rPr>
          <w:rFonts w:hint="default" w:ascii="Times New Roman" w:hAnsi="Times New Roman" w:eastAsia="Times New Roman" w:cs="Times New Roman"/>
          <w:color w:val="auto"/>
          <w:spacing w:val="-1"/>
          <w:sz w:val="24"/>
          <w:szCs w:val="24"/>
          <w:highlight w:val="none"/>
        </w:rPr>
        <w:t>841-001-01</w:t>
      </w:r>
      <w:r>
        <w:rPr>
          <w:rFonts w:hint="default" w:ascii="Times New Roman" w:hAnsi="Times New Roman" w:eastAsia="宋体" w:cs="Times New Roman"/>
          <w:color w:val="auto"/>
          <w:spacing w:val="-1"/>
          <w:sz w:val="24"/>
          <w:szCs w:val="24"/>
          <w:highlight w:val="none"/>
        </w:rPr>
        <w:t>，于医疗废物暂存间暂存，定期交</w:t>
      </w:r>
      <w:r>
        <w:rPr>
          <w:rFonts w:hint="default" w:ascii="Times New Roman" w:hAnsi="Times New Roman" w:eastAsia="宋体" w:cs="Times New Roman"/>
          <w:color w:val="auto"/>
          <w:spacing w:val="-2"/>
          <w:sz w:val="24"/>
          <w:szCs w:val="24"/>
          <w:highlight w:val="none"/>
        </w:rPr>
        <w:t>给</w:t>
      </w:r>
      <w:r>
        <w:rPr>
          <w:rFonts w:hint="default" w:ascii="Times New Roman" w:hAnsi="Times New Roman" w:eastAsia="宋体" w:cs="Times New Roman"/>
          <w:color w:val="FF0000"/>
          <w:sz w:val="24"/>
          <w:szCs w:val="24"/>
          <w:lang w:val="en-US" w:eastAsia="zh-CN"/>
        </w:rPr>
        <w:t>双鸭山翁氏环保有限公司</w:t>
      </w:r>
      <w:r>
        <w:rPr>
          <w:rFonts w:hint="default" w:ascii="Times New Roman" w:hAnsi="Times New Roman" w:eastAsia="宋体" w:cs="Times New Roman"/>
          <w:color w:val="auto"/>
          <w:spacing w:val="-2"/>
          <w:sz w:val="24"/>
          <w:szCs w:val="24"/>
          <w:highlight w:val="none"/>
        </w:rPr>
        <w:t>处理。</w:t>
      </w:r>
      <w:r>
        <w:rPr>
          <w:rFonts w:hint="default" w:ascii="Times New Roman" w:hAnsi="Times New Roman" w:eastAsia="宋体" w:cs="Times New Roman"/>
          <w:color w:val="auto"/>
          <w:spacing w:val="-3"/>
          <w:sz w:val="24"/>
          <w:szCs w:val="24"/>
          <w:highlight w:val="none"/>
        </w:rPr>
        <w:t>评价要求场区内建设具备“三防”措施的危废暂存间，并设置医疗危险废物识别标志。</w:t>
      </w:r>
    </w:p>
    <w:p w14:paraId="09BE56AF">
      <w:pPr>
        <w:keepNext w:val="0"/>
        <w:keepLines w:val="0"/>
        <w:pageBreakBefore w:val="0"/>
        <w:widowControl/>
        <w:kinsoku/>
        <w:wordWrap w:val="0"/>
        <w:overflowPunct/>
        <w:topLinePunct/>
        <w:autoSpaceDE/>
        <w:autoSpaceDN/>
        <w:bidi w:val="0"/>
        <w:adjustRightInd w:val="0"/>
        <w:snapToGrid w:val="0"/>
        <w:spacing w:line="240" w:lineRule="auto"/>
        <w:ind w:left="0" w:firstLine="478" w:firstLineChars="200"/>
        <w:jc w:val="center"/>
        <w:textAlignment w:val="baseline"/>
        <w:rPr>
          <w:rFonts w:hint="default" w:ascii="Times New Roman" w:hAnsi="Times New Roman" w:eastAsia="宋体" w:cs="Times New Roman"/>
          <w:b/>
          <w:bCs/>
          <w:color w:val="auto"/>
          <w:spacing w:val="-1"/>
          <w:sz w:val="24"/>
          <w:szCs w:val="24"/>
          <w:highlight w:val="none"/>
        </w:rPr>
        <w:sectPr>
          <w:headerReference r:id="rId25" w:type="default"/>
          <w:footerReference r:id="rId26"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27F5990C">
      <w:pPr>
        <w:keepNext w:val="0"/>
        <w:keepLines w:val="0"/>
        <w:pageBreakBefore w:val="0"/>
        <w:kinsoku/>
        <w:wordWrap w:val="0"/>
        <w:overflowPunct/>
        <w:topLinePunct/>
        <w:autoSpaceDE/>
        <w:autoSpaceDN/>
        <w:bidi w:val="0"/>
        <w:adjustRightInd w:val="0"/>
        <w:snapToGrid w:val="0"/>
        <w:spacing w:before="33" w:line="214" w:lineRule="auto"/>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3.3-</w:t>
      </w:r>
      <w:r>
        <w:rPr>
          <w:rFonts w:hint="default"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宋体" w:cs="Times New Roman"/>
          <w:b/>
          <w:bCs/>
          <w:color w:val="auto"/>
          <w:spacing w:val="-1"/>
          <w:sz w:val="24"/>
          <w:szCs w:val="24"/>
          <w:highlight w:val="none"/>
        </w:rPr>
        <w:t>项目危险废物汇总表</w:t>
      </w:r>
    </w:p>
    <w:tbl>
      <w:tblPr>
        <w:tblStyle w:val="34"/>
        <w:tblW w:w="14169"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Layout w:type="fixed"/>
        <w:tblCellMar>
          <w:top w:w="0" w:type="dxa"/>
          <w:left w:w="0" w:type="dxa"/>
          <w:bottom w:w="0" w:type="dxa"/>
          <w:right w:w="0" w:type="dxa"/>
        </w:tblCellMar>
      </w:tblPr>
      <w:tblGrid>
        <w:gridCol w:w="1726"/>
        <w:gridCol w:w="1807"/>
        <w:gridCol w:w="1281"/>
        <w:gridCol w:w="1110"/>
        <w:gridCol w:w="1520"/>
        <w:gridCol w:w="543"/>
        <w:gridCol w:w="608"/>
        <w:gridCol w:w="999"/>
        <w:gridCol w:w="734"/>
        <w:gridCol w:w="796"/>
        <w:gridCol w:w="3045"/>
      </w:tblGrid>
      <w:tr w14:paraId="352F3CE1">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726" w:type="dxa"/>
            <w:tcBorders>
              <w:tl2br w:val="nil"/>
              <w:tr2bl w:val="nil"/>
            </w:tcBorders>
            <w:vAlign w:val="center"/>
          </w:tcPr>
          <w:p w14:paraId="5B7423AB">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危险废物名称</w:t>
            </w:r>
          </w:p>
        </w:tc>
        <w:tc>
          <w:tcPr>
            <w:tcW w:w="1807" w:type="dxa"/>
            <w:tcBorders>
              <w:tl2br w:val="nil"/>
              <w:tr2bl w:val="nil"/>
            </w:tcBorders>
            <w:vAlign w:val="center"/>
          </w:tcPr>
          <w:p w14:paraId="7EC70840">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危险废物类别</w:t>
            </w:r>
          </w:p>
        </w:tc>
        <w:tc>
          <w:tcPr>
            <w:tcW w:w="1281" w:type="dxa"/>
            <w:tcBorders>
              <w:tl2br w:val="nil"/>
              <w:tr2bl w:val="nil"/>
            </w:tcBorders>
            <w:vAlign w:val="center"/>
          </w:tcPr>
          <w:p w14:paraId="401B7BC9">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危险废物代</w:t>
            </w:r>
            <w:r>
              <w:rPr>
                <w:rFonts w:hint="default" w:ascii="Times New Roman" w:hAnsi="Times New Roman" w:eastAsia="宋体" w:cs="Times New Roman"/>
                <w:color w:val="auto"/>
                <w:sz w:val="21"/>
                <w:szCs w:val="21"/>
                <w:highlight w:val="none"/>
              </w:rPr>
              <w:t>码</w:t>
            </w:r>
          </w:p>
        </w:tc>
        <w:tc>
          <w:tcPr>
            <w:tcW w:w="1110" w:type="dxa"/>
            <w:tcBorders>
              <w:tl2br w:val="nil"/>
              <w:tr2bl w:val="nil"/>
            </w:tcBorders>
            <w:vAlign w:val="center"/>
          </w:tcPr>
          <w:p w14:paraId="4BCBE19C">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3"/>
                <w:sz w:val="21"/>
                <w:szCs w:val="21"/>
                <w:highlight w:val="none"/>
              </w:rPr>
              <w:t>产生</w:t>
            </w:r>
            <w:r>
              <w:rPr>
                <w:rFonts w:hint="default" w:ascii="Times New Roman" w:hAnsi="Times New Roman" w:eastAsia="宋体" w:cs="Times New Roman"/>
                <w:color w:val="auto"/>
                <w:spacing w:val="-2"/>
                <w:sz w:val="21"/>
                <w:szCs w:val="21"/>
                <w:highlight w:val="none"/>
              </w:rPr>
              <w:t>量(t/a)</w:t>
            </w:r>
          </w:p>
        </w:tc>
        <w:tc>
          <w:tcPr>
            <w:tcW w:w="1520" w:type="dxa"/>
            <w:tcBorders>
              <w:tl2br w:val="nil"/>
              <w:tr2bl w:val="nil"/>
            </w:tcBorders>
            <w:vAlign w:val="center"/>
          </w:tcPr>
          <w:p w14:paraId="573BE3A5">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产生工序及装</w:t>
            </w:r>
            <w:r>
              <w:rPr>
                <w:rFonts w:hint="default" w:ascii="Times New Roman" w:hAnsi="Times New Roman" w:eastAsia="宋体" w:cs="Times New Roman"/>
                <w:color w:val="auto"/>
                <w:sz w:val="21"/>
                <w:szCs w:val="21"/>
                <w:highlight w:val="none"/>
              </w:rPr>
              <w:t>置</w:t>
            </w:r>
          </w:p>
        </w:tc>
        <w:tc>
          <w:tcPr>
            <w:tcW w:w="543" w:type="dxa"/>
            <w:tcBorders>
              <w:tl2br w:val="nil"/>
              <w:tr2bl w:val="nil"/>
            </w:tcBorders>
            <w:textDirection w:val="tbRlV"/>
            <w:vAlign w:val="center"/>
          </w:tcPr>
          <w:p w14:paraId="3F5EC288">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形态</w:t>
            </w:r>
          </w:p>
        </w:tc>
        <w:tc>
          <w:tcPr>
            <w:tcW w:w="608" w:type="dxa"/>
            <w:tcBorders>
              <w:tl2br w:val="nil"/>
              <w:tr2bl w:val="nil"/>
            </w:tcBorders>
            <w:vAlign w:val="center"/>
          </w:tcPr>
          <w:p w14:paraId="51C1D2CD">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3"/>
                <w:sz w:val="21"/>
                <w:szCs w:val="21"/>
                <w:highlight w:val="none"/>
              </w:rPr>
              <w:t>主要成</w:t>
            </w:r>
            <w:r>
              <w:rPr>
                <w:rFonts w:hint="default" w:ascii="Times New Roman" w:hAnsi="Times New Roman" w:eastAsia="宋体" w:cs="Times New Roman"/>
                <w:color w:val="auto"/>
                <w:sz w:val="21"/>
                <w:szCs w:val="21"/>
                <w:highlight w:val="none"/>
              </w:rPr>
              <w:t>分</w:t>
            </w:r>
          </w:p>
        </w:tc>
        <w:tc>
          <w:tcPr>
            <w:tcW w:w="999" w:type="dxa"/>
            <w:tcBorders>
              <w:tl2br w:val="nil"/>
              <w:tr2bl w:val="nil"/>
            </w:tcBorders>
            <w:vAlign w:val="center"/>
          </w:tcPr>
          <w:p w14:paraId="731ECF8B">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有害成</w:t>
            </w:r>
            <w:r>
              <w:rPr>
                <w:rFonts w:hint="default" w:ascii="Times New Roman" w:hAnsi="Times New Roman" w:eastAsia="宋体" w:cs="Times New Roman"/>
                <w:color w:val="auto"/>
                <w:sz w:val="21"/>
                <w:szCs w:val="21"/>
                <w:highlight w:val="none"/>
              </w:rPr>
              <w:t>分</w:t>
            </w:r>
          </w:p>
        </w:tc>
        <w:tc>
          <w:tcPr>
            <w:tcW w:w="734" w:type="dxa"/>
            <w:tcBorders>
              <w:tl2br w:val="nil"/>
              <w:tr2bl w:val="nil"/>
            </w:tcBorders>
            <w:vAlign w:val="center"/>
          </w:tcPr>
          <w:p w14:paraId="1EFC84E5">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产废周期</w:t>
            </w:r>
          </w:p>
        </w:tc>
        <w:tc>
          <w:tcPr>
            <w:tcW w:w="796" w:type="dxa"/>
            <w:tcBorders>
              <w:tl2br w:val="nil"/>
              <w:tr2bl w:val="nil"/>
            </w:tcBorders>
            <w:vAlign w:val="center"/>
          </w:tcPr>
          <w:p w14:paraId="4AC55BC4">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3"/>
                <w:sz w:val="21"/>
                <w:szCs w:val="21"/>
                <w:highlight w:val="none"/>
              </w:rPr>
              <w:t>危险</w:t>
            </w:r>
            <w:r>
              <w:rPr>
                <w:rFonts w:hint="default" w:ascii="Times New Roman" w:hAnsi="Times New Roman" w:eastAsia="宋体" w:cs="Times New Roman"/>
                <w:color w:val="auto"/>
                <w:spacing w:val="-2"/>
                <w:sz w:val="21"/>
                <w:szCs w:val="21"/>
                <w:highlight w:val="none"/>
              </w:rPr>
              <w:t>特性</w:t>
            </w:r>
          </w:p>
        </w:tc>
        <w:tc>
          <w:tcPr>
            <w:tcW w:w="3045" w:type="dxa"/>
            <w:tcBorders>
              <w:tl2br w:val="nil"/>
              <w:tr2bl w:val="nil"/>
            </w:tcBorders>
            <w:vAlign w:val="center"/>
          </w:tcPr>
          <w:p w14:paraId="4EE46A1D">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污染防治措施</w:t>
            </w:r>
          </w:p>
        </w:tc>
      </w:tr>
      <w:tr w14:paraId="297B3CD2">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0" w:type="dxa"/>
            <w:bottom w:w="0" w:type="dxa"/>
            <w:right w:w="0" w:type="dxa"/>
          </w:tblCellMar>
        </w:tblPrEx>
        <w:trPr>
          <w:trHeight w:val="23" w:hRule="atLeast"/>
          <w:jc w:val="center"/>
        </w:trPr>
        <w:tc>
          <w:tcPr>
            <w:tcW w:w="1726" w:type="dxa"/>
            <w:tcBorders>
              <w:tl2br w:val="nil"/>
              <w:tr2bl w:val="nil"/>
            </w:tcBorders>
            <w:vAlign w:val="center"/>
          </w:tcPr>
          <w:p w14:paraId="1D7B14CF">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1"/>
                <w:sz w:val="21"/>
                <w:szCs w:val="21"/>
                <w:highlight w:val="none"/>
              </w:rPr>
              <w:t>废注射</w:t>
            </w:r>
            <w:r>
              <w:rPr>
                <w:rFonts w:hint="default" w:ascii="Times New Roman" w:hAnsi="Times New Roman" w:eastAsia="宋体" w:cs="Times New Roman"/>
                <w:color w:val="auto"/>
                <w:spacing w:val="-2"/>
                <w:sz w:val="21"/>
                <w:szCs w:val="21"/>
                <w:highlight w:val="none"/>
              </w:rPr>
              <w:t>器和废</w:t>
            </w:r>
            <w:r>
              <w:rPr>
                <w:rFonts w:hint="default" w:ascii="Times New Roman" w:hAnsi="Times New Roman" w:eastAsia="宋体" w:cs="Times New Roman"/>
                <w:color w:val="auto"/>
                <w:spacing w:val="-3"/>
                <w:sz w:val="21"/>
                <w:szCs w:val="21"/>
                <w:highlight w:val="none"/>
              </w:rPr>
              <w:t>药瓶</w:t>
            </w:r>
          </w:p>
        </w:tc>
        <w:tc>
          <w:tcPr>
            <w:tcW w:w="1807" w:type="dxa"/>
            <w:tcBorders>
              <w:tl2br w:val="nil"/>
              <w:tr2bl w:val="nil"/>
            </w:tcBorders>
            <w:vAlign w:val="center"/>
          </w:tcPr>
          <w:p w14:paraId="058481F6">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4"/>
                <w:sz w:val="21"/>
                <w:szCs w:val="21"/>
                <w:highlight w:val="none"/>
              </w:rPr>
              <w:t>HW01医</w:t>
            </w:r>
            <w:r>
              <w:rPr>
                <w:rFonts w:hint="default" w:ascii="Times New Roman" w:hAnsi="Times New Roman" w:eastAsia="宋体" w:cs="Times New Roman"/>
                <w:color w:val="auto"/>
                <w:spacing w:val="-1"/>
                <w:sz w:val="21"/>
                <w:szCs w:val="21"/>
                <w:highlight w:val="none"/>
              </w:rPr>
              <w:t>疗废物</w:t>
            </w:r>
          </w:p>
        </w:tc>
        <w:tc>
          <w:tcPr>
            <w:tcW w:w="1281" w:type="dxa"/>
            <w:tcBorders>
              <w:tl2br w:val="nil"/>
              <w:tr2bl w:val="nil"/>
            </w:tcBorders>
            <w:vAlign w:val="center"/>
          </w:tcPr>
          <w:p w14:paraId="6B1669B0">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841-001-01</w:t>
            </w:r>
          </w:p>
        </w:tc>
        <w:tc>
          <w:tcPr>
            <w:tcW w:w="1110" w:type="dxa"/>
            <w:tcBorders>
              <w:tl2br w:val="nil"/>
              <w:tr2bl w:val="nil"/>
            </w:tcBorders>
            <w:vAlign w:val="center"/>
          </w:tcPr>
          <w:p w14:paraId="21BA7E53">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3"/>
                <w:sz w:val="21"/>
                <w:szCs w:val="21"/>
                <w:highlight w:val="none"/>
                <w:lang w:val="en-US" w:eastAsia="zh-CN"/>
              </w:rPr>
            </w:pPr>
            <w:r>
              <w:rPr>
                <w:rFonts w:hint="default" w:ascii="Times New Roman" w:hAnsi="Times New Roman" w:eastAsia="宋体" w:cs="Times New Roman"/>
                <w:color w:val="auto"/>
                <w:spacing w:val="-3"/>
                <w:sz w:val="21"/>
                <w:szCs w:val="21"/>
                <w:highlight w:val="none"/>
                <w:lang w:val="en-US" w:eastAsia="zh-CN"/>
              </w:rPr>
              <w:t>0.2</w:t>
            </w:r>
          </w:p>
        </w:tc>
        <w:tc>
          <w:tcPr>
            <w:tcW w:w="1520" w:type="dxa"/>
            <w:tcBorders>
              <w:tl2br w:val="nil"/>
              <w:tr2bl w:val="nil"/>
            </w:tcBorders>
            <w:vAlign w:val="center"/>
          </w:tcPr>
          <w:p w14:paraId="02C56F74">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卫生防疫过程</w:t>
            </w:r>
          </w:p>
        </w:tc>
        <w:tc>
          <w:tcPr>
            <w:tcW w:w="543" w:type="dxa"/>
            <w:tcBorders>
              <w:tl2br w:val="nil"/>
              <w:tr2bl w:val="nil"/>
            </w:tcBorders>
            <w:textDirection w:val="tbRlV"/>
            <w:vAlign w:val="center"/>
          </w:tcPr>
          <w:p w14:paraId="68E7E346">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固态</w:t>
            </w:r>
          </w:p>
        </w:tc>
        <w:tc>
          <w:tcPr>
            <w:tcW w:w="608" w:type="dxa"/>
            <w:tcBorders>
              <w:tl2br w:val="nil"/>
              <w:tr2bl w:val="nil"/>
            </w:tcBorders>
            <w:vAlign w:val="center"/>
          </w:tcPr>
          <w:p w14:paraId="1D17C544">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3"/>
                <w:sz w:val="21"/>
                <w:szCs w:val="21"/>
                <w:highlight w:val="none"/>
              </w:rPr>
            </w:pPr>
            <w:r>
              <w:rPr>
                <w:rFonts w:hint="default" w:ascii="Times New Roman" w:hAnsi="Times New Roman" w:eastAsia="宋体" w:cs="Times New Roman"/>
                <w:color w:val="auto"/>
                <w:spacing w:val="-1"/>
                <w:sz w:val="21"/>
                <w:szCs w:val="21"/>
                <w:highlight w:val="none"/>
              </w:rPr>
              <w:t>废注射</w:t>
            </w:r>
            <w:r>
              <w:rPr>
                <w:rFonts w:hint="default" w:ascii="Times New Roman" w:hAnsi="Times New Roman" w:eastAsia="宋体" w:cs="Times New Roman"/>
                <w:color w:val="auto"/>
                <w:spacing w:val="-2"/>
                <w:sz w:val="21"/>
                <w:szCs w:val="21"/>
                <w:highlight w:val="none"/>
              </w:rPr>
              <w:t>器和废</w:t>
            </w:r>
            <w:r>
              <w:rPr>
                <w:rFonts w:hint="default" w:ascii="Times New Roman" w:hAnsi="Times New Roman" w:eastAsia="宋体" w:cs="Times New Roman"/>
                <w:color w:val="auto"/>
                <w:spacing w:val="-3"/>
                <w:sz w:val="21"/>
                <w:szCs w:val="21"/>
                <w:highlight w:val="none"/>
              </w:rPr>
              <w:t>药瓶</w:t>
            </w:r>
          </w:p>
        </w:tc>
        <w:tc>
          <w:tcPr>
            <w:tcW w:w="999" w:type="dxa"/>
            <w:tcBorders>
              <w:tl2br w:val="nil"/>
              <w:tr2bl w:val="nil"/>
            </w:tcBorders>
            <w:vAlign w:val="center"/>
          </w:tcPr>
          <w:p w14:paraId="0159005F">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3"/>
                <w:sz w:val="21"/>
                <w:szCs w:val="21"/>
                <w:highlight w:val="none"/>
              </w:rPr>
              <w:t>药物残</w:t>
            </w:r>
            <w:r>
              <w:rPr>
                <w:rFonts w:hint="default" w:ascii="Times New Roman" w:hAnsi="Times New Roman" w:eastAsia="宋体" w:cs="Times New Roman"/>
                <w:color w:val="auto"/>
                <w:spacing w:val="-14"/>
                <w:sz w:val="21"/>
                <w:szCs w:val="21"/>
                <w:highlight w:val="none"/>
              </w:rPr>
              <w:t>留、病原</w:t>
            </w:r>
            <w:r>
              <w:rPr>
                <w:rFonts w:hint="default" w:ascii="Times New Roman" w:hAnsi="Times New Roman" w:eastAsia="宋体" w:cs="Times New Roman"/>
                <w:color w:val="auto"/>
                <w:sz w:val="21"/>
                <w:szCs w:val="21"/>
                <w:highlight w:val="none"/>
              </w:rPr>
              <w:t>菌</w:t>
            </w:r>
          </w:p>
        </w:tc>
        <w:tc>
          <w:tcPr>
            <w:tcW w:w="734" w:type="dxa"/>
            <w:tcBorders>
              <w:tl2br w:val="nil"/>
              <w:tr2bl w:val="nil"/>
            </w:tcBorders>
            <w:vAlign w:val="center"/>
          </w:tcPr>
          <w:p w14:paraId="5D5090ED">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2"/>
                <w:sz w:val="21"/>
                <w:szCs w:val="21"/>
                <w:highlight w:val="none"/>
                <w:lang w:val="en-US" w:eastAsia="zh-CN"/>
              </w:rPr>
            </w:pPr>
            <w:r>
              <w:rPr>
                <w:rFonts w:hint="default" w:ascii="Times New Roman" w:hAnsi="Times New Roman" w:eastAsia="宋体" w:cs="Times New Roman"/>
                <w:color w:val="auto"/>
                <w:spacing w:val="-2"/>
                <w:sz w:val="21"/>
                <w:szCs w:val="21"/>
                <w:highlight w:val="none"/>
                <w:lang w:val="en-US" w:eastAsia="zh-CN"/>
              </w:rPr>
              <w:t>1d</w:t>
            </w:r>
          </w:p>
        </w:tc>
        <w:tc>
          <w:tcPr>
            <w:tcW w:w="796" w:type="dxa"/>
            <w:tcBorders>
              <w:tl2br w:val="nil"/>
              <w:tr2bl w:val="nil"/>
            </w:tcBorders>
            <w:vAlign w:val="center"/>
          </w:tcPr>
          <w:p w14:paraId="6E91077F">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In</w:t>
            </w:r>
          </w:p>
        </w:tc>
        <w:tc>
          <w:tcPr>
            <w:tcW w:w="3045" w:type="dxa"/>
            <w:tcBorders>
              <w:tl2br w:val="nil"/>
              <w:tr2bl w:val="nil"/>
            </w:tcBorders>
            <w:vAlign w:val="center"/>
          </w:tcPr>
          <w:p w14:paraId="208E97A5">
            <w:pPr>
              <w:pStyle w:val="38"/>
              <w:spacing w:line="240" w:lineRule="auto"/>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贮存：专用容器桶进行收集后暂存于医疗废物暂存间；</w:t>
            </w:r>
          </w:p>
          <w:p w14:paraId="591A08C1">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z w:val="21"/>
                <w:szCs w:val="21"/>
                <w:highlight w:val="none"/>
              </w:rPr>
              <w:t>处置：定期交有资质单位处理</w:t>
            </w:r>
          </w:p>
        </w:tc>
      </w:tr>
    </w:tbl>
    <w:p w14:paraId="54963A8F">
      <w:pPr>
        <w:keepNext w:val="0"/>
        <w:keepLines w:val="0"/>
        <w:pageBreakBefore w:val="0"/>
        <w:kinsoku/>
        <w:wordWrap w:val="0"/>
        <w:overflowPunct/>
        <w:topLinePunct/>
        <w:autoSpaceDE/>
        <w:autoSpaceDN/>
        <w:bidi w:val="0"/>
        <w:adjustRightInd w:val="0"/>
        <w:snapToGrid w:val="0"/>
        <w:spacing w:before="33" w:line="214" w:lineRule="auto"/>
        <w:jc w:val="center"/>
        <w:textAlignment w:val="baseline"/>
        <w:rPr>
          <w:rFonts w:hint="default" w:ascii="Times New Roman" w:hAnsi="Times New Roman" w:eastAsia="Times New Roman" w:cs="Times New Roman"/>
          <w:b/>
          <w:bCs/>
          <w:color w:val="auto"/>
          <w:spacing w:val="-1"/>
          <w:sz w:val="24"/>
          <w:szCs w:val="24"/>
          <w:highlight w:val="none"/>
          <w:lang w:val="en-US" w:eastAsia="zh-CN"/>
        </w:rPr>
      </w:pPr>
      <w:r>
        <w:rPr>
          <w:rFonts w:hint="default" w:ascii="Times New Roman" w:hAnsi="Times New Roman" w:eastAsia="Times New Roman" w:cs="Times New Roman"/>
          <w:b/>
          <w:bCs/>
          <w:color w:val="auto"/>
          <w:spacing w:val="-1"/>
          <w:sz w:val="24"/>
          <w:szCs w:val="24"/>
          <w:highlight w:val="none"/>
        </w:rPr>
        <w:t>表3</w:t>
      </w:r>
      <w:r>
        <w:rPr>
          <w:rFonts w:hint="default" w:ascii="Times New Roman" w:hAnsi="Times New Roman" w:eastAsia="Times New Roman" w:cs="Times New Roman"/>
          <w:b/>
          <w:bCs/>
          <w:color w:val="auto"/>
          <w:spacing w:val="-1"/>
          <w:sz w:val="24"/>
          <w:szCs w:val="24"/>
          <w:highlight w:val="none"/>
          <w:lang w:val="en-US" w:eastAsia="zh-CN"/>
        </w:rPr>
        <w:t xml:space="preserve">.3-7 </w:t>
      </w:r>
      <w:r>
        <w:rPr>
          <w:rFonts w:hint="default" w:ascii="Times New Roman" w:hAnsi="Times New Roman" w:eastAsia="Times New Roman" w:cs="Times New Roman"/>
          <w:b/>
          <w:bCs/>
          <w:color w:val="auto"/>
          <w:spacing w:val="-1"/>
          <w:sz w:val="24"/>
          <w:szCs w:val="24"/>
          <w:highlight w:val="none"/>
        </w:rPr>
        <w:t>固体废物产生及处理措施一览表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109"/>
        <w:gridCol w:w="1268"/>
        <w:gridCol w:w="2337"/>
        <w:gridCol w:w="1135"/>
        <w:gridCol w:w="1257"/>
        <w:gridCol w:w="1262"/>
        <w:gridCol w:w="2882"/>
        <w:gridCol w:w="1191"/>
        <w:gridCol w:w="1733"/>
      </w:tblGrid>
      <w:tr w14:paraId="11AE476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blHeader/>
          <w:jc w:val="center"/>
        </w:trPr>
        <w:tc>
          <w:tcPr>
            <w:tcW w:w="391" w:type="pct"/>
            <w:vMerge w:val="restart"/>
            <w:tcBorders>
              <w:tl2br w:val="nil"/>
              <w:tr2bl w:val="nil"/>
            </w:tcBorders>
            <w:vAlign w:val="center"/>
          </w:tcPr>
          <w:p w14:paraId="3BED9852">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工序</w:t>
            </w:r>
          </w:p>
        </w:tc>
        <w:tc>
          <w:tcPr>
            <w:tcW w:w="447" w:type="pct"/>
            <w:vMerge w:val="restart"/>
            <w:tcBorders>
              <w:tl2br w:val="nil"/>
              <w:tr2bl w:val="nil"/>
            </w:tcBorders>
            <w:vAlign w:val="center"/>
          </w:tcPr>
          <w:p w14:paraId="0A829D92">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装置</w:t>
            </w:r>
          </w:p>
        </w:tc>
        <w:tc>
          <w:tcPr>
            <w:tcW w:w="824" w:type="pct"/>
            <w:vMerge w:val="restart"/>
            <w:tcBorders>
              <w:tl2br w:val="nil"/>
              <w:tr2bl w:val="nil"/>
            </w:tcBorders>
            <w:vAlign w:val="center"/>
          </w:tcPr>
          <w:p w14:paraId="16C2CEF9">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固体废物名称</w:t>
            </w:r>
          </w:p>
        </w:tc>
        <w:tc>
          <w:tcPr>
            <w:tcW w:w="400" w:type="pct"/>
            <w:vMerge w:val="restart"/>
            <w:tcBorders>
              <w:tl2br w:val="nil"/>
              <w:tr2bl w:val="nil"/>
            </w:tcBorders>
            <w:vAlign w:val="center"/>
          </w:tcPr>
          <w:p w14:paraId="3E0C4E41">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固废属性</w:t>
            </w:r>
          </w:p>
        </w:tc>
        <w:tc>
          <w:tcPr>
            <w:tcW w:w="888" w:type="pct"/>
            <w:gridSpan w:val="2"/>
            <w:tcBorders>
              <w:tl2br w:val="nil"/>
              <w:tr2bl w:val="nil"/>
            </w:tcBorders>
            <w:vAlign w:val="center"/>
          </w:tcPr>
          <w:p w14:paraId="30171586">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产生量</w:t>
            </w:r>
          </w:p>
        </w:tc>
        <w:tc>
          <w:tcPr>
            <w:tcW w:w="1436" w:type="pct"/>
            <w:gridSpan w:val="2"/>
            <w:tcBorders>
              <w:tl2br w:val="nil"/>
              <w:tr2bl w:val="nil"/>
            </w:tcBorders>
            <w:vAlign w:val="center"/>
          </w:tcPr>
          <w:p w14:paraId="72F8953F">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处置措施</w:t>
            </w:r>
          </w:p>
        </w:tc>
        <w:tc>
          <w:tcPr>
            <w:tcW w:w="611" w:type="pct"/>
            <w:vMerge w:val="restart"/>
            <w:tcBorders>
              <w:tl2br w:val="nil"/>
              <w:tr2bl w:val="nil"/>
            </w:tcBorders>
            <w:vAlign w:val="center"/>
          </w:tcPr>
          <w:p w14:paraId="1E5D5442">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
                <w:bCs/>
                <w:color w:val="auto"/>
                <w:sz w:val="21"/>
                <w:szCs w:val="21"/>
                <w:highlight w:val="none"/>
              </w:rPr>
              <w:t>最终去向</w:t>
            </w:r>
          </w:p>
        </w:tc>
      </w:tr>
      <w:tr w14:paraId="43B72A0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blHeader/>
          <w:jc w:val="center"/>
        </w:trPr>
        <w:tc>
          <w:tcPr>
            <w:tcW w:w="391" w:type="pct"/>
            <w:vMerge w:val="continue"/>
            <w:tcBorders>
              <w:tl2br w:val="nil"/>
              <w:tr2bl w:val="nil"/>
            </w:tcBorders>
            <w:vAlign w:val="center"/>
          </w:tcPr>
          <w:p w14:paraId="3D97E68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p>
        </w:tc>
        <w:tc>
          <w:tcPr>
            <w:tcW w:w="447" w:type="pct"/>
            <w:vMerge w:val="continue"/>
            <w:tcBorders>
              <w:tl2br w:val="nil"/>
              <w:tr2bl w:val="nil"/>
            </w:tcBorders>
            <w:vAlign w:val="center"/>
          </w:tcPr>
          <w:p w14:paraId="47369170">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p>
        </w:tc>
        <w:tc>
          <w:tcPr>
            <w:tcW w:w="824" w:type="pct"/>
            <w:vMerge w:val="continue"/>
            <w:tcBorders>
              <w:tl2br w:val="nil"/>
              <w:tr2bl w:val="nil"/>
            </w:tcBorders>
            <w:vAlign w:val="center"/>
          </w:tcPr>
          <w:p w14:paraId="32E3C1B1">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p>
        </w:tc>
        <w:tc>
          <w:tcPr>
            <w:tcW w:w="400" w:type="pct"/>
            <w:vMerge w:val="continue"/>
            <w:tcBorders>
              <w:tl2br w:val="nil"/>
              <w:tr2bl w:val="nil"/>
            </w:tcBorders>
            <w:vAlign w:val="center"/>
          </w:tcPr>
          <w:p w14:paraId="0BA41A3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p>
        </w:tc>
        <w:tc>
          <w:tcPr>
            <w:tcW w:w="443" w:type="pct"/>
            <w:tcBorders>
              <w:tl2br w:val="nil"/>
              <w:tr2bl w:val="nil"/>
            </w:tcBorders>
            <w:vAlign w:val="center"/>
          </w:tcPr>
          <w:p w14:paraId="222C05AD">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核算方法</w:t>
            </w:r>
          </w:p>
        </w:tc>
        <w:tc>
          <w:tcPr>
            <w:tcW w:w="445" w:type="pct"/>
            <w:tcBorders>
              <w:tl2br w:val="nil"/>
              <w:tr2bl w:val="nil"/>
            </w:tcBorders>
            <w:vAlign w:val="center"/>
          </w:tcPr>
          <w:p w14:paraId="38DDC886">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产生量</w:t>
            </w:r>
          </w:p>
        </w:tc>
        <w:tc>
          <w:tcPr>
            <w:tcW w:w="1016" w:type="pct"/>
            <w:tcBorders>
              <w:tl2br w:val="nil"/>
              <w:tr2bl w:val="nil"/>
            </w:tcBorders>
            <w:vAlign w:val="center"/>
          </w:tcPr>
          <w:p w14:paraId="06EE84ED">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工艺</w:t>
            </w:r>
          </w:p>
        </w:tc>
        <w:tc>
          <w:tcPr>
            <w:tcW w:w="420" w:type="pct"/>
            <w:tcBorders>
              <w:tl2br w:val="nil"/>
              <w:tr2bl w:val="nil"/>
            </w:tcBorders>
            <w:vAlign w:val="center"/>
          </w:tcPr>
          <w:p w14:paraId="5633C1AA">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处置量</w:t>
            </w:r>
          </w:p>
        </w:tc>
        <w:tc>
          <w:tcPr>
            <w:tcW w:w="611" w:type="pct"/>
            <w:vMerge w:val="continue"/>
            <w:tcBorders>
              <w:tl2br w:val="nil"/>
              <w:tr2bl w:val="nil"/>
            </w:tcBorders>
            <w:vAlign w:val="center"/>
          </w:tcPr>
          <w:p w14:paraId="587BF28B">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r>
      <w:tr w14:paraId="76A4023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1" w:type="pct"/>
            <w:tcBorders>
              <w:tl2br w:val="nil"/>
              <w:tr2bl w:val="nil"/>
            </w:tcBorders>
            <w:vAlign w:val="center"/>
          </w:tcPr>
          <w:p w14:paraId="7236B674">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生活区</w:t>
            </w:r>
          </w:p>
        </w:tc>
        <w:tc>
          <w:tcPr>
            <w:tcW w:w="447" w:type="pct"/>
            <w:tcBorders>
              <w:tl2br w:val="nil"/>
              <w:tr2bl w:val="nil"/>
            </w:tcBorders>
            <w:vAlign w:val="center"/>
          </w:tcPr>
          <w:p w14:paraId="3F4276E7">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垃圾箱</w:t>
            </w:r>
          </w:p>
        </w:tc>
        <w:tc>
          <w:tcPr>
            <w:tcW w:w="824" w:type="pct"/>
            <w:tcBorders>
              <w:tl2br w:val="nil"/>
              <w:tr2bl w:val="nil"/>
            </w:tcBorders>
            <w:vAlign w:val="center"/>
          </w:tcPr>
          <w:p w14:paraId="3B26A114">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生活垃圾</w:t>
            </w:r>
          </w:p>
        </w:tc>
        <w:tc>
          <w:tcPr>
            <w:tcW w:w="400" w:type="pct"/>
            <w:vMerge w:val="restart"/>
            <w:tcBorders>
              <w:tl2br w:val="nil"/>
              <w:tr2bl w:val="nil"/>
            </w:tcBorders>
            <w:vAlign w:val="center"/>
          </w:tcPr>
          <w:p w14:paraId="66EBE96D">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一般固废</w:t>
            </w:r>
          </w:p>
        </w:tc>
        <w:tc>
          <w:tcPr>
            <w:tcW w:w="443" w:type="pct"/>
            <w:tcBorders>
              <w:tl2br w:val="nil"/>
              <w:tr2bl w:val="nil"/>
            </w:tcBorders>
            <w:vAlign w:val="center"/>
          </w:tcPr>
          <w:p w14:paraId="55007FA3">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系数法</w:t>
            </w:r>
          </w:p>
        </w:tc>
        <w:tc>
          <w:tcPr>
            <w:tcW w:w="445" w:type="pct"/>
            <w:tcBorders>
              <w:tl2br w:val="nil"/>
              <w:tr2bl w:val="nil"/>
            </w:tcBorders>
            <w:vAlign w:val="center"/>
          </w:tcPr>
          <w:p w14:paraId="3F4474E8">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3.65t/a</w:t>
            </w:r>
          </w:p>
        </w:tc>
        <w:tc>
          <w:tcPr>
            <w:tcW w:w="1016" w:type="pct"/>
            <w:tcBorders>
              <w:tl2br w:val="nil"/>
              <w:tr2bl w:val="nil"/>
            </w:tcBorders>
            <w:vAlign w:val="center"/>
          </w:tcPr>
          <w:p w14:paraId="52A9D1DD">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生活垃圾设置垃圾箱由市政环卫部门定期清理</w:t>
            </w:r>
          </w:p>
        </w:tc>
        <w:tc>
          <w:tcPr>
            <w:tcW w:w="420" w:type="pct"/>
            <w:tcBorders>
              <w:tl2br w:val="nil"/>
              <w:tr2bl w:val="nil"/>
            </w:tcBorders>
            <w:vAlign w:val="center"/>
          </w:tcPr>
          <w:p w14:paraId="50EE60D6">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3.65t/a</w:t>
            </w:r>
          </w:p>
        </w:tc>
        <w:tc>
          <w:tcPr>
            <w:tcW w:w="611" w:type="pct"/>
            <w:tcBorders>
              <w:tl2br w:val="nil"/>
              <w:tr2bl w:val="nil"/>
            </w:tcBorders>
            <w:vAlign w:val="center"/>
          </w:tcPr>
          <w:p w14:paraId="26E9787E">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市政部门统一处理</w:t>
            </w:r>
          </w:p>
        </w:tc>
      </w:tr>
      <w:tr w14:paraId="4460954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1" w:type="pct"/>
            <w:vMerge w:val="restart"/>
            <w:tcBorders>
              <w:tl2br w:val="nil"/>
              <w:tr2bl w:val="nil"/>
            </w:tcBorders>
            <w:vAlign w:val="center"/>
          </w:tcPr>
          <w:p w14:paraId="12EB5DCA">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生产过程</w:t>
            </w:r>
          </w:p>
        </w:tc>
        <w:tc>
          <w:tcPr>
            <w:tcW w:w="447" w:type="pct"/>
            <w:vMerge w:val="restart"/>
            <w:tcBorders>
              <w:tl2br w:val="nil"/>
              <w:tr2bl w:val="nil"/>
            </w:tcBorders>
            <w:vAlign w:val="center"/>
          </w:tcPr>
          <w:p w14:paraId="1C9845A1">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牛舍</w:t>
            </w:r>
          </w:p>
        </w:tc>
        <w:tc>
          <w:tcPr>
            <w:tcW w:w="824" w:type="pct"/>
            <w:tcBorders>
              <w:tl2br w:val="nil"/>
              <w:tr2bl w:val="nil"/>
            </w:tcBorders>
            <w:vAlign w:val="center"/>
          </w:tcPr>
          <w:p w14:paraId="3C29AC90">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牛舍更换的发酵床垫料</w:t>
            </w:r>
          </w:p>
        </w:tc>
        <w:tc>
          <w:tcPr>
            <w:tcW w:w="400" w:type="pct"/>
            <w:vMerge w:val="continue"/>
            <w:tcBorders>
              <w:tl2br w:val="nil"/>
              <w:tr2bl w:val="nil"/>
            </w:tcBorders>
            <w:vAlign w:val="center"/>
          </w:tcPr>
          <w:p w14:paraId="7B2BB6F4">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443" w:type="pct"/>
            <w:tcBorders>
              <w:tl2br w:val="nil"/>
              <w:tr2bl w:val="nil"/>
            </w:tcBorders>
            <w:vAlign w:val="center"/>
          </w:tcPr>
          <w:p w14:paraId="025D1731">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系数法</w:t>
            </w:r>
          </w:p>
        </w:tc>
        <w:tc>
          <w:tcPr>
            <w:tcW w:w="445" w:type="pct"/>
            <w:tcBorders>
              <w:tl2br w:val="nil"/>
              <w:tr2bl w:val="nil"/>
            </w:tcBorders>
            <w:vAlign w:val="center"/>
          </w:tcPr>
          <w:p w14:paraId="7439008E">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10182.4</w:t>
            </w:r>
            <w:r>
              <w:rPr>
                <w:rFonts w:hint="default" w:ascii="Times New Roman" w:hAnsi="Times New Roman" w:eastAsia="宋体" w:cs="Times New Roman"/>
                <w:color w:val="auto"/>
                <w:sz w:val="21"/>
                <w:szCs w:val="21"/>
                <w:highlight w:val="none"/>
              </w:rPr>
              <w:t>t/a</w:t>
            </w:r>
          </w:p>
        </w:tc>
        <w:tc>
          <w:tcPr>
            <w:tcW w:w="1016" w:type="pct"/>
            <w:tcBorders>
              <w:tl2br w:val="nil"/>
              <w:tr2bl w:val="nil"/>
            </w:tcBorders>
            <w:vAlign w:val="center"/>
          </w:tcPr>
          <w:p w14:paraId="45522754">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牛舍更换的发酵床垫料</w:t>
            </w:r>
            <w:r>
              <w:rPr>
                <w:rFonts w:hint="default" w:ascii="Times New Roman" w:hAnsi="Times New Roman" w:eastAsia="宋体" w:cs="Times New Roman"/>
                <w:color w:val="auto"/>
                <w:sz w:val="21"/>
                <w:szCs w:val="21"/>
                <w:highlight w:val="none"/>
              </w:rPr>
              <w:t>，定期外售至有机肥厂</w:t>
            </w:r>
          </w:p>
        </w:tc>
        <w:tc>
          <w:tcPr>
            <w:tcW w:w="420" w:type="pct"/>
            <w:tcBorders>
              <w:tl2br w:val="nil"/>
              <w:tr2bl w:val="nil"/>
            </w:tcBorders>
            <w:vAlign w:val="center"/>
          </w:tcPr>
          <w:p w14:paraId="6916F37B">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10182.4</w:t>
            </w:r>
            <w:r>
              <w:rPr>
                <w:rFonts w:hint="default" w:ascii="Times New Roman" w:hAnsi="Times New Roman" w:eastAsia="宋体" w:cs="Times New Roman"/>
                <w:color w:val="auto"/>
                <w:sz w:val="21"/>
                <w:szCs w:val="21"/>
                <w:highlight w:val="none"/>
              </w:rPr>
              <w:t>t/a</w:t>
            </w:r>
          </w:p>
        </w:tc>
        <w:tc>
          <w:tcPr>
            <w:tcW w:w="611" w:type="pct"/>
            <w:tcBorders>
              <w:tl2br w:val="nil"/>
              <w:tr2bl w:val="nil"/>
            </w:tcBorders>
            <w:vAlign w:val="center"/>
          </w:tcPr>
          <w:p w14:paraId="5A63973E">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综合利用</w:t>
            </w:r>
          </w:p>
        </w:tc>
      </w:tr>
      <w:tr w14:paraId="03C895C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6" w:hRule="atLeast"/>
          <w:jc w:val="center"/>
        </w:trPr>
        <w:tc>
          <w:tcPr>
            <w:tcW w:w="391" w:type="pct"/>
            <w:vMerge w:val="continue"/>
            <w:tcBorders>
              <w:tl2br w:val="nil"/>
              <w:tr2bl w:val="nil"/>
            </w:tcBorders>
            <w:vAlign w:val="center"/>
          </w:tcPr>
          <w:p w14:paraId="23B6A23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447" w:type="pct"/>
            <w:vMerge w:val="continue"/>
            <w:tcBorders>
              <w:tl2br w:val="nil"/>
              <w:tr2bl w:val="nil"/>
            </w:tcBorders>
            <w:vAlign w:val="center"/>
          </w:tcPr>
          <w:p w14:paraId="36D8A7DB">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824" w:type="pct"/>
            <w:tcBorders>
              <w:bottom w:val="single" w:color="auto" w:sz="4" w:space="0"/>
              <w:tl2br w:val="nil"/>
              <w:tr2bl w:val="nil"/>
            </w:tcBorders>
            <w:vAlign w:val="center"/>
          </w:tcPr>
          <w:p w14:paraId="198FE8C0">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病死</w:t>
            </w:r>
            <w:r>
              <w:rPr>
                <w:rFonts w:hint="default" w:ascii="Times New Roman" w:hAnsi="Times New Roman" w:eastAsia="宋体" w:cs="Times New Roman"/>
                <w:color w:val="auto"/>
                <w:sz w:val="21"/>
                <w:szCs w:val="21"/>
                <w:highlight w:val="none"/>
                <w:lang w:val="en-US" w:eastAsia="zh-CN"/>
              </w:rPr>
              <w:t>牛</w:t>
            </w:r>
          </w:p>
        </w:tc>
        <w:tc>
          <w:tcPr>
            <w:tcW w:w="400" w:type="pct"/>
            <w:vMerge w:val="continue"/>
            <w:tcBorders>
              <w:tl2br w:val="nil"/>
              <w:tr2bl w:val="nil"/>
            </w:tcBorders>
            <w:vAlign w:val="center"/>
          </w:tcPr>
          <w:p w14:paraId="282B9B7E">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443" w:type="pct"/>
            <w:tcBorders>
              <w:bottom w:val="single" w:color="auto" w:sz="4" w:space="0"/>
              <w:tl2br w:val="nil"/>
              <w:tr2bl w:val="nil"/>
            </w:tcBorders>
            <w:vAlign w:val="center"/>
          </w:tcPr>
          <w:p w14:paraId="3A6540AA">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类比法</w:t>
            </w:r>
          </w:p>
        </w:tc>
        <w:tc>
          <w:tcPr>
            <w:tcW w:w="445" w:type="pct"/>
            <w:tcBorders>
              <w:bottom w:val="single" w:color="auto" w:sz="4" w:space="0"/>
              <w:tl2br w:val="nil"/>
              <w:tr2bl w:val="nil"/>
            </w:tcBorders>
            <w:vAlign w:val="center"/>
          </w:tcPr>
          <w:p w14:paraId="3BD1B9A5">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1.5t</w:t>
            </w:r>
            <w:r>
              <w:rPr>
                <w:rFonts w:hint="default" w:ascii="Times New Roman" w:hAnsi="Times New Roman" w:eastAsia="宋体" w:cs="Times New Roman"/>
                <w:color w:val="auto"/>
                <w:sz w:val="21"/>
                <w:szCs w:val="21"/>
                <w:highlight w:val="none"/>
              </w:rPr>
              <w:t>/a</w:t>
            </w:r>
          </w:p>
        </w:tc>
        <w:tc>
          <w:tcPr>
            <w:tcW w:w="1016" w:type="pct"/>
            <w:vMerge w:val="restart"/>
            <w:tcBorders>
              <w:tl2br w:val="nil"/>
              <w:tr2bl w:val="nil"/>
            </w:tcBorders>
            <w:vAlign w:val="center"/>
          </w:tcPr>
          <w:p w14:paraId="3275E0D2">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委托有资质的第三方公司处理</w:t>
            </w:r>
          </w:p>
        </w:tc>
        <w:tc>
          <w:tcPr>
            <w:tcW w:w="420" w:type="pct"/>
            <w:tcBorders>
              <w:bottom w:val="single" w:color="auto" w:sz="4" w:space="0"/>
              <w:tl2br w:val="nil"/>
              <w:tr2bl w:val="nil"/>
            </w:tcBorders>
            <w:vAlign w:val="center"/>
          </w:tcPr>
          <w:p w14:paraId="2AF8C08F">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1.5</w:t>
            </w:r>
            <w:r>
              <w:rPr>
                <w:rFonts w:hint="default" w:ascii="Times New Roman" w:hAnsi="Times New Roman" w:eastAsia="宋体" w:cs="Times New Roman"/>
                <w:color w:val="auto"/>
                <w:sz w:val="21"/>
                <w:szCs w:val="21"/>
                <w:highlight w:val="none"/>
              </w:rPr>
              <w:t>t/a</w:t>
            </w:r>
          </w:p>
        </w:tc>
        <w:tc>
          <w:tcPr>
            <w:tcW w:w="611" w:type="pct"/>
            <w:vMerge w:val="restart"/>
            <w:tcBorders>
              <w:tl2br w:val="nil"/>
              <w:tr2bl w:val="nil"/>
            </w:tcBorders>
            <w:vAlign w:val="center"/>
          </w:tcPr>
          <w:p w14:paraId="51551353">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无害化</w:t>
            </w:r>
            <w:r>
              <w:rPr>
                <w:rFonts w:hint="default" w:ascii="Times New Roman" w:hAnsi="Times New Roman" w:eastAsia="宋体" w:cs="Times New Roman"/>
                <w:color w:val="auto"/>
                <w:sz w:val="21"/>
                <w:szCs w:val="21"/>
                <w:highlight w:val="none"/>
                <w:lang w:val="en-US" w:eastAsia="zh-CN"/>
              </w:rPr>
              <w:t>处理</w:t>
            </w:r>
          </w:p>
        </w:tc>
      </w:tr>
      <w:tr w14:paraId="11A2754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53" w:hRule="atLeast"/>
          <w:jc w:val="center"/>
        </w:trPr>
        <w:tc>
          <w:tcPr>
            <w:tcW w:w="391" w:type="pct"/>
            <w:vMerge w:val="continue"/>
            <w:tcBorders>
              <w:tl2br w:val="nil"/>
              <w:tr2bl w:val="nil"/>
            </w:tcBorders>
            <w:vAlign w:val="center"/>
          </w:tcPr>
          <w:p w14:paraId="373BC740">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447" w:type="pct"/>
            <w:vMerge w:val="continue"/>
            <w:tcBorders>
              <w:tl2br w:val="nil"/>
              <w:tr2bl w:val="nil"/>
            </w:tcBorders>
            <w:vAlign w:val="center"/>
          </w:tcPr>
          <w:p w14:paraId="47F972AB">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824" w:type="pct"/>
            <w:tcBorders>
              <w:top w:val="single" w:color="auto" w:sz="4" w:space="0"/>
              <w:bottom w:val="single" w:color="auto" w:sz="4" w:space="0"/>
              <w:tl2br w:val="nil"/>
              <w:tr2bl w:val="nil"/>
            </w:tcBorders>
            <w:vAlign w:val="center"/>
          </w:tcPr>
          <w:p w14:paraId="79D2EED4">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lang w:eastAsia="zh-CN"/>
              </w:rPr>
              <w:t>分娩废物</w:t>
            </w:r>
          </w:p>
        </w:tc>
        <w:tc>
          <w:tcPr>
            <w:tcW w:w="400" w:type="pct"/>
            <w:vMerge w:val="continue"/>
            <w:tcBorders>
              <w:bottom w:val="single" w:color="auto" w:sz="4" w:space="0"/>
              <w:tl2br w:val="nil"/>
              <w:tr2bl w:val="nil"/>
            </w:tcBorders>
            <w:vAlign w:val="center"/>
          </w:tcPr>
          <w:p w14:paraId="02A6D1F8">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443" w:type="pct"/>
            <w:tcBorders>
              <w:top w:val="single" w:color="auto" w:sz="4" w:space="0"/>
              <w:tl2br w:val="nil"/>
              <w:tr2bl w:val="nil"/>
            </w:tcBorders>
            <w:vAlign w:val="center"/>
          </w:tcPr>
          <w:p w14:paraId="5BF702E6">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类比法</w:t>
            </w:r>
          </w:p>
        </w:tc>
        <w:tc>
          <w:tcPr>
            <w:tcW w:w="445" w:type="pct"/>
            <w:tcBorders>
              <w:top w:val="single" w:color="auto" w:sz="4" w:space="0"/>
              <w:tl2br w:val="nil"/>
              <w:tr2bl w:val="nil"/>
            </w:tcBorders>
            <w:vAlign w:val="center"/>
          </w:tcPr>
          <w:p w14:paraId="6F79789B">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4t/a</w:t>
            </w:r>
          </w:p>
        </w:tc>
        <w:tc>
          <w:tcPr>
            <w:tcW w:w="1016" w:type="pct"/>
            <w:vMerge w:val="continue"/>
            <w:tcBorders>
              <w:tl2br w:val="nil"/>
              <w:tr2bl w:val="nil"/>
            </w:tcBorders>
            <w:vAlign w:val="center"/>
          </w:tcPr>
          <w:p w14:paraId="31363E71">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pacing w:val="-1"/>
                <w:sz w:val="21"/>
                <w:szCs w:val="21"/>
                <w:highlight w:val="none"/>
              </w:rPr>
            </w:pPr>
          </w:p>
        </w:tc>
        <w:tc>
          <w:tcPr>
            <w:tcW w:w="420" w:type="pct"/>
            <w:tcBorders>
              <w:top w:val="single" w:color="auto" w:sz="4" w:space="0"/>
              <w:tl2br w:val="nil"/>
              <w:tr2bl w:val="nil"/>
            </w:tcBorders>
            <w:shd w:val="clear" w:color="auto" w:fill="auto"/>
            <w:vAlign w:val="center"/>
          </w:tcPr>
          <w:p w14:paraId="122A7C81">
            <w:pPr>
              <w:pStyle w:val="38"/>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4t/a</w:t>
            </w:r>
          </w:p>
        </w:tc>
        <w:tc>
          <w:tcPr>
            <w:tcW w:w="611" w:type="pct"/>
            <w:vMerge w:val="continue"/>
            <w:tcBorders>
              <w:tl2br w:val="nil"/>
              <w:tr2bl w:val="nil"/>
            </w:tcBorders>
            <w:vAlign w:val="center"/>
          </w:tcPr>
          <w:p w14:paraId="4E9DABD2">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r>
      <w:tr w14:paraId="62F62C5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1" w:type="pct"/>
            <w:tcBorders>
              <w:tl2br w:val="nil"/>
              <w:tr2bl w:val="nil"/>
            </w:tcBorders>
            <w:vAlign w:val="center"/>
          </w:tcPr>
          <w:p w14:paraId="6433B935">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养殖过程</w:t>
            </w:r>
          </w:p>
        </w:tc>
        <w:tc>
          <w:tcPr>
            <w:tcW w:w="447" w:type="pct"/>
            <w:tcBorders>
              <w:tl2br w:val="nil"/>
              <w:tr2bl w:val="nil"/>
            </w:tcBorders>
            <w:vAlign w:val="center"/>
          </w:tcPr>
          <w:p w14:paraId="759CA3E6">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napToGrid w:val="0"/>
                <w:color w:val="auto"/>
                <w:sz w:val="21"/>
                <w:szCs w:val="21"/>
                <w:highlight w:val="none"/>
                <w:lang w:val="en-US" w:eastAsia="zh-CN"/>
              </w:rPr>
            </w:pPr>
            <w:r>
              <w:rPr>
                <w:rFonts w:hint="default" w:ascii="Times New Roman" w:hAnsi="Times New Roman" w:eastAsia="宋体" w:cs="Times New Roman"/>
                <w:snapToGrid w:val="0"/>
                <w:color w:val="auto"/>
                <w:sz w:val="21"/>
                <w:szCs w:val="21"/>
                <w:highlight w:val="none"/>
                <w:lang w:val="en-US" w:eastAsia="zh-CN"/>
              </w:rPr>
              <w:t>牛舍</w:t>
            </w:r>
          </w:p>
        </w:tc>
        <w:tc>
          <w:tcPr>
            <w:tcW w:w="824" w:type="pct"/>
            <w:tcBorders>
              <w:top w:val="single" w:color="auto" w:sz="4" w:space="0"/>
              <w:tl2br w:val="nil"/>
              <w:tr2bl w:val="nil"/>
            </w:tcBorders>
            <w:vAlign w:val="center"/>
          </w:tcPr>
          <w:p w14:paraId="472F5F43">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防疫</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治疗过程产生的废注射器和废药瓶</w:t>
            </w:r>
          </w:p>
        </w:tc>
        <w:tc>
          <w:tcPr>
            <w:tcW w:w="400" w:type="pct"/>
            <w:tcBorders>
              <w:top w:val="single" w:color="auto" w:sz="4" w:space="0"/>
              <w:tl2br w:val="nil"/>
              <w:tr2bl w:val="nil"/>
            </w:tcBorders>
            <w:vAlign w:val="center"/>
          </w:tcPr>
          <w:p w14:paraId="508A98D6">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医疗废物</w:t>
            </w:r>
          </w:p>
        </w:tc>
        <w:tc>
          <w:tcPr>
            <w:tcW w:w="443" w:type="pct"/>
            <w:tcBorders>
              <w:tl2br w:val="nil"/>
              <w:tr2bl w:val="nil"/>
            </w:tcBorders>
            <w:vAlign w:val="center"/>
          </w:tcPr>
          <w:p w14:paraId="3F1BD474">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类比法</w:t>
            </w:r>
          </w:p>
        </w:tc>
        <w:tc>
          <w:tcPr>
            <w:tcW w:w="445" w:type="pct"/>
            <w:tcBorders>
              <w:tl2br w:val="nil"/>
              <w:tr2bl w:val="nil"/>
            </w:tcBorders>
            <w:vAlign w:val="center"/>
          </w:tcPr>
          <w:p w14:paraId="7F2E7D16">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0.2</w:t>
            </w:r>
            <w:r>
              <w:rPr>
                <w:rFonts w:hint="default" w:ascii="Times New Roman" w:hAnsi="Times New Roman" w:eastAsia="宋体" w:cs="Times New Roman"/>
                <w:color w:val="auto"/>
                <w:sz w:val="21"/>
                <w:szCs w:val="21"/>
                <w:highlight w:val="none"/>
              </w:rPr>
              <w:t>t/a</w:t>
            </w:r>
          </w:p>
        </w:tc>
        <w:tc>
          <w:tcPr>
            <w:tcW w:w="1016" w:type="pct"/>
            <w:tcBorders>
              <w:tl2br w:val="nil"/>
              <w:tr2bl w:val="nil"/>
            </w:tcBorders>
            <w:vAlign w:val="center"/>
          </w:tcPr>
          <w:p w14:paraId="62FEAE6E">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暂存于医疗废物暂存间内，</w:t>
            </w:r>
            <w:r>
              <w:rPr>
                <w:rFonts w:hint="default" w:ascii="Times New Roman" w:hAnsi="Times New Roman" w:eastAsia="宋体" w:cs="Times New Roman"/>
                <w:color w:val="auto"/>
                <w:spacing w:val="-9"/>
                <w:sz w:val="21"/>
                <w:szCs w:val="21"/>
                <w:highlight w:val="none"/>
              </w:rPr>
              <w:t>定期送有资质单</w:t>
            </w:r>
            <w:r>
              <w:rPr>
                <w:rFonts w:hint="default" w:ascii="Times New Roman" w:hAnsi="Times New Roman" w:eastAsia="宋体" w:cs="Times New Roman"/>
                <w:color w:val="auto"/>
                <w:spacing w:val="-2"/>
                <w:sz w:val="21"/>
                <w:szCs w:val="21"/>
                <w:highlight w:val="none"/>
              </w:rPr>
              <w:t>位处置</w:t>
            </w:r>
          </w:p>
        </w:tc>
        <w:tc>
          <w:tcPr>
            <w:tcW w:w="420" w:type="pct"/>
            <w:tcBorders>
              <w:tl2br w:val="nil"/>
              <w:tr2bl w:val="nil"/>
            </w:tcBorders>
            <w:vAlign w:val="center"/>
          </w:tcPr>
          <w:p w14:paraId="225F5186">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0.</w:t>
            </w:r>
            <w:r>
              <w:rPr>
                <w:rFonts w:hint="default"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rPr>
              <w:t>t/a</w:t>
            </w:r>
          </w:p>
        </w:tc>
        <w:tc>
          <w:tcPr>
            <w:tcW w:w="611" w:type="pct"/>
            <w:tcBorders>
              <w:tl2br w:val="nil"/>
              <w:tr2bl w:val="nil"/>
            </w:tcBorders>
            <w:vAlign w:val="center"/>
          </w:tcPr>
          <w:p w14:paraId="55733B18">
            <w:pPr>
              <w:pStyle w:val="38"/>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定期送有资质单</w:t>
            </w:r>
            <w:r>
              <w:rPr>
                <w:rFonts w:hint="default" w:ascii="Times New Roman" w:hAnsi="Times New Roman" w:eastAsia="宋体" w:cs="Times New Roman"/>
                <w:color w:val="auto"/>
                <w:spacing w:val="-2"/>
                <w:sz w:val="21"/>
                <w:szCs w:val="21"/>
                <w:highlight w:val="none"/>
              </w:rPr>
              <w:t>位处置</w:t>
            </w:r>
          </w:p>
        </w:tc>
      </w:tr>
    </w:tbl>
    <w:p w14:paraId="2657B6A3">
      <w:pPr>
        <w:pStyle w:val="11"/>
        <w:rPr>
          <w:rFonts w:hint="default" w:ascii="Times New Roman" w:hAnsi="Times New Roman" w:eastAsia="宋体" w:cs="Times New Roman"/>
          <w:b/>
          <w:bCs/>
          <w:color w:val="auto"/>
          <w:spacing w:val="-1"/>
          <w:sz w:val="24"/>
          <w:szCs w:val="24"/>
          <w:highlight w:val="none"/>
          <w:lang w:val="en-US" w:eastAsia="zh-CN"/>
        </w:rPr>
      </w:pPr>
    </w:p>
    <w:p w14:paraId="4FED7D73">
      <w:pPr>
        <w:pStyle w:val="32"/>
        <w:rPr>
          <w:rFonts w:hint="default" w:ascii="Times New Roman" w:hAnsi="Times New Roman" w:cs="Times New Roman"/>
          <w:color w:val="auto"/>
          <w:highlight w:val="none"/>
          <w:lang w:val="en-US" w:eastAsia="zh-CN"/>
        </w:rPr>
        <w:sectPr>
          <w:headerReference r:id="rId27" w:type="default"/>
          <w:footerReference r:id="rId28"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697F7902">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3.3.2.5环境风险识别</w:t>
      </w:r>
    </w:p>
    <w:p w14:paraId="45F3E6AD">
      <w:pPr>
        <w:pageBreakBefore w:val="0"/>
        <w:kinsoku/>
        <w:wordWrap/>
        <w:topLinePunct w:val="0"/>
        <w:autoSpaceDE/>
        <w:autoSpaceDN/>
        <w:bidi w:val="0"/>
        <w:adjustRightInd/>
        <w:snapToGrid/>
        <w:spacing w:line="360" w:lineRule="auto"/>
        <w:textAlignment w:val="auto"/>
        <w:rPr>
          <w:rFonts w:hint="default" w:ascii="Times New Roman" w:hAnsi="Times New Roman" w:eastAsia="宋体" w:cs="Times New Roman"/>
          <w:b w:val="0"/>
          <w:bCs w:val="0"/>
          <w:color w:val="auto"/>
          <w:sz w:val="24"/>
          <w:highlight w:val="none"/>
          <w:lang w:val="en-US" w:eastAsia="zh-CN"/>
        </w:rPr>
      </w:pPr>
      <w:r>
        <w:rPr>
          <w:rFonts w:hint="default" w:ascii="Times New Roman" w:hAnsi="Times New Roman" w:eastAsia="宋体" w:cs="Times New Roman"/>
          <w:b w:val="0"/>
          <w:bCs w:val="0"/>
          <w:color w:val="auto"/>
          <w:sz w:val="24"/>
          <w:highlight w:val="none"/>
          <w:lang w:eastAsia="zh-CN"/>
        </w:rPr>
        <w:t>（</w:t>
      </w:r>
      <w:r>
        <w:rPr>
          <w:rFonts w:hint="default" w:ascii="Times New Roman" w:hAnsi="Times New Roman" w:eastAsia="宋体" w:cs="Times New Roman"/>
          <w:b w:val="0"/>
          <w:bCs w:val="0"/>
          <w:color w:val="auto"/>
          <w:sz w:val="24"/>
          <w:highlight w:val="none"/>
          <w:lang w:val="en-US" w:eastAsia="zh-CN"/>
        </w:rPr>
        <w:t>1</w:t>
      </w:r>
      <w:r>
        <w:rPr>
          <w:rFonts w:hint="default" w:ascii="Times New Roman" w:hAnsi="Times New Roman" w:eastAsia="宋体" w:cs="Times New Roman"/>
          <w:b w:val="0"/>
          <w:bCs w:val="0"/>
          <w:color w:val="auto"/>
          <w:sz w:val="24"/>
          <w:highlight w:val="none"/>
          <w:lang w:eastAsia="zh-CN"/>
        </w:rPr>
        <w:t>）</w:t>
      </w:r>
      <w:r>
        <w:rPr>
          <w:rFonts w:hint="default" w:ascii="Times New Roman" w:hAnsi="Times New Roman" w:eastAsia="宋体" w:cs="Times New Roman"/>
          <w:b w:val="0"/>
          <w:bCs w:val="0"/>
          <w:color w:val="auto"/>
          <w:sz w:val="24"/>
          <w:highlight w:val="none"/>
        </w:rPr>
        <w:t>危险物质数量与临界量比值（Q）</w:t>
      </w:r>
    </w:p>
    <w:p w14:paraId="200DBA1B">
      <w:pPr>
        <w:pStyle w:val="40"/>
        <w:pageBreakBefore w:val="0"/>
        <w:kinsoku/>
        <w:wordWrap/>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sz w:val="24"/>
          <w:szCs w:val="24"/>
          <w:highlight w:val="none"/>
          <w:lang w:eastAsia="zh-CN"/>
        </w:rPr>
        <w:t>根据《建设项目环境风险评价技术导则》（HJ169-2018）“附录B重点关注的危险物质及临界量”可知，本项目所涉及的危险物质</w:t>
      </w:r>
      <w:r>
        <w:rPr>
          <w:rFonts w:hint="default" w:ascii="Times New Roman" w:hAnsi="Times New Roman" w:eastAsia="宋体" w:cs="Times New Roman"/>
          <w:color w:val="auto"/>
          <w:sz w:val="24"/>
          <w:szCs w:val="24"/>
          <w:highlight w:val="none"/>
          <w:lang w:val="en-US" w:eastAsia="zh-CN"/>
        </w:rPr>
        <w:t>主要</w:t>
      </w:r>
      <w:r>
        <w:rPr>
          <w:rFonts w:hint="default" w:ascii="Times New Roman" w:hAnsi="Times New Roman" w:eastAsia="宋体" w:cs="Times New Roman"/>
          <w:color w:val="auto"/>
          <w:sz w:val="24"/>
          <w:szCs w:val="24"/>
          <w:highlight w:val="none"/>
          <w:lang w:eastAsia="zh-CN"/>
        </w:rPr>
        <w:t>为</w:t>
      </w:r>
      <w:r>
        <w:rPr>
          <w:rFonts w:hint="default" w:ascii="Times New Roman" w:hAnsi="Times New Roman" w:eastAsia="宋体" w:cs="Times New Roman"/>
          <w:b w:val="0"/>
          <w:bCs w:val="0"/>
          <w:smallCaps w:val="0"/>
          <w:color w:val="auto"/>
          <w:kern w:val="0"/>
          <w:sz w:val="24"/>
          <w:szCs w:val="24"/>
          <w:highlight w:val="none"/>
          <w:lang w:val="en-US" w:eastAsia="zh-CN" w:bidi="ar-SA"/>
        </w:rPr>
        <w:t>排放的废气H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2</w:t>
      </w:r>
      <w:r>
        <w:rPr>
          <w:rFonts w:hint="default" w:ascii="Times New Roman" w:hAnsi="Times New Roman" w:eastAsia="宋体" w:cs="Times New Roman"/>
          <w:b w:val="0"/>
          <w:bCs w:val="0"/>
          <w:smallCaps w:val="0"/>
          <w:color w:val="auto"/>
          <w:kern w:val="0"/>
          <w:sz w:val="24"/>
          <w:szCs w:val="24"/>
          <w:highlight w:val="none"/>
          <w:lang w:val="en-US" w:eastAsia="zh-CN" w:bidi="ar-SA"/>
        </w:rPr>
        <w:t>S、NH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3</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b w:val="0"/>
          <w:bCs w:val="0"/>
          <w:smallCaps w:val="0"/>
          <w:color w:val="auto"/>
          <w:kern w:val="0"/>
          <w:sz w:val="24"/>
          <w:szCs w:val="24"/>
          <w:highlight w:val="none"/>
          <w:lang w:val="en-US" w:eastAsia="zh-CN" w:bidi="ar-SA"/>
        </w:rPr>
        <w:t>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2</w:t>
      </w:r>
      <w:r>
        <w:rPr>
          <w:rFonts w:hint="default" w:ascii="Times New Roman" w:hAnsi="Times New Roman" w:eastAsia="宋体" w:cs="Times New Roman"/>
          <w:b w:val="0"/>
          <w:bCs w:val="0"/>
          <w:smallCaps w:val="0"/>
          <w:color w:val="auto"/>
          <w:kern w:val="0"/>
          <w:sz w:val="24"/>
          <w:szCs w:val="24"/>
          <w:highlight w:val="none"/>
          <w:lang w:val="en-US" w:eastAsia="zh-CN" w:bidi="ar-SA"/>
        </w:rPr>
        <w:t>S</w:t>
      </w:r>
      <w:r>
        <w:rPr>
          <w:rFonts w:hint="default" w:ascii="Times New Roman" w:hAnsi="Times New Roman" w:eastAsia="宋体" w:cs="Times New Roman"/>
          <w:color w:val="auto"/>
          <w:sz w:val="24"/>
          <w:szCs w:val="24"/>
          <w:highlight w:val="none"/>
          <w:lang w:eastAsia="zh-CN"/>
        </w:rPr>
        <w:t>临界量为</w:t>
      </w:r>
      <w:r>
        <w:rPr>
          <w:rFonts w:hint="default" w:ascii="Times New Roman" w:hAnsi="Times New Roman" w:eastAsia="宋体" w:cs="Times New Roman"/>
          <w:color w:val="auto"/>
          <w:sz w:val="24"/>
          <w:szCs w:val="24"/>
          <w:highlight w:val="none"/>
          <w:lang w:val="en-US" w:eastAsia="zh-CN"/>
        </w:rPr>
        <w:t>2.5/</w:t>
      </w:r>
      <w:r>
        <w:rPr>
          <w:rFonts w:hint="default" w:ascii="Times New Roman" w:hAnsi="Times New Roman" w:eastAsia="宋体" w:cs="Times New Roman"/>
          <w:color w:val="auto"/>
          <w:sz w:val="24"/>
          <w:szCs w:val="24"/>
          <w:highlight w:val="none"/>
          <w:lang w:eastAsia="zh-CN"/>
        </w:rPr>
        <w:t>t、</w:t>
      </w:r>
      <w:r>
        <w:rPr>
          <w:rFonts w:hint="default" w:ascii="Times New Roman" w:hAnsi="Times New Roman" w:eastAsia="宋体" w:cs="Times New Roman"/>
          <w:b w:val="0"/>
          <w:bCs w:val="0"/>
          <w:smallCaps w:val="0"/>
          <w:color w:val="auto"/>
          <w:kern w:val="0"/>
          <w:sz w:val="24"/>
          <w:szCs w:val="24"/>
          <w:highlight w:val="none"/>
          <w:lang w:val="en-US" w:eastAsia="zh-CN" w:bidi="ar-SA"/>
        </w:rPr>
        <w:t>NH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3</w:t>
      </w:r>
      <w:r>
        <w:rPr>
          <w:rFonts w:hint="default" w:ascii="Times New Roman" w:hAnsi="Times New Roman" w:eastAsia="宋体" w:cs="Times New Roman"/>
          <w:color w:val="auto"/>
          <w:sz w:val="24"/>
          <w:szCs w:val="24"/>
          <w:highlight w:val="none"/>
          <w:lang w:eastAsia="zh-CN"/>
        </w:rPr>
        <w:t>临界量为</w:t>
      </w:r>
      <w:r>
        <w:rPr>
          <w:rFonts w:hint="default"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eastAsia="zh-CN"/>
        </w:rPr>
        <w:t>t。</w:t>
      </w:r>
    </w:p>
    <w:p w14:paraId="096BF61E">
      <w:pPr>
        <w:keepNext w:val="0"/>
        <w:keepLines w:val="0"/>
        <w:pageBreakBefore w:val="0"/>
        <w:widowControl w:val="0"/>
        <w:kinsoku/>
        <w:wordWrap/>
        <w:overflowPunct w:val="0"/>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auto"/>
          <w:kern w:val="0"/>
          <w:sz w:val="24"/>
          <w:szCs w:val="24"/>
          <w:highlight w:val="none"/>
        </w:rPr>
        <w:t>本项目所涉及的每种危险物质在厂界内的最大存在总量与其《建设项目环境风险评价</w:t>
      </w:r>
      <w:r>
        <w:rPr>
          <w:rFonts w:hint="default" w:ascii="Times New Roman" w:hAnsi="Times New Roman" w:eastAsia="宋体" w:cs="Times New Roman"/>
          <w:snapToGrid w:val="0"/>
          <w:color w:val="auto"/>
          <w:kern w:val="0"/>
          <w:sz w:val="24"/>
          <w:szCs w:val="24"/>
          <w:highlight w:val="none"/>
          <w:lang w:val="en-US" w:eastAsia="zh-CN"/>
        </w:rPr>
        <w:t>技术</w:t>
      </w:r>
      <w:r>
        <w:rPr>
          <w:rFonts w:hint="default" w:ascii="Times New Roman" w:hAnsi="Times New Roman" w:eastAsia="宋体" w:cs="Times New Roman"/>
          <w:snapToGrid w:val="0"/>
          <w:color w:val="auto"/>
          <w:kern w:val="0"/>
          <w:sz w:val="24"/>
          <w:szCs w:val="24"/>
          <w:highlight w:val="none"/>
        </w:rPr>
        <w:t>导则》（HJ169-2018）附录B中对应临界量的比值Q。</w:t>
      </w:r>
    </w:p>
    <w:p w14:paraId="4F42AB88">
      <w:pPr>
        <w:keepNext w:val="0"/>
        <w:keepLines w:val="0"/>
        <w:pageBreakBefore w:val="0"/>
        <w:widowControl w:val="0"/>
        <w:kinsoku/>
        <w:wordWrap/>
        <w:overflowPunct w:val="0"/>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auto"/>
          <w:kern w:val="0"/>
          <w:sz w:val="24"/>
          <w:szCs w:val="24"/>
          <w:highlight w:val="none"/>
        </w:rPr>
        <w:t>①当只涉及一种危险物质时，计算</w:t>
      </w:r>
      <w:r>
        <w:rPr>
          <w:rFonts w:hint="default" w:ascii="Times New Roman" w:hAnsi="Times New Roman" w:eastAsia="宋体" w:cs="Times New Roman"/>
          <w:snapToGrid w:val="0"/>
          <w:color w:val="auto"/>
          <w:kern w:val="0"/>
          <w:sz w:val="24"/>
          <w:szCs w:val="24"/>
          <w:highlight w:val="none"/>
          <w:lang w:val="en-US" w:eastAsia="zh-CN"/>
        </w:rPr>
        <w:t>该</w:t>
      </w:r>
      <w:r>
        <w:rPr>
          <w:rFonts w:hint="default" w:ascii="Times New Roman" w:hAnsi="Times New Roman" w:eastAsia="宋体" w:cs="Times New Roman"/>
          <w:snapToGrid w:val="0"/>
          <w:color w:val="auto"/>
          <w:kern w:val="0"/>
          <w:sz w:val="24"/>
          <w:szCs w:val="24"/>
          <w:highlight w:val="none"/>
        </w:rPr>
        <w:t>物质的总量与其临界量比值。</w:t>
      </w:r>
    </w:p>
    <w:p w14:paraId="004A10E0">
      <w:pPr>
        <w:keepNext w:val="0"/>
        <w:keepLines w:val="0"/>
        <w:pageBreakBefore w:val="0"/>
        <w:widowControl w:val="0"/>
        <w:kinsoku/>
        <w:wordWrap/>
        <w:overflowPunct w:val="0"/>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auto"/>
          <w:kern w:val="0"/>
          <w:sz w:val="24"/>
          <w:szCs w:val="24"/>
          <w:highlight w:val="none"/>
        </w:rPr>
        <w:t>②当存在多种危险物质时，则</w:t>
      </w:r>
      <w:r>
        <w:rPr>
          <w:rFonts w:hint="default" w:ascii="Times New Roman" w:hAnsi="Times New Roman" w:eastAsia="宋体" w:cs="Times New Roman"/>
          <w:snapToGrid w:val="0"/>
          <w:color w:val="auto"/>
          <w:kern w:val="0"/>
          <w:sz w:val="24"/>
          <w:szCs w:val="24"/>
          <w:highlight w:val="none"/>
          <w:lang w:val="en-US" w:eastAsia="zh-CN"/>
        </w:rPr>
        <w:t>按下式</w:t>
      </w:r>
      <w:r>
        <w:rPr>
          <w:rFonts w:hint="default" w:ascii="Times New Roman" w:hAnsi="Times New Roman" w:eastAsia="宋体" w:cs="Times New Roman"/>
          <w:snapToGrid w:val="0"/>
          <w:color w:val="auto"/>
          <w:kern w:val="0"/>
          <w:sz w:val="24"/>
          <w:szCs w:val="24"/>
          <w:highlight w:val="none"/>
        </w:rPr>
        <w:t>计算物质的总量与其临界量比值。</w:t>
      </w:r>
    </w:p>
    <w:p w14:paraId="07626ACB">
      <w:pPr>
        <w:keepNext w:val="0"/>
        <w:keepLines w:val="0"/>
        <w:pageBreakBefore w:val="0"/>
        <w:widowControl w:val="0"/>
        <w:kinsoku/>
        <w:wordWrap/>
        <w:overflowPunct w:val="0"/>
        <w:topLinePunct w:val="0"/>
        <w:autoSpaceDE/>
        <w:autoSpaceDN/>
        <w:bidi w:val="0"/>
        <w:adjustRightInd/>
        <w:snapToGrid/>
        <w:spacing w:line="360" w:lineRule="auto"/>
        <w:jc w:val="center"/>
        <w:textAlignment w:val="auto"/>
        <w:rPr>
          <w:rFonts w:hint="default" w:ascii="Times New Roman" w:hAnsi="Times New Roman" w:eastAsia="宋体" w:cs="Times New Roman"/>
          <w:snapToGrid w:val="0"/>
          <w:color w:val="auto"/>
          <w:kern w:val="0"/>
          <w:sz w:val="24"/>
          <w:szCs w:val="24"/>
          <w:highlight w:val="none"/>
        </w:rPr>
      </w:pPr>
      <m:oMathPara>
        <m:oMath>
          <m:r>
            <m:rPr>
              <m:nor/>
              <m:sty m:val="p"/>
            </m:rPr>
            <w:rPr>
              <w:rFonts w:hint="default" w:ascii="Times New Roman" w:hAnsi="Times New Roman" w:eastAsia="宋体" w:cs="Times New Roman"/>
              <w:b w:val="0"/>
              <w:i w:val="0"/>
              <w:color w:val="auto"/>
              <w:kern w:val="0"/>
              <w:sz w:val="24"/>
              <w:szCs w:val="24"/>
              <w:highlight w:val="none"/>
            </w:rPr>
            <m:t>Q</m:t>
          </m:r>
          <m:r>
            <m:rPr>
              <m:nor/>
              <m:sty m:val="p"/>
            </m:rPr>
            <w:rPr>
              <w:rFonts w:hint="default" w:ascii="Times New Roman" w:hAnsi="Times New Roman" w:eastAsia="宋体" w:cs="Times New Roman"/>
              <w:b w:val="0"/>
              <w:i w:val="0"/>
              <w:snapToGrid w:val="0"/>
              <w:color w:val="auto"/>
              <w:kern w:val="0"/>
              <w:sz w:val="24"/>
              <w:szCs w:val="24"/>
              <w:highlight w:val="none"/>
            </w:rPr>
            <m:t>=</m:t>
          </m:r>
          <m:f>
            <m:fPr>
              <m:ctrlPr>
                <w:rPr>
                  <w:rFonts w:hint="default" w:ascii="Cambria Math" w:hAnsi="Cambria Math" w:eastAsia="宋体" w:cs="Times New Roman"/>
                  <w:i/>
                  <w:snapToGrid w:val="0"/>
                  <w:color w:val="auto"/>
                  <w:kern w:val="0"/>
                  <w:sz w:val="24"/>
                  <w:szCs w:val="24"/>
                  <w:highlight w:val="none"/>
                </w:rPr>
              </m:ctrlPr>
            </m:fPr>
            <m:num>
              <m:sSub>
                <m:sSubPr>
                  <m:ctrlPr>
                    <w:rPr>
                      <w:rFonts w:hint="default" w:ascii="Cambria Math" w:hAnsi="Cambria Math" w:eastAsia="宋体" w:cs="Times New Roman"/>
                      <w:snapToGrid w:val="0"/>
                      <w:color w:val="auto"/>
                      <w:kern w:val="0"/>
                      <w:sz w:val="24"/>
                      <w:szCs w:val="24"/>
                      <w:highlight w:val="none"/>
                    </w:rPr>
                  </m:ctrlPr>
                </m:sSubPr>
                <m:e>
                  <m:r>
                    <m:rPr>
                      <m:nor/>
                      <m:sty m:val="p"/>
                    </m:rPr>
                    <w:rPr>
                      <w:rFonts w:hint="default" w:ascii="Times New Roman" w:hAnsi="Times New Roman" w:eastAsia="宋体" w:cs="Times New Roman"/>
                      <w:b w:val="0"/>
                      <w:i w:val="0"/>
                      <w:snapToGrid w:val="0"/>
                      <w:color w:val="auto"/>
                      <w:kern w:val="0"/>
                      <w:sz w:val="24"/>
                      <w:szCs w:val="24"/>
                      <w:highlight w:val="none"/>
                    </w:rPr>
                    <m:t>q</m:t>
                  </m:r>
                  <m:ctrlPr>
                    <w:rPr>
                      <w:rFonts w:hint="default" w:ascii="Cambria Math" w:hAnsi="Cambria Math" w:eastAsia="宋体" w:cs="Times New Roman"/>
                      <w:snapToGrid w:val="0"/>
                      <w:color w:val="auto"/>
                      <w:kern w:val="0"/>
                      <w:sz w:val="24"/>
                      <w:szCs w:val="24"/>
                      <w:highlight w:val="none"/>
                    </w:rPr>
                  </m:ctrlPr>
                </m:e>
                <m:sub>
                  <m:r>
                    <m:rPr>
                      <m:nor/>
                      <m:sty m:val="p"/>
                    </m:rPr>
                    <w:rPr>
                      <w:rFonts w:hint="default" w:ascii="Times New Roman" w:hAnsi="Times New Roman" w:eastAsia="宋体" w:cs="Times New Roman"/>
                      <w:b w:val="0"/>
                      <w:i w:val="0"/>
                      <w:snapToGrid w:val="0"/>
                      <w:color w:val="auto"/>
                      <w:kern w:val="0"/>
                      <w:sz w:val="24"/>
                      <w:szCs w:val="24"/>
                      <w:highlight w:val="none"/>
                      <w:vertAlign w:val="subscript"/>
                    </w:rPr>
                    <m:t>1</m:t>
                  </m:r>
                  <m:ctrlPr>
                    <w:rPr>
                      <w:rFonts w:hint="default" w:ascii="Cambria Math" w:hAnsi="Cambria Math" w:eastAsia="宋体" w:cs="Times New Roman"/>
                      <w:snapToGrid w:val="0"/>
                      <w:color w:val="auto"/>
                      <w:kern w:val="0"/>
                      <w:sz w:val="24"/>
                      <w:szCs w:val="24"/>
                      <w:highlight w:val="none"/>
                    </w:rPr>
                  </m:ctrlPr>
                </m:sub>
              </m:sSub>
              <m:ctrlPr>
                <w:rPr>
                  <w:rFonts w:hint="default" w:ascii="Cambria Math" w:hAnsi="Cambria Math" w:eastAsia="宋体" w:cs="Times New Roman"/>
                  <w:i/>
                  <w:snapToGrid w:val="0"/>
                  <w:color w:val="auto"/>
                  <w:kern w:val="0"/>
                  <w:sz w:val="24"/>
                  <w:szCs w:val="24"/>
                  <w:highlight w:val="none"/>
                </w:rPr>
              </m:ctrlPr>
            </m:num>
            <m:den>
              <m:sSub>
                <m:sSubPr>
                  <m:ctrlPr>
                    <w:rPr>
                      <w:rFonts w:hint="default" w:ascii="Cambria Math" w:hAnsi="Cambria Math" w:eastAsia="宋体" w:cs="Times New Roman"/>
                      <w:snapToGrid w:val="0"/>
                      <w:color w:val="auto"/>
                      <w:kern w:val="0"/>
                      <w:sz w:val="24"/>
                      <w:szCs w:val="24"/>
                      <w:highlight w:val="none"/>
                    </w:rPr>
                  </m:ctrlPr>
                </m:sSubPr>
                <m:e>
                  <m:r>
                    <m:rPr>
                      <m:nor/>
                      <m:sty m:val="p"/>
                    </m:rPr>
                    <w:rPr>
                      <w:rFonts w:hint="default" w:ascii="Times New Roman" w:hAnsi="Times New Roman" w:eastAsia="宋体" w:cs="Times New Roman"/>
                      <w:b w:val="0"/>
                      <w:i w:val="0"/>
                      <w:snapToGrid w:val="0"/>
                      <w:color w:val="auto"/>
                      <w:kern w:val="0"/>
                      <w:sz w:val="24"/>
                      <w:szCs w:val="24"/>
                      <w:highlight w:val="none"/>
                    </w:rPr>
                    <m:t>Q</m:t>
                  </m:r>
                  <m:ctrlPr>
                    <w:rPr>
                      <w:rFonts w:hint="default" w:ascii="Cambria Math" w:hAnsi="Cambria Math" w:eastAsia="宋体" w:cs="Times New Roman"/>
                      <w:snapToGrid w:val="0"/>
                      <w:color w:val="auto"/>
                      <w:kern w:val="0"/>
                      <w:sz w:val="24"/>
                      <w:szCs w:val="24"/>
                      <w:highlight w:val="none"/>
                    </w:rPr>
                  </m:ctrlPr>
                </m:e>
                <m:sub>
                  <m:r>
                    <m:rPr>
                      <m:nor/>
                      <m:sty m:val="p"/>
                    </m:rPr>
                    <w:rPr>
                      <w:rFonts w:hint="default" w:ascii="Times New Roman" w:hAnsi="Times New Roman" w:eastAsia="宋体" w:cs="Times New Roman"/>
                      <w:b w:val="0"/>
                      <w:i w:val="0"/>
                      <w:snapToGrid w:val="0"/>
                      <w:color w:val="auto"/>
                      <w:kern w:val="0"/>
                      <w:sz w:val="24"/>
                      <w:szCs w:val="24"/>
                      <w:highlight w:val="none"/>
                      <w:lang w:val="en-US" w:eastAsia="zh-CN"/>
                    </w:rPr>
                    <m:t>1</m:t>
                  </m:r>
                  <m:ctrlPr>
                    <w:rPr>
                      <w:rFonts w:hint="default" w:ascii="Cambria Math" w:hAnsi="Cambria Math" w:eastAsia="宋体" w:cs="Times New Roman"/>
                      <w:snapToGrid w:val="0"/>
                      <w:color w:val="auto"/>
                      <w:kern w:val="0"/>
                      <w:sz w:val="24"/>
                      <w:szCs w:val="24"/>
                      <w:highlight w:val="none"/>
                    </w:rPr>
                  </m:ctrlPr>
                </m:sub>
              </m:sSub>
              <m:ctrlPr>
                <w:rPr>
                  <w:rFonts w:hint="default" w:ascii="Cambria Math" w:hAnsi="Cambria Math" w:eastAsia="宋体" w:cs="Times New Roman"/>
                  <w:i/>
                  <w:snapToGrid w:val="0"/>
                  <w:color w:val="auto"/>
                  <w:kern w:val="0"/>
                  <w:sz w:val="24"/>
                  <w:szCs w:val="24"/>
                  <w:highlight w:val="none"/>
                </w:rPr>
              </m:ctrlPr>
            </m:den>
          </m:f>
          <m:r>
            <m:rPr>
              <m:nor/>
              <m:sty m:val="p"/>
            </m:rPr>
            <w:rPr>
              <w:rFonts w:hint="default" w:ascii="Times New Roman" w:hAnsi="Times New Roman" w:eastAsia="宋体" w:cs="Times New Roman"/>
              <w:b w:val="0"/>
              <w:i w:val="0"/>
              <w:snapToGrid w:val="0"/>
              <w:color w:val="auto"/>
              <w:kern w:val="0"/>
              <w:sz w:val="24"/>
              <w:szCs w:val="24"/>
              <w:highlight w:val="none"/>
            </w:rPr>
            <m:t>+</m:t>
          </m:r>
          <m:f>
            <m:fPr>
              <m:ctrlPr>
                <w:rPr>
                  <w:rFonts w:hint="default" w:ascii="Cambria Math" w:hAnsi="Cambria Math" w:eastAsia="宋体" w:cs="Times New Roman"/>
                  <w:i/>
                  <w:snapToGrid w:val="0"/>
                  <w:color w:val="auto"/>
                  <w:kern w:val="0"/>
                  <w:sz w:val="24"/>
                  <w:szCs w:val="24"/>
                  <w:highlight w:val="none"/>
                </w:rPr>
              </m:ctrlPr>
            </m:fPr>
            <m:num>
              <m:sSub>
                <m:sSubPr>
                  <m:ctrlPr>
                    <w:rPr>
                      <w:rFonts w:hint="default" w:ascii="Cambria Math" w:hAnsi="Cambria Math" w:eastAsia="宋体" w:cs="Times New Roman"/>
                      <w:snapToGrid w:val="0"/>
                      <w:color w:val="auto"/>
                      <w:kern w:val="0"/>
                      <w:sz w:val="24"/>
                      <w:szCs w:val="24"/>
                      <w:highlight w:val="none"/>
                      <w:vertAlign w:val="subscript"/>
                    </w:rPr>
                  </m:ctrlPr>
                </m:sSubPr>
                <m:e>
                  <m:r>
                    <m:rPr>
                      <m:nor/>
                      <m:sty m:val="p"/>
                    </m:rPr>
                    <w:rPr>
                      <w:rFonts w:hint="default" w:ascii="Times New Roman" w:hAnsi="Times New Roman" w:eastAsia="宋体" w:cs="Times New Roman"/>
                      <w:b w:val="0"/>
                      <w:i w:val="0"/>
                      <w:snapToGrid w:val="0"/>
                      <w:color w:val="auto"/>
                      <w:kern w:val="0"/>
                      <w:sz w:val="24"/>
                      <w:szCs w:val="24"/>
                      <w:highlight w:val="none"/>
                    </w:rPr>
                    <m:t>q</m:t>
                  </m:r>
                  <m:ctrlPr>
                    <w:rPr>
                      <w:rFonts w:hint="default" w:ascii="Cambria Math" w:hAnsi="Cambria Math" w:eastAsia="宋体" w:cs="Times New Roman"/>
                      <w:snapToGrid w:val="0"/>
                      <w:color w:val="auto"/>
                      <w:kern w:val="0"/>
                      <w:sz w:val="24"/>
                      <w:szCs w:val="24"/>
                      <w:highlight w:val="none"/>
                      <w:vertAlign w:val="subscript"/>
                    </w:rPr>
                  </m:ctrlPr>
                </m:e>
                <m:sub>
                  <m:r>
                    <m:rPr>
                      <m:nor/>
                      <m:sty m:val="p"/>
                    </m:rPr>
                    <w:rPr>
                      <w:rFonts w:hint="default" w:ascii="Times New Roman" w:hAnsi="Times New Roman" w:eastAsia="宋体" w:cs="Times New Roman"/>
                      <w:b w:val="0"/>
                      <w:i w:val="0"/>
                      <w:snapToGrid w:val="0"/>
                      <w:color w:val="auto"/>
                      <w:kern w:val="0"/>
                      <w:sz w:val="24"/>
                      <w:szCs w:val="24"/>
                      <w:highlight w:val="none"/>
                      <w:vertAlign w:val="subscript"/>
                    </w:rPr>
                    <m:t>2</m:t>
                  </m:r>
                  <m:ctrlPr>
                    <w:rPr>
                      <w:rFonts w:hint="default" w:ascii="Cambria Math" w:hAnsi="Cambria Math" w:eastAsia="宋体" w:cs="Times New Roman"/>
                      <w:snapToGrid w:val="0"/>
                      <w:color w:val="auto"/>
                      <w:kern w:val="0"/>
                      <w:sz w:val="24"/>
                      <w:szCs w:val="24"/>
                      <w:highlight w:val="none"/>
                      <w:vertAlign w:val="subscript"/>
                    </w:rPr>
                  </m:ctrlPr>
                </m:sub>
              </m:sSub>
              <m:ctrlPr>
                <w:rPr>
                  <w:rFonts w:hint="default" w:ascii="Cambria Math" w:hAnsi="Cambria Math" w:eastAsia="宋体" w:cs="Times New Roman"/>
                  <w:i/>
                  <w:snapToGrid w:val="0"/>
                  <w:color w:val="auto"/>
                  <w:kern w:val="0"/>
                  <w:sz w:val="24"/>
                  <w:szCs w:val="24"/>
                  <w:highlight w:val="none"/>
                </w:rPr>
              </m:ctrlPr>
            </m:num>
            <m:den>
              <m:sSub>
                <m:sSubPr>
                  <m:ctrlPr>
                    <w:rPr>
                      <w:rFonts w:hint="default" w:ascii="Cambria Math" w:hAnsi="Cambria Math" w:eastAsia="宋体" w:cs="Times New Roman"/>
                      <w:snapToGrid w:val="0"/>
                      <w:color w:val="auto"/>
                      <w:kern w:val="0"/>
                      <w:sz w:val="24"/>
                      <w:szCs w:val="24"/>
                      <w:highlight w:val="none"/>
                    </w:rPr>
                  </m:ctrlPr>
                </m:sSubPr>
                <m:e>
                  <m:r>
                    <m:rPr>
                      <m:nor/>
                      <m:sty m:val="p"/>
                    </m:rPr>
                    <w:rPr>
                      <w:rFonts w:hint="default" w:ascii="Times New Roman" w:hAnsi="Times New Roman" w:eastAsia="宋体" w:cs="Times New Roman"/>
                      <w:b w:val="0"/>
                      <w:i w:val="0"/>
                      <w:snapToGrid w:val="0"/>
                      <w:color w:val="auto"/>
                      <w:kern w:val="0"/>
                      <w:sz w:val="24"/>
                      <w:szCs w:val="24"/>
                      <w:highlight w:val="none"/>
                    </w:rPr>
                    <m:t>Q</m:t>
                  </m:r>
                  <m:ctrlPr>
                    <w:rPr>
                      <w:rFonts w:hint="default" w:ascii="Cambria Math" w:hAnsi="Cambria Math" w:eastAsia="宋体" w:cs="Times New Roman"/>
                      <w:snapToGrid w:val="0"/>
                      <w:color w:val="auto"/>
                      <w:kern w:val="0"/>
                      <w:sz w:val="24"/>
                      <w:szCs w:val="24"/>
                      <w:highlight w:val="none"/>
                    </w:rPr>
                  </m:ctrlPr>
                </m:e>
                <m:sub>
                  <m:r>
                    <m:rPr>
                      <m:nor/>
                      <m:sty m:val="p"/>
                    </m:rPr>
                    <w:rPr>
                      <w:rFonts w:hint="default" w:ascii="Times New Roman" w:hAnsi="Times New Roman" w:eastAsia="宋体" w:cs="Times New Roman"/>
                      <w:b w:val="0"/>
                      <w:i w:val="0"/>
                      <w:snapToGrid w:val="0"/>
                      <w:color w:val="auto"/>
                      <w:kern w:val="0"/>
                      <w:sz w:val="24"/>
                      <w:szCs w:val="24"/>
                      <w:highlight w:val="none"/>
                      <w:vertAlign w:val="subscript"/>
                    </w:rPr>
                    <m:t>2</m:t>
                  </m:r>
                  <m:ctrlPr>
                    <w:rPr>
                      <w:rFonts w:hint="default" w:ascii="Cambria Math" w:hAnsi="Cambria Math" w:eastAsia="宋体" w:cs="Times New Roman"/>
                      <w:snapToGrid w:val="0"/>
                      <w:color w:val="auto"/>
                      <w:kern w:val="0"/>
                      <w:sz w:val="24"/>
                      <w:szCs w:val="24"/>
                      <w:highlight w:val="none"/>
                    </w:rPr>
                  </m:ctrlPr>
                </m:sub>
              </m:sSub>
              <m:ctrlPr>
                <w:rPr>
                  <w:rFonts w:hint="default" w:ascii="Cambria Math" w:hAnsi="Cambria Math" w:eastAsia="宋体" w:cs="Times New Roman"/>
                  <w:i/>
                  <w:snapToGrid w:val="0"/>
                  <w:color w:val="auto"/>
                  <w:kern w:val="0"/>
                  <w:sz w:val="24"/>
                  <w:szCs w:val="24"/>
                  <w:highlight w:val="none"/>
                </w:rPr>
              </m:ctrlPr>
            </m:den>
          </m:f>
          <m:r>
            <m:rPr>
              <m:nor/>
              <m:sty m:val="p"/>
            </m:rPr>
            <w:rPr>
              <w:rFonts w:hint="default" w:ascii="Times New Roman" w:hAnsi="Times New Roman" w:eastAsia="宋体" w:cs="Times New Roman"/>
              <w:b w:val="0"/>
              <w:i w:val="0"/>
              <w:snapToGrid w:val="0"/>
              <w:color w:val="auto"/>
              <w:kern w:val="0"/>
              <w:sz w:val="24"/>
              <w:szCs w:val="24"/>
              <w:highlight w:val="none"/>
            </w:rPr>
            <m:t>+</m:t>
          </m:r>
          <m:r>
            <m:rPr>
              <m:nor/>
              <m:sty m:val="p"/>
            </m:rPr>
            <w:rPr>
              <w:rFonts w:hint="default" w:ascii="Times New Roman" w:hAnsi="Times New Roman" w:eastAsia="宋体" w:cs="Times New Roman"/>
              <w:b w:val="0"/>
              <w:i w:val="0"/>
              <w:snapToGrid w:val="0"/>
              <w:color w:val="auto"/>
              <w:kern w:val="0"/>
              <w:sz w:val="24"/>
              <w:szCs w:val="24"/>
              <w:highlight w:val="none"/>
              <w:lang w:val="en-US" w:eastAsia="zh-CN"/>
            </w:rPr>
            <m:t>...</m:t>
          </m:r>
          <m:f>
            <m:fPr>
              <m:ctrlPr>
                <w:rPr>
                  <w:rFonts w:hint="default" w:ascii="Cambria Math" w:hAnsi="Cambria Math" w:eastAsia="宋体" w:cs="Times New Roman"/>
                  <w:i/>
                  <w:snapToGrid w:val="0"/>
                  <w:color w:val="auto"/>
                  <w:kern w:val="0"/>
                  <w:sz w:val="24"/>
                  <w:szCs w:val="24"/>
                  <w:highlight w:val="none"/>
                </w:rPr>
              </m:ctrlPr>
            </m:fPr>
            <m:num>
              <m:sSub>
                <m:sSubPr>
                  <m:ctrlPr>
                    <w:rPr>
                      <w:rFonts w:hint="default" w:ascii="Cambria Math" w:hAnsi="Cambria Math" w:eastAsia="宋体" w:cs="Times New Roman"/>
                      <w:b w:val="0"/>
                      <w:i w:val="0"/>
                      <w:snapToGrid w:val="0"/>
                      <w:color w:val="auto"/>
                      <w:kern w:val="0"/>
                      <w:sz w:val="24"/>
                      <w:szCs w:val="24"/>
                      <w:highlight w:val="none"/>
                      <w:vertAlign w:val="subscript"/>
                    </w:rPr>
                  </m:ctrlPr>
                </m:sSubPr>
                <m:e>
                  <m:r>
                    <m:rPr>
                      <m:nor/>
                      <m:sty m:val="p"/>
                    </m:rPr>
                    <w:rPr>
                      <w:rFonts w:hint="default" w:ascii="Times New Roman" w:hAnsi="Times New Roman" w:eastAsia="宋体" w:cs="Times New Roman"/>
                      <w:b w:val="0"/>
                      <w:i w:val="0"/>
                      <w:snapToGrid w:val="0"/>
                      <w:color w:val="auto"/>
                      <w:kern w:val="0"/>
                      <w:sz w:val="24"/>
                      <w:szCs w:val="24"/>
                      <w:highlight w:val="none"/>
                    </w:rPr>
                    <m:t>q</m:t>
                  </m:r>
                  <m:ctrlPr>
                    <w:rPr>
                      <w:rFonts w:hint="default" w:ascii="Cambria Math" w:hAnsi="Cambria Math" w:eastAsia="宋体" w:cs="Times New Roman"/>
                      <w:b w:val="0"/>
                      <w:i w:val="0"/>
                      <w:snapToGrid w:val="0"/>
                      <w:color w:val="auto"/>
                      <w:kern w:val="0"/>
                      <w:sz w:val="24"/>
                      <w:szCs w:val="24"/>
                      <w:highlight w:val="none"/>
                      <w:vertAlign w:val="subscript"/>
                    </w:rPr>
                  </m:ctrlPr>
                </m:e>
                <m:sub>
                  <m:r>
                    <m:rPr>
                      <m:nor/>
                      <m:sty m:val="p"/>
                    </m:rPr>
                    <w:rPr>
                      <w:rFonts w:hint="default" w:ascii="Times New Roman" w:hAnsi="Times New Roman" w:eastAsia="宋体" w:cs="Times New Roman"/>
                      <w:b w:val="0"/>
                      <w:i w:val="0"/>
                      <w:snapToGrid w:val="0"/>
                      <w:color w:val="auto"/>
                      <w:kern w:val="0"/>
                      <w:sz w:val="24"/>
                      <w:szCs w:val="24"/>
                      <w:highlight w:val="none"/>
                      <w:vertAlign w:val="subscript"/>
                    </w:rPr>
                    <m:t>n</m:t>
                  </m:r>
                  <m:ctrlPr>
                    <w:rPr>
                      <w:rFonts w:hint="default" w:ascii="Cambria Math" w:hAnsi="Cambria Math" w:eastAsia="宋体" w:cs="Times New Roman"/>
                      <w:b w:val="0"/>
                      <w:i w:val="0"/>
                      <w:snapToGrid w:val="0"/>
                      <w:color w:val="auto"/>
                      <w:kern w:val="0"/>
                      <w:sz w:val="24"/>
                      <w:szCs w:val="24"/>
                      <w:highlight w:val="none"/>
                      <w:vertAlign w:val="subscript"/>
                    </w:rPr>
                  </m:ctrlPr>
                </m:sub>
              </m:sSub>
              <m:ctrlPr>
                <w:rPr>
                  <w:rFonts w:hint="default" w:ascii="Cambria Math" w:hAnsi="Cambria Math" w:eastAsia="宋体" w:cs="Times New Roman"/>
                  <w:i/>
                  <w:snapToGrid w:val="0"/>
                  <w:color w:val="auto"/>
                  <w:kern w:val="0"/>
                  <w:sz w:val="24"/>
                  <w:szCs w:val="24"/>
                  <w:highlight w:val="none"/>
                </w:rPr>
              </m:ctrlPr>
            </m:num>
            <m:den>
              <m:sSub>
                <m:sSubPr>
                  <m:ctrlPr>
                    <w:rPr>
                      <w:rFonts w:hint="default" w:ascii="Cambria Math" w:hAnsi="Cambria Math" w:eastAsia="宋体" w:cs="Times New Roman"/>
                      <w:b w:val="0"/>
                      <w:i w:val="0"/>
                      <w:snapToGrid w:val="0"/>
                      <w:color w:val="auto"/>
                      <w:kern w:val="0"/>
                      <w:sz w:val="24"/>
                      <w:szCs w:val="24"/>
                      <w:highlight w:val="none"/>
                      <w:vertAlign w:val="subscript"/>
                    </w:rPr>
                  </m:ctrlPr>
                </m:sSubPr>
                <m:e>
                  <m:r>
                    <m:rPr>
                      <m:nor/>
                      <m:sty m:val="p"/>
                    </m:rPr>
                    <w:rPr>
                      <w:rFonts w:hint="default" w:ascii="Times New Roman" w:hAnsi="Times New Roman" w:eastAsia="宋体" w:cs="Times New Roman"/>
                      <w:b w:val="0"/>
                      <w:i w:val="0"/>
                      <w:snapToGrid w:val="0"/>
                      <w:color w:val="auto"/>
                      <w:kern w:val="0"/>
                      <w:sz w:val="24"/>
                      <w:szCs w:val="24"/>
                      <w:highlight w:val="none"/>
                    </w:rPr>
                    <m:t>Q</m:t>
                  </m:r>
                  <m:ctrlPr>
                    <w:rPr>
                      <w:rFonts w:hint="default" w:ascii="Cambria Math" w:hAnsi="Cambria Math" w:eastAsia="宋体" w:cs="Times New Roman"/>
                      <w:b w:val="0"/>
                      <w:i w:val="0"/>
                      <w:snapToGrid w:val="0"/>
                      <w:color w:val="auto"/>
                      <w:kern w:val="0"/>
                      <w:sz w:val="24"/>
                      <w:szCs w:val="24"/>
                      <w:highlight w:val="none"/>
                      <w:vertAlign w:val="subscript"/>
                    </w:rPr>
                  </m:ctrlPr>
                </m:e>
                <m:sub>
                  <m:r>
                    <m:rPr>
                      <m:nor/>
                      <m:sty m:val="p"/>
                    </m:rPr>
                    <w:rPr>
                      <w:rFonts w:hint="default" w:ascii="Times New Roman" w:hAnsi="Times New Roman" w:eastAsia="宋体" w:cs="Times New Roman"/>
                      <w:b w:val="0"/>
                      <w:i w:val="0"/>
                      <w:snapToGrid w:val="0"/>
                      <w:color w:val="auto"/>
                      <w:kern w:val="0"/>
                      <w:sz w:val="24"/>
                      <w:szCs w:val="24"/>
                      <w:highlight w:val="none"/>
                      <w:vertAlign w:val="subscript"/>
                    </w:rPr>
                    <m:t>n</m:t>
                  </m:r>
                  <m:ctrlPr>
                    <w:rPr>
                      <w:rFonts w:hint="default" w:ascii="Cambria Math" w:hAnsi="Cambria Math" w:eastAsia="宋体" w:cs="Times New Roman"/>
                      <w:b w:val="0"/>
                      <w:i w:val="0"/>
                      <w:snapToGrid w:val="0"/>
                      <w:color w:val="auto"/>
                      <w:kern w:val="0"/>
                      <w:sz w:val="24"/>
                      <w:szCs w:val="24"/>
                      <w:highlight w:val="none"/>
                      <w:vertAlign w:val="subscript"/>
                    </w:rPr>
                  </m:ctrlPr>
                </m:sub>
              </m:sSub>
              <m:ctrlPr>
                <w:rPr>
                  <w:rFonts w:hint="default" w:ascii="Cambria Math" w:hAnsi="Cambria Math" w:eastAsia="宋体" w:cs="Times New Roman"/>
                  <w:i/>
                  <w:snapToGrid w:val="0"/>
                  <w:color w:val="auto"/>
                  <w:kern w:val="0"/>
                  <w:sz w:val="24"/>
                  <w:szCs w:val="24"/>
                  <w:highlight w:val="none"/>
                </w:rPr>
              </m:ctrlPr>
            </m:den>
          </m:f>
        </m:oMath>
      </m:oMathPara>
    </w:p>
    <w:p w14:paraId="4416CD21">
      <w:pPr>
        <w:keepNext w:val="0"/>
        <w:keepLines w:val="0"/>
        <w:pageBreakBefore w:val="0"/>
        <w:widowControl w:val="0"/>
        <w:kinsoku/>
        <w:wordWrap/>
        <w:overflowPunct w:val="0"/>
        <w:topLinePunct w:val="0"/>
        <w:autoSpaceDE/>
        <w:autoSpaceDN/>
        <w:bidi w:val="0"/>
        <w:adjustRightInd/>
        <w:snapToGrid/>
        <w:spacing w:line="360" w:lineRule="auto"/>
        <w:ind w:firstLine="960" w:firstLineChars="400"/>
        <w:jc w:val="left"/>
        <w:textAlignment w:val="auto"/>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auto"/>
          <w:kern w:val="0"/>
          <w:sz w:val="24"/>
          <w:szCs w:val="24"/>
          <w:highlight w:val="none"/>
        </w:rPr>
        <w:t>式中：q</w:t>
      </w:r>
      <w:r>
        <w:rPr>
          <w:rFonts w:hint="default" w:ascii="Times New Roman" w:hAnsi="Times New Roman" w:eastAsia="宋体" w:cs="Times New Roman"/>
          <w:snapToGrid w:val="0"/>
          <w:color w:val="auto"/>
          <w:kern w:val="0"/>
          <w:sz w:val="24"/>
          <w:szCs w:val="24"/>
          <w:highlight w:val="none"/>
          <w:vertAlign w:val="subscript"/>
        </w:rPr>
        <w:t>1</w:t>
      </w:r>
      <w:r>
        <w:rPr>
          <w:rFonts w:hint="default" w:ascii="Times New Roman" w:hAnsi="Times New Roman" w:eastAsia="宋体" w:cs="Times New Roman"/>
          <w:snapToGrid w:val="0"/>
          <w:color w:val="auto"/>
          <w:kern w:val="0"/>
          <w:sz w:val="24"/>
          <w:szCs w:val="24"/>
          <w:highlight w:val="none"/>
          <w:lang w:eastAsia="zh-CN"/>
        </w:rPr>
        <w:t>，</w:t>
      </w:r>
      <w:r>
        <w:rPr>
          <w:rFonts w:hint="default" w:ascii="Times New Roman" w:hAnsi="Times New Roman" w:eastAsia="宋体" w:cs="Times New Roman"/>
          <w:snapToGrid w:val="0"/>
          <w:color w:val="auto"/>
          <w:kern w:val="0"/>
          <w:sz w:val="24"/>
          <w:szCs w:val="24"/>
          <w:highlight w:val="none"/>
        </w:rPr>
        <w:t>q</w:t>
      </w:r>
      <w:r>
        <w:rPr>
          <w:rFonts w:hint="default" w:ascii="Times New Roman" w:hAnsi="Times New Roman" w:eastAsia="宋体" w:cs="Times New Roman"/>
          <w:snapToGrid w:val="0"/>
          <w:color w:val="auto"/>
          <w:kern w:val="0"/>
          <w:sz w:val="24"/>
          <w:szCs w:val="24"/>
          <w:highlight w:val="none"/>
          <w:vertAlign w:val="subscript"/>
        </w:rPr>
        <w:t>2</w:t>
      </w:r>
      <w:r>
        <w:rPr>
          <w:rFonts w:hint="default" w:ascii="Times New Roman" w:hAnsi="Times New Roman" w:eastAsia="宋体" w:cs="Times New Roman"/>
          <w:snapToGrid w:val="0"/>
          <w:color w:val="auto"/>
          <w:kern w:val="0"/>
          <w:sz w:val="24"/>
          <w:szCs w:val="24"/>
          <w:highlight w:val="none"/>
          <w:vertAlign w:val="baseline"/>
          <w:lang w:eastAsia="zh-CN"/>
        </w:rPr>
        <w:t>，</w:t>
      </w:r>
      <w:r>
        <w:rPr>
          <w:rFonts w:hint="default" w:ascii="Times New Roman" w:hAnsi="Times New Roman" w:eastAsia="宋体" w:cs="Times New Roman"/>
          <w:snapToGrid w:val="0"/>
          <w:color w:val="auto"/>
          <w:kern w:val="0"/>
          <w:sz w:val="24"/>
          <w:szCs w:val="24"/>
          <w:highlight w:val="none"/>
          <w:vertAlign w:val="baseline"/>
          <w:lang w:val="en-US" w:eastAsia="zh-CN"/>
        </w:rPr>
        <w:t>...</w:t>
      </w:r>
      <w:r>
        <w:rPr>
          <w:rFonts w:hint="default" w:ascii="Times New Roman" w:hAnsi="Times New Roman" w:eastAsia="宋体" w:cs="Times New Roman"/>
          <w:snapToGrid w:val="0"/>
          <w:color w:val="auto"/>
          <w:kern w:val="0"/>
          <w:sz w:val="24"/>
          <w:szCs w:val="24"/>
          <w:highlight w:val="none"/>
        </w:rPr>
        <w:t>，q</w:t>
      </w:r>
      <w:r>
        <w:rPr>
          <w:rFonts w:hint="default" w:ascii="Times New Roman" w:hAnsi="Times New Roman" w:eastAsia="宋体" w:cs="Times New Roman"/>
          <w:snapToGrid w:val="0"/>
          <w:color w:val="auto"/>
          <w:kern w:val="0"/>
          <w:sz w:val="24"/>
          <w:szCs w:val="24"/>
          <w:highlight w:val="none"/>
          <w:vertAlign w:val="subscript"/>
        </w:rPr>
        <w:t>n</w:t>
      </w:r>
      <w:r>
        <w:rPr>
          <w:rFonts w:hint="default" w:ascii="Times New Roman" w:hAnsi="Times New Roman" w:eastAsia="宋体" w:cs="Times New Roman"/>
          <w:snapToGrid w:val="0"/>
          <w:color w:val="auto"/>
          <w:kern w:val="0"/>
          <w:sz w:val="24"/>
          <w:szCs w:val="24"/>
          <w:highlight w:val="none"/>
        </w:rPr>
        <w:t>为每种危险物质的最大存在</w:t>
      </w:r>
      <w:r>
        <w:rPr>
          <w:rFonts w:hint="default" w:ascii="Times New Roman" w:hAnsi="Times New Roman" w:eastAsia="宋体" w:cs="Times New Roman"/>
          <w:snapToGrid w:val="0"/>
          <w:color w:val="auto"/>
          <w:kern w:val="0"/>
          <w:sz w:val="24"/>
          <w:szCs w:val="24"/>
          <w:highlight w:val="none"/>
          <w:lang w:val="en-US" w:eastAsia="zh-CN"/>
        </w:rPr>
        <w:t>总</w:t>
      </w:r>
      <w:r>
        <w:rPr>
          <w:rFonts w:hint="default" w:ascii="Times New Roman" w:hAnsi="Times New Roman" w:eastAsia="宋体" w:cs="Times New Roman"/>
          <w:snapToGrid w:val="0"/>
          <w:color w:val="auto"/>
          <w:kern w:val="0"/>
          <w:sz w:val="24"/>
          <w:szCs w:val="24"/>
          <w:highlight w:val="none"/>
        </w:rPr>
        <w:t>量，t；</w:t>
      </w:r>
    </w:p>
    <w:p w14:paraId="4FCEF11D">
      <w:pPr>
        <w:keepNext w:val="0"/>
        <w:keepLines w:val="0"/>
        <w:pageBreakBefore w:val="0"/>
        <w:widowControl w:val="0"/>
        <w:kinsoku/>
        <w:wordWrap/>
        <w:overflowPunct w:val="0"/>
        <w:topLinePunct w:val="0"/>
        <w:autoSpaceDE/>
        <w:autoSpaceDN/>
        <w:bidi w:val="0"/>
        <w:adjustRightInd/>
        <w:snapToGrid/>
        <w:spacing w:line="360" w:lineRule="auto"/>
        <w:ind w:firstLine="1680" w:firstLineChars="700"/>
        <w:jc w:val="left"/>
        <w:textAlignment w:val="auto"/>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auto"/>
          <w:kern w:val="0"/>
          <w:sz w:val="24"/>
          <w:szCs w:val="24"/>
          <w:highlight w:val="none"/>
        </w:rPr>
        <w:t>Q</w:t>
      </w:r>
      <w:r>
        <w:rPr>
          <w:rFonts w:hint="default" w:ascii="Times New Roman" w:hAnsi="Times New Roman" w:eastAsia="宋体" w:cs="Times New Roman"/>
          <w:snapToGrid w:val="0"/>
          <w:color w:val="auto"/>
          <w:kern w:val="0"/>
          <w:sz w:val="24"/>
          <w:szCs w:val="24"/>
          <w:highlight w:val="none"/>
          <w:vertAlign w:val="subscript"/>
        </w:rPr>
        <w:t>1</w:t>
      </w:r>
      <w:r>
        <w:rPr>
          <w:rFonts w:hint="default" w:ascii="Times New Roman" w:hAnsi="Times New Roman" w:eastAsia="宋体" w:cs="Times New Roman"/>
          <w:snapToGrid w:val="0"/>
          <w:color w:val="auto"/>
          <w:kern w:val="0"/>
          <w:sz w:val="24"/>
          <w:szCs w:val="24"/>
          <w:highlight w:val="none"/>
          <w:lang w:eastAsia="zh-CN"/>
        </w:rPr>
        <w:t>，</w:t>
      </w:r>
      <w:r>
        <w:rPr>
          <w:rFonts w:hint="default" w:ascii="Times New Roman" w:hAnsi="Times New Roman" w:eastAsia="宋体" w:cs="Times New Roman"/>
          <w:snapToGrid w:val="0"/>
          <w:color w:val="auto"/>
          <w:kern w:val="0"/>
          <w:sz w:val="24"/>
          <w:szCs w:val="24"/>
          <w:highlight w:val="none"/>
        </w:rPr>
        <w:t>Q</w:t>
      </w:r>
      <w:r>
        <w:rPr>
          <w:rFonts w:hint="default" w:ascii="Times New Roman" w:hAnsi="Times New Roman" w:eastAsia="宋体" w:cs="Times New Roman"/>
          <w:snapToGrid w:val="0"/>
          <w:color w:val="auto"/>
          <w:kern w:val="0"/>
          <w:sz w:val="24"/>
          <w:szCs w:val="24"/>
          <w:highlight w:val="none"/>
          <w:vertAlign w:val="subscript"/>
        </w:rPr>
        <w:t>2</w:t>
      </w:r>
      <w:r>
        <w:rPr>
          <w:rFonts w:hint="default" w:ascii="Times New Roman" w:hAnsi="Times New Roman" w:eastAsia="宋体" w:cs="Times New Roman"/>
          <w:snapToGrid w:val="0"/>
          <w:color w:val="auto"/>
          <w:kern w:val="0"/>
          <w:sz w:val="24"/>
          <w:szCs w:val="24"/>
          <w:highlight w:val="none"/>
          <w:vertAlign w:val="baseline"/>
          <w:lang w:eastAsia="zh-CN"/>
        </w:rPr>
        <w:t>，</w:t>
      </w:r>
      <w:r>
        <w:rPr>
          <w:rFonts w:hint="default" w:ascii="Times New Roman" w:hAnsi="Times New Roman" w:eastAsia="宋体" w:cs="Times New Roman"/>
          <w:snapToGrid w:val="0"/>
          <w:color w:val="auto"/>
          <w:kern w:val="0"/>
          <w:sz w:val="24"/>
          <w:szCs w:val="24"/>
          <w:highlight w:val="none"/>
          <w:lang w:val="en-US" w:eastAsia="zh-CN"/>
        </w:rPr>
        <w:t>...</w:t>
      </w:r>
      <w:r>
        <w:rPr>
          <w:rFonts w:hint="default" w:ascii="Times New Roman" w:hAnsi="Times New Roman" w:eastAsia="宋体" w:cs="Times New Roman"/>
          <w:snapToGrid w:val="0"/>
          <w:color w:val="auto"/>
          <w:kern w:val="0"/>
          <w:sz w:val="24"/>
          <w:szCs w:val="24"/>
          <w:highlight w:val="none"/>
          <w:lang w:eastAsia="zh-CN"/>
        </w:rPr>
        <w:t>，</w:t>
      </w:r>
      <w:r>
        <w:rPr>
          <w:rFonts w:hint="default" w:ascii="Times New Roman" w:hAnsi="Times New Roman" w:eastAsia="宋体" w:cs="Times New Roman"/>
          <w:snapToGrid w:val="0"/>
          <w:color w:val="auto"/>
          <w:kern w:val="0"/>
          <w:sz w:val="24"/>
          <w:szCs w:val="24"/>
          <w:highlight w:val="none"/>
        </w:rPr>
        <w:t>Q</w:t>
      </w:r>
      <w:r>
        <w:rPr>
          <w:rFonts w:hint="default" w:ascii="Times New Roman" w:hAnsi="Times New Roman" w:eastAsia="宋体" w:cs="Times New Roman"/>
          <w:snapToGrid w:val="0"/>
          <w:color w:val="auto"/>
          <w:kern w:val="0"/>
          <w:sz w:val="24"/>
          <w:szCs w:val="24"/>
          <w:highlight w:val="none"/>
          <w:vertAlign w:val="subscript"/>
        </w:rPr>
        <w:t>n</w:t>
      </w:r>
      <w:r>
        <w:rPr>
          <w:rFonts w:hint="default" w:ascii="Times New Roman" w:hAnsi="Times New Roman" w:eastAsia="宋体" w:cs="Times New Roman"/>
          <w:snapToGrid w:val="0"/>
          <w:color w:val="auto"/>
          <w:kern w:val="0"/>
          <w:sz w:val="24"/>
          <w:szCs w:val="24"/>
          <w:highlight w:val="none"/>
        </w:rPr>
        <w:t>为每种危险物质的临界量，t。</w:t>
      </w:r>
    </w:p>
    <w:p w14:paraId="2ED4BCAE">
      <w:pPr>
        <w:keepNext w:val="0"/>
        <w:keepLines w:val="0"/>
        <w:pageBreakBefore w:val="0"/>
        <w:widowControl w:val="0"/>
        <w:kinsoku/>
        <w:wordWrap/>
        <w:overflowPunct w:val="0"/>
        <w:topLinePunct w:val="0"/>
        <w:autoSpaceDE/>
        <w:autoSpaceDN/>
        <w:bidi w:val="0"/>
        <w:adjustRightInd/>
        <w:snapToGrid/>
        <w:spacing w:line="360" w:lineRule="auto"/>
        <w:ind w:firstLine="720" w:firstLineChars="300"/>
        <w:jc w:val="left"/>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当Q＜1时，该项目环境风险潜势为Ⅰ。</w:t>
      </w:r>
    </w:p>
    <w:p w14:paraId="0642BA6C">
      <w:pPr>
        <w:keepNext w:val="0"/>
        <w:keepLines w:val="0"/>
        <w:pageBreakBefore w:val="0"/>
        <w:widowControl w:val="0"/>
        <w:kinsoku/>
        <w:wordWrap/>
        <w:overflowPunct w:val="0"/>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当Q≥1时，将Q值划分为：</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lang w:val="en-US" w:eastAsia="zh-CN"/>
        </w:rPr>
        <w:t>1</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rPr>
        <w:t>1≤Q＜10、</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lang w:val="en-US" w:eastAsia="zh-CN"/>
        </w:rPr>
        <w:t>2</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rPr>
        <w:t>10≤Q＜100、</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lang w:val="en-US" w:eastAsia="zh-CN"/>
        </w:rPr>
        <w:t>3</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rPr>
        <w:t>Q≥100。</w:t>
      </w:r>
    </w:p>
    <w:p w14:paraId="56A6356F">
      <w:pPr>
        <w:keepNext w:val="0"/>
        <w:keepLines w:val="0"/>
        <w:pageBreakBefore w:val="0"/>
        <w:widowControl w:val="0"/>
        <w:kinsoku/>
        <w:wordWrap/>
        <w:overflowPunct w:val="0"/>
        <w:topLinePunct w:val="0"/>
        <w:autoSpaceDE/>
        <w:autoSpaceDN/>
        <w:bidi w:val="0"/>
        <w:adjustRightInd/>
        <w:snapToGrid/>
        <w:spacing w:line="360" w:lineRule="auto"/>
        <w:ind w:firstLine="720" w:firstLineChars="300"/>
        <w:jc w:val="left"/>
        <w:textAlignment w:val="auto"/>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本项目Q值确定见表</w:t>
      </w:r>
      <w:r>
        <w:rPr>
          <w:rFonts w:hint="default" w:ascii="Times New Roman" w:hAnsi="Times New Roman" w:eastAsia="宋体" w:cs="Times New Roman"/>
          <w:b w:val="0"/>
          <w:bCs w:val="0"/>
          <w:color w:val="auto"/>
          <w:sz w:val="24"/>
          <w:szCs w:val="24"/>
          <w:highlight w:val="none"/>
          <w:lang w:val="en-US" w:eastAsia="zh-CN"/>
        </w:rPr>
        <w:t>3.3-8</w:t>
      </w:r>
      <w:r>
        <w:rPr>
          <w:rFonts w:hint="default" w:ascii="Times New Roman" w:hAnsi="Times New Roman" w:eastAsia="宋体" w:cs="Times New Roman"/>
          <w:color w:val="auto"/>
          <w:kern w:val="0"/>
          <w:sz w:val="24"/>
          <w:szCs w:val="24"/>
          <w:highlight w:val="none"/>
        </w:rPr>
        <w:t>。</w:t>
      </w:r>
    </w:p>
    <w:p w14:paraId="76635FEF">
      <w:pPr>
        <w:pStyle w:val="53"/>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b/>
          <w:bCs/>
          <w:iCs/>
          <w:color w:val="auto"/>
          <w:sz w:val="24"/>
          <w:szCs w:val="24"/>
          <w:highlight w:val="none"/>
        </w:rPr>
        <w:t>表</w:t>
      </w:r>
      <w:r>
        <w:rPr>
          <w:rFonts w:hint="default" w:ascii="Times New Roman" w:hAnsi="Times New Roman" w:eastAsia="宋体" w:cs="Times New Roman"/>
          <w:b/>
          <w:bCs/>
          <w:color w:val="auto"/>
          <w:sz w:val="24"/>
          <w:szCs w:val="24"/>
          <w:highlight w:val="none"/>
          <w:lang w:val="en-US" w:eastAsia="zh-CN"/>
        </w:rPr>
        <w:t>3.3-8</w:t>
      </w:r>
      <w:r>
        <w:rPr>
          <w:rFonts w:hint="default" w:ascii="Times New Roman" w:hAnsi="Times New Roman" w:eastAsia="宋体" w:cs="Times New Roman"/>
          <w:b/>
          <w:bCs/>
          <w:color w:val="auto"/>
          <w:sz w:val="24"/>
          <w:szCs w:val="24"/>
          <w:highlight w:val="none"/>
        </w:rPr>
        <w:t>本项目Q值确定</w:t>
      </w:r>
      <w:r>
        <w:rPr>
          <w:rFonts w:hint="default" w:ascii="Times New Roman" w:hAnsi="Times New Roman" w:eastAsia="宋体" w:cs="Times New Roman"/>
          <w:b/>
          <w:bCs/>
          <w:color w:val="auto"/>
          <w:sz w:val="24"/>
          <w:szCs w:val="24"/>
          <w:highlight w:val="none"/>
          <w:lang w:val="en-US" w:eastAsia="zh-CN"/>
        </w:rPr>
        <w:t>一览</w:t>
      </w:r>
      <w:r>
        <w:rPr>
          <w:rFonts w:hint="default" w:ascii="Times New Roman" w:hAnsi="Times New Roman" w:eastAsia="宋体" w:cs="Times New Roman"/>
          <w:b/>
          <w:bCs/>
          <w:color w:val="auto"/>
          <w:sz w:val="24"/>
          <w:szCs w:val="24"/>
          <w:highlight w:val="none"/>
        </w:rPr>
        <w:t>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534"/>
        <w:gridCol w:w="1104"/>
        <w:gridCol w:w="1834"/>
        <w:gridCol w:w="1435"/>
        <w:gridCol w:w="1938"/>
      </w:tblGrid>
      <w:tr w14:paraId="769B21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83" w:type="dxa"/>
            <w:tcBorders>
              <w:tl2br w:val="nil"/>
              <w:tr2bl w:val="nil"/>
            </w:tcBorders>
            <w:noWrap w:val="0"/>
            <w:vAlign w:val="center"/>
          </w:tcPr>
          <w:p w14:paraId="2696AE25">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1533" w:type="dxa"/>
            <w:tcBorders>
              <w:tl2br w:val="nil"/>
              <w:tr2bl w:val="nil"/>
            </w:tcBorders>
            <w:noWrap w:val="0"/>
            <w:vAlign w:val="center"/>
          </w:tcPr>
          <w:p w14:paraId="14FA8974">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危险物质名称</w:t>
            </w:r>
          </w:p>
        </w:tc>
        <w:tc>
          <w:tcPr>
            <w:tcW w:w="1103" w:type="dxa"/>
            <w:tcBorders>
              <w:tl2br w:val="nil"/>
              <w:tr2bl w:val="nil"/>
            </w:tcBorders>
            <w:noWrap w:val="0"/>
            <w:vAlign w:val="center"/>
          </w:tcPr>
          <w:p w14:paraId="6223C5DD">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CAS号</w:t>
            </w:r>
          </w:p>
        </w:tc>
        <w:tc>
          <w:tcPr>
            <w:tcW w:w="1833" w:type="dxa"/>
            <w:tcBorders>
              <w:tl2br w:val="nil"/>
              <w:tr2bl w:val="nil"/>
            </w:tcBorders>
            <w:noWrap w:val="0"/>
            <w:vAlign w:val="center"/>
          </w:tcPr>
          <w:p w14:paraId="298CC189">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最大存在总量q</w:t>
            </w:r>
            <w:r>
              <w:rPr>
                <w:rFonts w:hint="default" w:ascii="Times New Roman" w:hAnsi="Times New Roman" w:eastAsia="宋体" w:cs="Times New Roman"/>
                <w:b/>
                <w:bCs/>
                <w:color w:val="auto"/>
                <w:sz w:val="21"/>
                <w:szCs w:val="21"/>
                <w:highlight w:val="none"/>
                <w:vertAlign w:val="subscript"/>
              </w:rPr>
              <w:t>n</w:t>
            </w:r>
            <w:r>
              <w:rPr>
                <w:rFonts w:hint="default" w:ascii="Times New Roman" w:hAnsi="Times New Roman" w:eastAsia="宋体" w:cs="Times New Roman"/>
                <w:b/>
                <w:bCs/>
                <w:color w:val="auto"/>
                <w:sz w:val="21"/>
                <w:szCs w:val="21"/>
                <w:highlight w:val="none"/>
              </w:rPr>
              <w:t>/t</w:t>
            </w:r>
          </w:p>
        </w:tc>
        <w:tc>
          <w:tcPr>
            <w:tcW w:w="1434" w:type="dxa"/>
            <w:tcBorders>
              <w:tl2br w:val="nil"/>
              <w:tr2bl w:val="nil"/>
            </w:tcBorders>
            <w:noWrap w:val="0"/>
            <w:vAlign w:val="center"/>
          </w:tcPr>
          <w:p w14:paraId="7902616A">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临界量Q</w:t>
            </w:r>
            <w:r>
              <w:rPr>
                <w:rFonts w:hint="default" w:ascii="Times New Roman" w:hAnsi="Times New Roman" w:eastAsia="宋体" w:cs="Times New Roman"/>
                <w:b/>
                <w:bCs/>
                <w:color w:val="auto"/>
                <w:sz w:val="21"/>
                <w:szCs w:val="21"/>
                <w:highlight w:val="none"/>
                <w:vertAlign w:val="subscript"/>
              </w:rPr>
              <w:t>n</w:t>
            </w:r>
            <w:r>
              <w:rPr>
                <w:rFonts w:hint="default" w:ascii="Times New Roman" w:hAnsi="Times New Roman" w:eastAsia="宋体" w:cs="Times New Roman"/>
                <w:b/>
                <w:bCs/>
                <w:color w:val="auto"/>
                <w:sz w:val="21"/>
                <w:szCs w:val="21"/>
                <w:highlight w:val="none"/>
              </w:rPr>
              <w:t>/t</w:t>
            </w:r>
          </w:p>
        </w:tc>
        <w:tc>
          <w:tcPr>
            <w:tcW w:w="1937" w:type="dxa"/>
            <w:tcBorders>
              <w:tl2br w:val="nil"/>
              <w:tr2bl w:val="nil"/>
            </w:tcBorders>
            <w:noWrap w:val="0"/>
            <w:vAlign w:val="center"/>
          </w:tcPr>
          <w:p w14:paraId="7D72D940">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该种危险物质Q值</w:t>
            </w:r>
          </w:p>
        </w:tc>
      </w:tr>
      <w:tr w14:paraId="7922B7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83" w:type="dxa"/>
            <w:tcBorders>
              <w:tl2br w:val="nil"/>
              <w:tr2bl w:val="nil"/>
            </w:tcBorders>
            <w:noWrap w:val="0"/>
            <w:vAlign w:val="center"/>
          </w:tcPr>
          <w:p w14:paraId="090D74BF">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w:t>
            </w:r>
          </w:p>
        </w:tc>
        <w:tc>
          <w:tcPr>
            <w:tcW w:w="1533" w:type="dxa"/>
            <w:tcBorders>
              <w:tl2br w:val="nil"/>
              <w:tr2bl w:val="nil"/>
            </w:tcBorders>
            <w:noWrap w:val="0"/>
            <w:vAlign w:val="center"/>
          </w:tcPr>
          <w:p w14:paraId="5D9BC644">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1103" w:type="dxa"/>
            <w:tcBorders>
              <w:tl2br w:val="nil"/>
              <w:tr2bl w:val="nil"/>
            </w:tcBorders>
            <w:noWrap w:val="0"/>
            <w:vAlign w:val="center"/>
          </w:tcPr>
          <w:p w14:paraId="01B0DA4F">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7783-06-4</w:t>
            </w:r>
          </w:p>
        </w:tc>
        <w:tc>
          <w:tcPr>
            <w:tcW w:w="1833" w:type="dxa"/>
            <w:tcBorders>
              <w:tl2br w:val="nil"/>
              <w:tr2bl w:val="nil"/>
            </w:tcBorders>
            <w:noWrap w:val="0"/>
            <w:vAlign w:val="center"/>
          </w:tcPr>
          <w:p w14:paraId="63A761A0">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1434" w:type="dxa"/>
            <w:tcBorders>
              <w:tl2br w:val="nil"/>
              <w:tr2bl w:val="nil"/>
            </w:tcBorders>
            <w:noWrap w:val="0"/>
            <w:vAlign w:val="center"/>
          </w:tcPr>
          <w:p w14:paraId="4687B6DB">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2.5</w:t>
            </w:r>
          </w:p>
        </w:tc>
        <w:tc>
          <w:tcPr>
            <w:tcW w:w="1937" w:type="dxa"/>
            <w:tcBorders>
              <w:tl2br w:val="nil"/>
              <w:tr2bl w:val="nil"/>
            </w:tcBorders>
            <w:noWrap w:val="0"/>
            <w:vAlign w:val="center"/>
          </w:tcPr>
          <w:p w14:paraId="4E4A187C">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30AF74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83" w:type="dxa"/>
            <w:tcBorders>
              <w:tl2br w:val="nil"/>
              <w:tr2bl w:val="nil"/>
            </w:tcBorders>
            <w:noWrap w:val="0"/>
            <w:vAlign w:val="center"/>
          </w:tcPr>
          <w:p w14:paraId="539A9EC7">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w:t>
            </w:r>
          </w:p>
        </w:tc>
        <w:tc>
          <w:tcPr>
            <w:tcW w:w="1533" w:type="dxa"/>
            <w:tcBorders>
              <w:tl2br w:val="nil"/>
              <w:tr2bl w:val="nil"/>
            </w:tcBorders>
            <w:noWrap w:val="0"/>
            <w:vAlign w:val="center"/>
          </w:tcPr>
          <w:p w14:paraId="61E6AFE4">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1103" w:type="dxa"/>
            <w:tcBorders>
              <w:tl2br w:val="nil"/>
              <w:tr2bl w:val="nil"/>
            </w:tcBorders>
            <w:noWrap w:val="0"/>
            <w:vAlign w:val="center"/>
          </w:tcPr>
          <w:p w14:paraId="7BCF3244">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7664-41-7</w:t>
            </w:r>
          </w:p>
        </w:tc>
        <w:tc>
          <w:tcPr>
            <w:tcW w:w="1833" w:type="dxa"/>
            <w:tcBorders>
              <w:tl2br w:val="nil"/>
              <w:tr2bl w:val="nil"/>
            </w:tcBorders>
            <w:noWrap w:val="0"/>
            <w:vAlign w:val="center"/>
          </w:tcPr>
          <w:p w14:paraId="2625C2C3">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1434" w:type="dxa"/>
            <w:tcBorders>
              <w:tl2br w:val="nil"/>
              <w:tr2bl w:val="nil"/>
            </w:tcBorders>
            <w:noWrap w:val="0"/>
            <w:vAlign w:val="center"/>
          </w:tcPr>
          <w:p w14:paraId="50AF1B88">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5</w:t>
            </w:r>
          </w:p>
        </w:tc>
        <w:tc>
          <w:tcPr>
            <w:tcW w:w="1937" w:type="dxa"/>
            <w:tcBorders>
              <w:tl2br w:val="nil"/>
              <w:tr2bl w:val="nil"/>
            </w:tcBorders>
            <w:noWrap w:val="0"/>
            <w:vAlign w:val="center"/>
          </w:tcPr>
          <w:p w14:paraId="5B6242DF">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r>
      <w:tr w14:paraId="691C24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586" w:type="dxa"/>
            <w:gridSpan w:val="5"/>
            <w:tcBorders>
              <w:tl2br w:val="nil"/>
              <w:tr2bl w:val="nil"/>
            </w:tcBorders>
            <w:noWrap w:val="0"/>
            <w:vAlign w:val="center"/>
          </w:tcPr>
          <w:p w14:paraId="7E019BC2">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项目Q值∑</w:t>
            </w:r>
          </w:p>
        </w:tc>
        <w:tc>
          <w:tcPr>
            <w:tcW w:w="1937" w:type="dxa"/>
            <w:tcBorders>
              <w:tl2br w:val="nil"/>
              <w:tr2bl w:val="nil"/>
            </w:tcBorders>
            <w:noWrap w:val="0"/>
            <w:vAlign w:val="center"/>
          </w:tcPr>
          <w:p w14:paraId="2EE4DABF">
            <w:pPr>
              <w:pageBreakBefore w:val="0"/>
              <w:kinsoku/>
              <w:wordWrap/>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t>
            </w:r>
          </w:p>
        </w:tc>
      </w:tr>
    </w:tbl>
    <w:p w14:paraId="5AAF654C">
      <w:pPr>
        <w:pStyle w:val="40"/>
        <w:pageBreakBefore w:val="0"/>
        <w:kinsoku/>
        <w:wordWrap/>
        <w:topLinePunct w:val="0"/>
        <w:autoSpaceDE/>
        <w:autoSpaceDN/>
        <w:bidi w:val="0"/>
        <w:adjustRightInd/>
        <w:snapToGrid/>
        <w:jc w:val="both"/>
        <w:textAlignment w:val="auto"/>
        <w:rPr>
          <w:rFonts w:hint="default" w:ascii="Times New Roman" w:hAnsi="Times New Roman" w:eastAsia="宋体" w:cs="Times New Roman"/>
          <w:b w:val="0"/>
          <w:bCs w:val="0"/>
          <w:smallCaps w:val="0"/>
          <w:color w:val="auto"/>
          <w:kern w:val="0"/>
          <w:sz w:val="24"/>
          <w:szCs w:val="24"/>
          <w:highlight w:val="none"/>
          <w:lang w:val="en-US" w:eastAsia="zh-CN" w:bidi="ar-SA"/>
        </w:rPr>
      </w:pPr>
      <w:r>
        <w:rPr>
          <w:rFonts w:hint="default" w:ascii="Times New Roman" w:hAnsi="Times New Roman" w:eastAsia="宋体" w:cs="Times New Roman"/>
          <w:b w:val="0"/>
          <w:bCs w:val="0"/>
          <w:smallCaps w:val="0"/>
          <w:color w:val="auto"/>
          <w:kern w:val="0"/>
          <w:sz w:val="24"/>
          <w:szCs w:val="24"/>
          <w:highlight w:val="none"/>
          <w:lang w:val="en-US" w:eastAsia="zh-CN" w:bidi="ar-SA"/>
        </w:rPr>
        <w:t>由于本项目排放废气H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2</w:t>
      </w:r>
      <w:r>
        <w:rPr>
          <w:rFonts w:hint="default" w:ascii="Times New Roman" w:hAnsi="Times New Roman" w:eastAsia="宋体" w:cs="Times New Roman"/>
          <w:b w:val="0"/>
          <w:bCs w:val="0"/>
          <w:smallCaps w:val="0"/>
          <w:color w:val="auto"/>
          <w:kern w:val="0"/>
          <w:sz w:val="24"/>
          <w:szCs w:val="24"/>
          <w:highlight w:val="none"/>
          <w:lang w:val="en-US" w:eastAsia="zh-CN" w:bidi="ar-SA"/>
        </w:rPr>
        <w:t>S、NH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3</w:t>
      </w:r>
      <w:r>
        <w:rPr>
          <w:rFonts w:hint="default" w:ascii="Times New Roman" w:hAnsi="Times New Roman" w:eastAsia="宋体" w:cs="Times New Roman"/>
          <w:b w:val="0"/>
          <w:bCs w:val="0"/>
          <w:smallCaps w:val="0"/>
          <w:color w:val="auto"/>
          <w:kern w:val="0"/>
          <w:sz w:val="24"/>
          <w:szCs w:val="24"/>
          <w:highlight w:val="none"/>
          <w:lang w:val="en-US" w:eastAsia="zh-CN" w:bidi="ar-SA"/>
        </w:rPr>
        <w:t>为无组织排放，不储存，Q＜1，即环境风险潜式为Ⅰ。</w:t>
      </w:r>
    </w:p>
    <w:p w14:paraId="044D82E5">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textAlignment w:val="baseline"/>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snapToGrid w:val="0"/>
          <w:color w:val="auto"/>
          <w:kern w:val="0"/>
          <w:sz w:val="24"/>
          <w:szCs w:val="24"/>
          <w:highlight w:val="none"/>
          <w:lang w:val="en-US" w:eastAsia="en-US" w:bidi="ar-SA"/>
        </w:rPr>
        <w:t>（2）</w:t>
      </w:r>
      <w:r>
        <w:rPr>
          <w:rFonts w:hint="default" w:ascii="Times New Roman" w:hAnsi="Times New Roman" w:eastAsia="宋体" w:cs="Times New Roman"/>
          <w:b w:val="0"/>
          <w:bCs w:val="0"/>
          <w:color w:val="auto"/>
          <w:sz w:val="24"/>
          <w:szCs w:val="24"/>
          <w:highlight w:val="none"/>
        </w:rPr>
        <w:t>风险识别</w:t>
      </w:r>
    </w:p>
    <w:p w14:paraId="329D4913">
      <w:pPr>
        <w:pStyle w:val="40"/>
        <w:pageBreakBefore w:val="0"/>
        <w:kinsoku/>
        <w:wordWrap/>
        <w:overflowPunct/>
        <w:topLinePunct w:val="0"/>
        <w:autoSpaceDE/>
        <w:autoSpaceDN/>
        <w:bidi w:val="0"/>
        <w:adjustRightInd/>
        <w:snapToGrid/>
        <w:spacing w:line="360" w:lineRule="auto"/>
        <w:ind w:left="0" w:firstLine="480" w:firstLineChars="200"/>
        <w:jc w:val="both"/>
        <w:textAlignment w:val="auto"/>
        <w:rPr>
          <w:rFonts w:hint="default" w:ascii="Times New Roman" w:hAnsi="Times New Roman" w:eastAsia="宋体" w:cs="Times New Roman"/>
          <w:snapToGrid w:val="0"/>
          <w:color w:val="auto"/>
          <w:sz w:val="24"/>
          <w:szCs w:val="24"/>
          <w:highlight w:val="none"/>
        </w:rPr>
      </w:pPr>
      <w:r>
        <w:rPr>
          <w:rFonts w:hint="default" w:ascii="Times New Roman" w:hAnsi="Times New Roman" w:eastAsia="宋体" w:cs="Times New Roman"/>
          <w:snapToGrid w:val="0"/>
          <w:color w:val="auto"/>
          <w:sz w:val="24"/>
          <w:szCs w:val="24"/>
          <w:highlight w:val="none"/>
        </w:rPr>
        <w:t>根据</w:t>
      </w:r>
      <w:r>
        <w:rPr>
          <w:rFonts w:hint="default" w:ascii="Times New Roman" w:hAnsi="Times New Roman" w:eastAsia="宋体" w:cs="Times New Roman"/>
          <w:color w:val="auto"/>
          <w:sz w:val="24"/>
          <w:szCs w:val="24"/>
          <w:highlight w:val="none"/>
          <w:lang w:eastAsia="zh-CN"/>
        </w:rPr>
        <w:t>《建设项目环境风险评价技术导则》（HJ169-2018）</w:t>
      </w:r>
      <w:r>
        <w:rPr>
          <w:rFonts w:hint="default" w:ascii="Times New Roman" w:hAnsi="Times New Roman" w:eastAsia="宋体" w:cs="Times New Roman"/>
          <w:snapToGrid w:val="0"/>
          <w:color w:val="auto"/>
          <w:sz w:val="24"/>
          <w:szCs w:val="24"/>
          <w:highlight w:val="none"/>
        </w:rPr>
        <w:t>要求，环境风险评价的风险识别</w:t>
      </w:r>
      <w:r>
        <w:rPr>
          <w:rFonts w:hint="default" w:ascii="Times New Roman" w:hAnsi="Times New Roman" w:eastAsia="宋体" w:cs="Times New Roman"/>
          <w:snapToGrid w:val="0"/>
          <w:color w:val="auto"/>
          <w:sz w:val="24"/>
          <w:szCs w:val="24"/>
          <w:highlight w:val="none"/>
          <w:lang w:val="en-US" w:eastAsia="zh-CN"/>
        </w:rPr>
        <w:t>内容</w:t>
      </w:r>
      <w:r>
        <w:rPr>
          <w:rFonts w:hint="default" w:ascii="Times New Roman" w:hAnsi="Times New Roman" w:eastAsia="宋体" w:cs="Times New Roman"/>
          <w:snapToGrid w:val="0"/>
          <w:color w:val="auto"/>
          <w:sz w:val="24"/>
          <w:szCs w:val="24"/>
          <w:highlight w:val="none"/>
        </w:rPr>
        <w:t>主要包括</w:t>
      </w:r>
      <w:r>
        <w:rPr>
          <w:rFonts w:hint="default" w:ascii="Times New Roman" w:hAnsi="Times New Roman" w:eastAsia="宋体" w:cs="Times New Roman"/>
          <w:snapToGrid w:val="0"/>
          <w:color w:val="auto"/>
          <w:sz w:val="24"/>
          <w:szCs w:val="24"/>
          <w:highlight w:val="none"/>
          <w:lang w:val="en-US" w:eastAsia="zh-CN"/>
        </w:rPr>
        <w:t>物质危险性识别、生产系统危险性识别、危险物质向环境转移的途径识别。</w:t>
      </w:r>
    </w:p>
    <w:p w14:paraId="047CECCE">
      <w:pPr>
        <w:pStyle w:val="40"/>
        <w:pageBreakBefore w:val="0"/>
        <w:kinsoku/>
        <w:wordWrap/>
        <w:overflowPunct/>
        <w:topLinePunct w:val="0"/>
        <w:autoSpaceDE/>
        <w:autoSpaceDN/>
        <w:bidi w:val="0"/>
        <w:adjustRightInd/>
        <w:snapToGrid/>
        <w:spacing w:line="360" w:lineRule="auto"/>
        <w:ind w:left="0" w:firstLine="480" w:firstLineChars="200"/>
        <w:jc w:val="both"/>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eastAsia="zh-CN"/>
        </w:rPr>
        <w:t>①</w:t>
      </w:r>
      <w:r>
        <w:rPr>
          <w:rFonts w:hint="default" w:ascii="Times New Roman" w:hAnsi="Times New Roman" w:eastAsia="宋体" w:cs="Times New Roman"/>
          <w:snapToGrid w:val="0"/>
          <w:color w:val="auto"/>
          <w:sz w:val="24"/>
          <w:szCs w:val="24"/>
          <w:highlight w:val="none"/>
          <w:lang w:val="en-US" w:eastAsia="zh-CN"/>
        </w:rPr>
        <w:t>物质危险性识别，包括主要原辅材料、燃料、中间产品、副产品、最终产品、污染物、火灾和爆炸伴生/次生物等。</w:t>
      </w:r>
    </w:p>
    <w:p w14:paraId="51A099B7">
      <w:pPr>
        <w:pStyle w:val="40"/>
        <w:pageBreakBefore w:val="0"/>
        <w:kinsoku/>
        <w:wordWrap/>
        <w:overflowPunct/>
        <w:topLinePunct w:val="0"/>
        <w:autoSpaceDE/>
        <w:autoSpaceDN/>
        <w:bidi w:val="0"/>
        <w:adjustRightInd/>
        <w:snapToGrid/>
        <w:spacing w:line="360" w:lineRule="auto"/>
        <w:ind w:left="0" w:firstLine="480" w:firstLineChars="200"/>
        <w:jc w:val="both"/>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eastAsia="zh-CN"/>
        </w:rPr>
        <w:t>②</w:t>
      </w:r>
      <w:r>
        <w:rPr>
          <w:rFonts w:hint="default" w:ascii="Times New Roman" w:hAnsi="Times New Roman" w:eastAsia="宋体" w:cs="Times New Roman"/>
          <w:snapToGrid w:val="0"/>
          <w:color w:val="auto"/>
          <w:sz w:val="24"/>
          <w:szCs w:val="24"/>
          <w:highlight w:val="none"/>
          <w:lang w:val="en-US" w:eastAsia="zh-CN"/>
        </w:rPr>
        <w:t>生产系统危险性识别，包括主要生产装置、储运设施、公用工程和辅助生产设施，以及环境保护设施等。</w:t>
      </w:r>
    </w:p>
    <w:p w14:paraId="42EEBFE6">
      <w:pPr>
        <w:pStyle w:val="40"/>
        <w:pageBreakBefore w:val="0"/>
        <w:kinsoku/>
        <w:wordWrap/>
        <w:overflowPunct/>
        <w:topLinePunct w:val="0"/>
        <w:autoSpaceDE/>
        <w:autoSpaceDN/>
        <w:bidi w:val="0"/>
        <w:adjustRightInd/>
        <w:snapToGrid/>
        <w:spacing w:line="360" w:lineRule="auto"/>
        <w:ind w:left="0" w:firstLine="480" w:firstLineChars="200"/>
        <w:jc w:val="left"/>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t>③</w:t>
      </w:r>
      <w:r>
        <w:rPr>
          <w:rFonts w:hint="default" w:ascii="Times New Roman" w:hAnsi="Times New Roman" w:eastAsia="宋体" w:cs="Times New Roman"/>
          <w:snapToGrid w:val="0"/>
          <w:color w:val="auto"/>
          <w:sz w:val="24"/>
          <w:szCs w:val="24"/>
          <w:highlight w:val="none"/>
          <w:lang w:val="en-US" w:eastAsia="zh-CN"/>
        </w:rPr>
        <w:t>危险物质向环境转移的途径识别，包括分析危险物质特性及可能的环境风险类型，识别危险物质影响环境的途径，分析可能影响的环境敏感目标。</w:t>
      </w:r>
    </w:p>
    <w:p w14:paraId="6EA90B49">
      <w:pPr>
        <w:pStyle w:val="40"/>
        <w:pageBreakBefore w:val="0"/>
        <w:kinsoku/>
        <w:wordWrap/>
        <w:overflowPunct/>
        <w:topLinePunct w:val="0"/>
        <w:autoSpaceDE/>
        <w:autoSpaceDN/>
        <w:bidi w:val="0"/>
        <w:adjustRightInd/>
        <w:snapToGrid/>
        <w:spacing w:line="360" w:lineRule="auto"/>
        <w:ind w:left="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本项目运营期涉及到的风险主要为养殖过程中的疾病疫情风险</w:t>
      </w:r>
      <w:r>
        <w:rPr>
          <w:rFonts w:hint="default" w:ascii="Times New Roman" w:hAnsi="Times New Roman" w:eastAsia="宋体" w:cs="Times New Roman"/>
          <w:color w:val="auto"/>
          <w:sz w:val="24"/>
          <w:szCs w:val="24"/>
          <w:highlight w:val="none"/>
          <w:lang w:eastAsia="zh-CN"/>
        </w:rPr>
        <w:t>。</w:t>
      </w:r>
    </w:p>
    <w:p w14:paraId="7FC14F68">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3.3.2.6清洁生产</w:t>
      </w:r>
    </w:p>
    <w:p w14:paraId="3B40FBD9">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（1）生产工艺分析</w:t>
      </w:r>
    </w:p>
    <w:p w14:paraId="56916070">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kern w:val="0"/>
          <w:sz w:val="24"/>
          <w:highlight w:val="none"/>
        </w:rPr>
      </w:pPr>
      <w:r>
        <w:rPr>
          <w:rFonts w:hint="default" w:ascii="Times New Roman" w:hAnsi="Times New Roman" w:eastAsia="宋体" w:cs="Times New Roman"/>
          <w:color w:val="auto"/>
          <w:kern w:val="0"/>
          <w:sz w:val="24"/>
          <w:highlight w:val="none"/>
        </w:rPr>
        <w:t>①选用优良新品种，有利于养殖业健康稳定，持续发展。</w:t>
      </w:r>
    </w:p>
    <w:p w14:paraId="226D085A">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kern w:val="0"/>
          <w:sz w:val="24"/>
          <w:highlight w:val="none"/>
        </w:rPr>
        <w:t>②</w:t>
      </w:r>
      <w:r>
        <w:rPr>
          <w:rFonts w:hint="default" w:ascii="Times New Roman" w:hAnsi="Times New Roman" w:eastAsia="宋体" w:cs="Times New Roman"/>
          <w:color w:val="auto"/>
          <w:sz w:val="24"/>
          <w:highlight w:val="none"/>
        </w:rPr>
        <w:t>养殖场设施完善，</w:t>
      </w:r>
      <w:r>
        <w:rPr>
          <w:rFonts w:hint="default" w:ascii="Times New Roman" w:hAnsi="Times New Roman" w:eastAsia="宋体" w:cs="Times New Roman"/>
          <w:color w:val="auto"/>
          <w:sz w:val="24"/>
          <w:highlight w:val="none"/>
          <w:lang w:val="en-US" w:eastAsia="zh-CN"/>
        </w:rPr>
        <w:t>牛舍及运动场</w:t>
      </w:r>
      <w:r>
        <w:rPr>
          <w:rFonts w:hint="default" w:ascii="Times New Roman" w:hAnsi="Times New Roman" w:eastAsia="宋体" w:cs="Times New Roman"/>
          <w:color w:val="auto"/>
          <w:sz w:val="24"/>
          <w:highlight w:val="none"/>
        </w:rPr>
        <w:t>结构合理，设计和建设时将充分考虑环保的要求，</w:t>
      </w:r>
      <w:r>
        <w:rPr>
          <w:rFonts w:hint="default" w:ascii="Times New Roman" w:hAnsi="Times New Roman" w:eastAsia="宋体" w:cs="Times New Roman"/>
          <w:color w:val="auto"/>
          <w:sz w:val="24"/>
          <w:highlight w:val="none"/>
          <w:lang w:val="en-US" w:eastAsia="zh-CN"/>
        </w:rPr>
        <w:t>本项目采用集约化饲养，全混合日粮饲喂</w:t>
      </w:r>
      <w:r>
        <w:rPr>
          <w:rFonts w:hint="default" w:ascii="Times New Roman" w:hAnsi="Times New Roman" w:eastAsia="宋体" w:cs="Times New Roman"/>
          <w:color w:val="auto"/>
          <w:sz w:val="24"/>
          <w:highlight w:val="none"/>
        </w:rPr>
        <w:t>。</w:t>
      </w:r>
    </w:p>
    <w:p w14:paraId="2A8F8828">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kern w:val="0"/>
          <w:sz w:val="24"/>
          <w:highlight w:val="none"/>
          <w:lang w:eastAsia="zh-CN"/>
        </w:rPr>
      </w:pPr>
      <w:r>
        <w:rPr>
          <w:rFonts w:hint="default" w:ascii="Times New Roman" w:hAnsi="Times New Roman" w:eastAsia="宋体" w:cs="Times New Roman"/>
          <w:color w:val="auto"/>
          <w:kern w:val="0"/>
          <w:sz w:val="24"/>
          <w:highlight w:val="none"/>
        </w:rPr>
        <w:t>③本项目牛舍区采用干撒式发酵床工艺，干撒式发酵床发酵菌剂可将牛尿、牛粪一部分降解为水蒸气和二氧化碳，另一部分转化为粗蛋白、菌体蛋白和维生素等营养物质。从源头上消除了粪尿对生态环境的污染</w:t>
      </w:r>
      <w:r>
        <w:rPr>
          <w:rFonts w:hint="default" w:ascii="Times New Roman" w:hAnsi="Times New Roman" w:eastAsia="宋体" w:cs="Times New Roman"/>
          <w:color w:val="auto"/>
          <w:kern w:val="0"/>
          <w:sz w:val="24"/>
          <w:highlight w:val="none"/>
          <w:lang w:eastAsia="zh-CN"/>
        </w:rPr>
        <w:t>。</w:t>
      </w:r>
      <w:r>
        <w:rPr>
          <w:rFonts w:hint="default" w:ascii="Times New Roman" w:hAnsi="Times New Roman" w:eastAsia="宋体" w:cs="Times New Roman"/>
          <w:b w:val="0"/>
          <w:bCs w:val="0"/>
          <w:color w:val="auto"/>
          <w:kern w:val="2"/>
          <w:sz w:val="24"/>
          <w:szCs w:val="24"/>
          <w:highlight w:val="none"/>
          <w:lang w:eastAsia="zh-CN"/>
        </w:rPr>
        <w:t>牛舍更换的发酵床垫料</w:t>
      </w:r>
      <w:r>
        <w:rPr>
          <w:rFonts w:hint="default" w:ascii="Times New Roman" w:hAnsi="Times New Roman" w:eastAsia="宋体" w:cs="Times New Roman"/>
          <w:b w:val="0"/>
          <w:bCs w:val="0"/>
          <w:color w:val="auto"/>
          <w:kern w:val="2"/>
          <w:sz w:val="24"/>
          <w:szCs w:val="24"/>
          <w:highlight w:val="none"/>
        </w:rPr>
        <w:t>，定期外售至有机肥厂</w:t>
      </w:r>
      <w:r>
        <w:rPr>
          <w:rFonts w:hint="default" w:ascii="Times New Roman" w:hAnsi="Times New Roman" w:eastAsia="宋体" w:cs="Times New Roman"/>
          <w:b w:val="0"/>
          <w:bCs w:val="0"/>
          <w:color w:val="auto"/>
          <w:kern w:val="2"/>
          <w:sz w:val="24"/>
          <w:szCs w:val="24"/>
          <w:highlight w:val="none"/>
          <w:lang w:eastAsia="zh-CN"/>
        </w:rPr>
        <w:t>。</w:t>
      </w:r>
    </w:p>
    <w:p w14:paraId="7AFC6648">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1"/>
          <w:highlight w:val="none"/>
        </w:rPr>
      </w:pPr>
      <w:r>
        <w:rPr>
          <w:rFonts w:hint="default" w:ascii="Times New Roman" w:hAnsi="Times New Roman" w:eastAsia="宋体" w:cs="Times New Roman"/>
          <w:color w:val="auto"/>
          <w:sz w:val="24"/>
          <w:highlight w:val="none"/>
        </w:rPr>
        <w:t>（2）资源能源利用情况分析</w:t>
      </w:r>
    </w:p>
    <w:p w14:paraId="12E524F8">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val="en-US" w:eastAsia="zh-CN"/>
        </w:rPr>
        <w:t>根据</w:t>
      </w:r>
      <w:r>
        <w:rPr>
          <w:rFonts w:hint="default" w:ascii="Times New Roman" w:hAnsi="Times New Roman" w:eastAsia="宋体" w:cs="Times New Roman"/>
          <w:color w:val="auto"/>
          <w:sz w:val="24"/>
          <w:highlight w:val="none"/>
        </w:rPr>
        <w:t>国家</w:t>
      </w:r>
      <w:r>
        <w:rPr>
          <w:rFonts w:hint="default" w:ascii="Times New Roman" w:hAnsi="Times New Roman" w:eastAsia="宋体" w:cs="Times New Roman"/>
          <w:color w:val="auto"/>
          <w:sz w:val="24"/>
          <w:highlight w:val="none"/>
          <w:lang w:val="en-US" w:eastAsia="zh-CN"/>
        </w:rPr>
        <w:t>相关</w:t>
      </w:r>
      <w:r>
        <w:rPr>
          <w:rFonts w:hint="default" w:ascii="Times New Roman" w:hAnsi="Times New Roman" w:eastAsia="宋体" w:cs="Times New Roman"/>
          <w:color w:val="auto"/>
          <w:sz w:val="24"/>
          <w:highlight w:val="none"/>
        </w:rPr>
        <w:t>节能技术规定，设计中对养殖各工序分别采取了相应的节能措施。场区在设计过程中的主要节能措施如下所示。</w:t>
      </w:r>
    </w:p>
    <w:p w14:paraId="2D8516AB">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①机电设备部分节能措施</w:t>
      </w:r>
    </w:p>
    <w:p w14:paraId="15FA443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a.设备选型力求与生产能力相匹配，以免造成设备的闲置与不必要的浪费。</w:t>
      </w:r>
    </w:p>
    <w:p w14:paraId="518C4F7C">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b.电器设备均选用节能型设备，包括电机、灯具等，力求做到用电及电力系统合理匹配，从而降低能耗。</w:t>
      </w:r>
    </w:p>
    <w:p w14:paraId="6B86ACA6">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c.加强设备综合管理，对水、电等原料的使用，严格计量，提高设备运营效率。</w:t>
      </w:r>
    </w:p>
    <w:p w14:paraId="52D170B5">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②建筑部分节能措施</w:t>
      </w:r>
    </w:p>
    <w:p w14:paraId="12FD6AC5">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主要建筑物</w:t>
      </w:r>
      <w:r>
        <w:rPr>
          <w:rFonts w:hint="default" w:ascii="Times New Roman" w:hAnsi="Times New Roman" w:eastAsia="宋体" w:cs="Times New Roman"/>
          <w:color w:val="auto"/>
          <w:sz w:val="24"/>
          <w:highlight w:val="none"/>
          <w:lang w:val="en-US" w:eastAsia="zh-CN"/>
        </w:rPr>
        <w:t>综合楼</w:t>
      </w:r>
      <w:r>
        <w:rPr>
          <w:rFonts w:hint="default" w:ascii="Times New Roman" w:hAnsi="Times New Roman" w:eastAsia="宋体" w:cs="Times New Roman"/>
          <w:color w:val="auto"/>
          <w:sz w:val="24"/>
          <w:highlight w:val="none"/>
        </w:rPr>
        <w:t>等属民用建筑类，设计严格按照《严寒和寒冷地区居住建筑节能设计标准》（JGJ26-201</w:t>
      </w:r>
      <w:r>
        <w:rPr>
          <w:rFonts w:hint="default" w:ascii="Times New Roman" w:hAnsi="Times New Roman" w:eastAsia="宋体" w:cs="Times New Roman"/>
          <w:color w:val="auto"/>
          <w:sz w:val="24"/>
          <w:highlight w:val="none"/>
          <w:lang w:val="en-US" w:eastAsia="zh-CN"/>
        </w:rPr>
        <w:t>8</w:t>
      </w:r>
      <w:r>
        <w:rPr>
          <w:rFonts w:hint="default" w:ascii="Times New Roman" w:hAnsi="Times New Roman" w:eastAsia="宋体" w:cs="Times New Roman"/>
          <w:color w:val="auto"/>
          <w:sz w:val="24"/>
          <w:highlight w:val="none"/>
        </w:rPr>
        <w:t>）相关标准执行。</w:t>
      </w:r>
    </w:p>
    <w:p w14:paraId="6619860A">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在整个养殖过程中由于自动化较高，因此在能源方面较小型散养耗能较大，但从整体来看，单位产品的能耗却大大降低。</w:t>
      </w:r>
    </w:p>
    <w:p w14:paraId="12F7A568">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（3）产品指标分析</w:t>
      </w:r>
    </w:p>
    <w:p w14:paraId="2411BE38">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本项目建成后</w:t>
      </w:r>
      <w:r>
        <w:rPr>
          <w:rFonts w:hint="default" w:ascii="Times New Roman" w:hAnsi="Times New Roman" w:eastAsia="宋体" w:cs="Times New Roman"/>
          <w:color w:val="auto"/>
          <w:sz w:val="24"/>
          <w:szCs w:val="24"/>
          <w:highlight w:val="none"/>
          <w:lang w:val="en-US" w:eastAsia="zh-CN"/>
        </w:rPr>
        <w:t>年存栏量</w:t>
      </w:r>
      <w:r>
        <w:rPr>
          <w:rFonts w:hint="default" w:ascii="Times New Roman" w:hAnsi="Times New Roman" w:cs="Times New Roman"/>
          <w:color w:val="auto"/>
          <w:sz w:val="24"/>
          <w:szCs w:val="24"/>
          <w:highlight w:val="none"/>
          <w:lang w:val="en-US" w:eastAsia="zh-CN"/>
        </w:rPr>
        <w:t>5000</w:t>
      </w:r>
      <w:r>
        <w:rPr>
          <w:rFonts w:hint="default" w:ascii="Times New Roman" w:hAnsi="Times New Roman" w:eastAsia="宋体" w:cs="Times New Roman"/>
          <w:color w:val="auto"/>
          <w:sz w:val="24"/>
          <w:szCs w:val="24"/>
          <w:highlight w:val="none"/>
          <w:lang w:val="en-US" w:eastAsia="zh-CN"/>
        </w:rPr>
        <w:t>头、年出栏量1000头</w:t>
      </w:r>
      <w:r>
        <w:rPr>
          <w:rFonts w:hint="default" w:ascii="Times New Roman" w:hAnsi="Times New Roman" w:eastAsia="宋体" w:cs="Times New Roman"/>
          <w:color w:val="auto"/>
          <w:sz w:val="24"/>
          <w:highlight w:val="none"/>
        </w:rPr>
        <w:t>。选用优良品种，饲养环境良好，科学饲养，保证卫生，可保证</w:t>
      </w:r>
      <w:r>
        <w:rPr>
          <w:rFonts w:hint="default" w:ascii="Times New Roman" w:hAnsi="Times New Roman" w:eastAsia="宋体" w:cs="Times New Roman"/>
          <w:color w:val="auto"/>
          <w:sz w:val="24"/>
          <w:highlight w:val="none"/>
          <w:lang w:val="en-US" w:eastAsia="zh-CN"/>
        </w:rPr>
        <w:t>肉牛</w:t>
      </w:r>
      <w:r>
        <w:rPr>
          <w:rFonts w:hint="default" w:ascii="Times New Roman" w:hAnsi="Times New Roman" w:eastAsia="宋体" w:cs="Times New Roman"/>
          <w:color w:val="auto"/>
          <w:sz w:val="24"/>
          <w:highlight w:val="none"/>
        </w:rPr>
        <w:t>品质。</w:t>
      </w:r>
    </w:p>
    <w:p w14:paraId="7D92BCE9">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（4）污染物产生情况分析</w:t>
      </w:r>
    </w:p>
    <w:p w14:paraId="3B80C370">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①废水</w:t>
      </w:r>
    </w:p>
    <w:p w14:paraId="3E7727E4">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rPr>
      </w:pPr>
      <w:bookmarkStart w:id="130" w:name="_Hlk479528944"/>
      <w:r>
        <w:rPr>
          <w:rFonts w:hint="default" w:ascii="Times New Roman" w:hAnsi="Times New Roman" w:eastAsia="宋体" w:cs="Times New Roman"/>
          <w:b w:val="0"/>
          <w:bCs w:val="0"/>
          <w:color w:val="auto"/>
          <w:kern w:val="2"/>
          <w:sz w:val="24"/>
          <w:szCs w:val="24"/>
          <w:highlight w:val="none"/>
          <w:lang w:val="en-US" w:eastAsia="zh-CN"/>
        </w:rPr>
        <w:t>本项目</w:t>
      </w:r>
      <w:r>
        <w:rPr>
          <w:rFonts w:hint="default" w:ascii="Times New Roman" w:hAnsi="Times New Roman" w:eastAsia="宋体" w:cs="Times New Roman"/>
          <w:b w:val="0"/>
          <w:bCs w:val="0"/>
          <w:color w:val="auto"/>
          <w:kern w:val="2"/>
          <w:sz w:val="24"/>
          <w:szCs w:val="24"/>
          <w:highlight w:val="none"/>
        </w:rPr>
        <w:t>采用干撒式发酵床工艺</w:t>
      </w:r>
      <w:r>
        <w:rPr>
          <w:rFonts w:hint="default" w:ascii="Times New Roman" w:hAnsi="Times New Roman" w:eastAsia="宋体" w:cs="Times New Roman"/>
          <w:color w:val="auto"/>
          <w:sz w:val="24"/>
          <w:szCs w:val="24"/>
          <w:highlight w:val="none"/>
        </w:rPr>
        <w:t>，项目产生的废水</w:t>
      </w:r>
      <w:r>
        <w:rPr>
          <w:rFonts w:hint="default" w:ascii="Times New Roman" w:hAnsi="Times New Roman" w:eastAsia="宋体" w:cs="Times New Roman"/>
          <w:color w:val="auto"/>
          <w:kern w:val="2"/>
          <w:sz w:val="24"/>
          <w:szCs w:val="24"/>
          <w:highlight w:val="none"/>
          <w:lang w:val="zh-CN" w:eastAsia="zh-CN"/>
        </w:rPr>
        <w:t>主要为养殖场产生的牛尿和</w:t>
      </w:r>
      <w:r>
        <w:rPr>
          <w:rFonts w:hint="default" w:ascii="Times New Roman" w:hAnsi="Times New Roman" w:eastAsia="宋体" w:cs="Times New Roman"/>
          <w:color w:val="auto"/>
          <w:kern w:val="2"/>
          <w:sz w:val="24"/>
          <w:szCs w:val="24"/>
          <w:highlight w:val="none"/>
          <w:lang w:val="en-US" w:eastAsia="zh-CN"/>
        </w:rPr>
        <w:t>生活污水</w:t>
      </w:r>
      <w:r>
        <w:rPr>
          <w:rFonts w:hint="default" w:ascii="Times New Roman" w:hAnsi="Times New Roman" w:eastAsia="宋体" w:cs="Times New Roman"/>
          <w:color w:val="auto"/>
          <w:sz w:val="24"/>
          <w:szCs w:val="24"/>
          <w:highlight w:val="none"/>
        </w:rPr>
        <w:t>。本项目所产生的</w:t>
      </w:r>
      <w:r>
        <w:rPr>
          <w:rFonts w:hint="default" w:ascii="Times New Roman" w:hAnsi="Times New Roman" w:eastAsia="宋体" w:cs="Times New Roman"/>
          <w:color w:val="auto"/>
          <w:sz w:val="24"/>
          <w:szCs w:val="24"/>
          <w:highlight w:val="none"/>
          <w:lang w:val="en-US" w:eastAsia="zh-CN"/>
        </w:rPr>
        <w:t>废水</w:t>
      </w:r>
      <w:r>
        <w:rPr>
          <w:rFonts w:hint="default" w:ascii="Times New Roman" w:hAnsi="Times New Roman" w:eastAsia="宋体" w:cs="Times New Roman"/>
          <w:color w:val="auto"/>
          <w:sz w:val="24"/>
          <w:szCs w:val="24"/>
          <w:highlight w:val="none"/>
        </w:rPr>
        <w:t>总量为</w:t>
      </w:r>
      <w:r>
        <w:rPr>
          <w:rFonts w:hint="default" w:ascii="Times New Roman" w:hAnsi="Times New Roman" w:eastAsia="宋体" w:cs="Times New Roman"/>
          <w:snapToGrid w:val="0"/>
          <w:color w:val="auto"/>
          <w:sz w:val="24"/>
          <w:szCs w:val="24"/>
          <w:highlight w:val="none"/>
          <w:lang w:val="en-US" w:eastAsia="zh-CN"/>
        </w:rPr>
        <w:t>18834</w:t>
      </w:r>
      <w:r>
        <w:rPr>
          <w:rFonts w:hint="default" w:ascii="Times New Roman" w:hAnsi="Times New Roman" w:eastAsia="宋体" w:cs="Times New Roman"/>
          <w:color w:val="auto"/>
          <w:sz w:val="24"/>
          <w:szCs w:val="24"/>
          <w:highlight w:val="none"/>
        </w:rPr>
        <w:t>t/a。废水中的主要污染因子有COD、NH</w:t>
      </w:r>
      <w:r>
        <w:rPr>
          <w:rFonts w:hint="default" w:ascii="Times New Roman" w:hAnsi="Times New Roman" w:eastAsia="宋体" w:cs="Times New Roman"/>
          <w:color w:val="auto"/>
          <w:sz w:val="24"/>
          <w:szCs w:val="24"/>
          <w:highlight w:val="none"/>
          <w:vertAlign w:val="subscript"/>
        </w:rPr>
        <w:t>3</w:t>
      </w:r>
      <w:r>
        <w:rPr>
          <w:rFonts w:hint="default" w:ascii="Times New Roman" w:hAnsi="Times New Roman" w:eastAsia="宋体" w:cs="Times New Roman"/>
          <w:color w:val="auto"/>
          <w:sz w:val="24"/>
          <w:szCs w:val="24"/>
          <w:highlight w:val="none"/>
        </w:rPr>
        <w:t>-N。其中COD的产生量为</w:t>
      </w:r>
      <w:r>
        <w:rPr>
          <w:rFonts w:hint="default" w:ascii="Times New Roman" w:hAnsi="Times New Roman" w:eastAsia="宋体" w:cs="Times New Roman"/>
          <w:color w:val="auto"/>
          <w:sz w:val="24"/>
          <w:szCs w:val="24"/>
          <w:highlight w:val="none"/>
          <w:lang w:val="en-US" w:eastAsia="zh-CN"/>
        </w:rPr>
        <w:t>16.3652</w:t>
      </w:r>
      <w:r>
        <w:rPr>
          <w:rFonts w:hint="default" w:ascii="Times New Roman" w:hAnsi="Times New Roman" w:eastAsia="宋体" w:cs="Times New Roman"/>
          <w:color w:val="auto"/>
          <w:sz w:val="24"/>
          <w:szCs w:val="24"/>
          <w:highlight w:val="none"/>
        </w:rPr>
        <w:t>t/a，NH</w:t>
      </w:r>
      <w:r>
        <w:rPr>
          <w:rFonts w:hint="default" w:ascii="Times New Roman" w:hAnsi="Times New Roman" w:eastAsia="宋体" w:cs="Times New Roman"/>
          <w:color w:val="auto"/>
          <w:sz w:val="24"/>
          <w:szCs w:val="24"/>
          <w:highlight w:val="none"/>
          <w:vertAlign w:val="subscript"/>
        </w:rPr>
        <w:t>3</w:t>
      </w:r>
      <w:r>
        <w:rPr>
          <w:rFonts w:hint="default" w:ascii="Times New Roman" w:hAnsi="Times New Roman" w:eastAsia="宋体" w:cs="Times New Roman"/>
          <w:color w:val="auto"/>
          <w:sz w:val="24"/>
          <w:szCs w:val="24"/>
          <w:highlight w:val="none"/>
        </w:rPr>
        <w:t>-N的产生量为</w:t>
      </w:r>
      <w:r>
        <w:rPr>
          <w:rFonts w:hint="default" w:ascii="Times New Roman" w:hAnsi="Times New Roman" w:eastAsia="宋体" w:cs="Times New Roman"/>
          <w:color w:val="auto"/>
          <w:sz w:val="24"/>
          <w:szCs w:val="24"/>
          <w:highlight w:val="none"/>
          <w:lang w:val="en-US" w:eastAsia="zh-CN"/>
        </w:rPr>
        <w:t>0.4146</w:t>
      </w:r>
      <w:r>
        <w:rPr>
          <w:rFonts w:hint="default" w:ascii="Times New Roman" w:hAnsi="Times New Roman" w:eastAsia="宋体" w:cs="Times New Roman"/>
          <w:color w:val="auto"/>
          <w:sz w:val="24"/>
          <w:szCs w:val="24"/>
          <w:highlight w:val="none"/>
        </w:rPr>
        <w:t>t/a。</w:t>
      </w:r>
      <w:r>
        <w:rPr>
          <w:rFonts w:hint="default" w:ascii="Times New Roman" w:hAnsi="Times New Roman" w:eastAsia="宋体" w:cs="Times New Roman"/>
          <w:b w:val="0"/>
          <w:bCs w:val="0"/>
          <w:color w:val="auto"/>
          <w:kern w:val="2"/>
          <w:sz w:val="24"/>
          <w:szCs w:val="24"/>
          <w:highlight w:val="none"/>
        </w:rPr>
        <w:t>牛舍产生的牛尿一部分供微生物繁殖使用，一部分被升温转换为气体排出发酵床，不外排</w:t>
      </w:r>
      <w:r>
        <w:rPr>
          <w:rFonts w:hint="default" w:ascii="Times New Roman" w:hAnsi="Times New Roman" w:eastAsia="宋体" w:cs="Times New Roman"/>
          <w:color w:val="auto"/>
          <w:sz w:val="24"/>
          <w:szCs w:val="24"/>
          <w:highlight w:val="none"/>
          <w:lang w:val="en-US" w:eastAsia="zh-CN"/>
        </w:rPr>
        <w:t>。项目产生的废水不向地表水体排放，对环境无影响。</w:t>
      </w:r>
    </w:p>
    <w:bookmarkEnd w:id="130"/>
    <w:p w14:paraId="15FA0117">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2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②</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固体废物</w:t>
      </w:r>
    </w:p>
    <w:p w14:paraId="401CC8FD">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t>本项目牛舍更换的发酵床垫料，定期外售至有机肥厂，实现资源化利用；病死牛委托有资质单位处置；防疫、治疗过程产生的废注射器和废药瓶暂存于医疗废物暂存间内，交由有资质单位处置。</w:t>
      </w:r>
      <w:r>
        <w:rPr>
          <w:rFonts w:hint="default" w:ascii="Times New Roman" w:hAnsi="Times New Roman" w:eastAsia="宋体" w:cs="Times New Roman"/>
          <w:color w:val="auto"/>
          <w:sz w:val="24"/>
          <w:szCs w:val="24"/>
          <w:highlight w:val="none"/>
        </w:rPr>
        <w:t>本项目固体废物处置率达到100%</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产生良好的经济效益和社会效益，符合循环经济和清洁生产要求。</w:t>
      </w:r>
    </w:p>
    <w:p w14:paraId="6DA6AD69">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（5）废物处理与综合利用指标分析</w:t>
      </w:r>
    </w:p>
    <w:p w14:paraId="70042777">
      <w:pPr>
        <w:pageBreakBefore w:val="0"/>
        <w:kinsoku/>
        <w:wordWrap/>
        <w:overflowPunct/>
        <w:topLinePunct w:val="0"/>
        <w:autoSpaceDE/>
        <w:autoSpaceDN/>
        <w:bidi w:val="0"/>
        <w:adjustRightInd/>
        <w:snapToGrid/>
        <w:spacing w:line="360" w:lineRule="auto"/>
        <w:ind w:left="0" w:firstLine="480" w:firstLineChars="200"/>
        <w:contextualSpacing/>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本项目牛舍区采用干撒式发酵床工艺，干撒式发酵床发酵菌剂可将牛尿、牛粪一部分降解为水蒸气和二氧化碳，另一部分转化为粗蛋白、菌体蛋白和维生素等营养物质</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从源头上消除了粪尿对生态环境的污染</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牛舍更换的发酵床垫料，定期外售至有机肥厂。</w:t>
      </w:r>
      <w:r>
        <w:rPr>
          <w:rFonts w:hint="default" w:ascii="Times New Roman" w:hAnsi="Times New Roman" w:eastAsia="宋体" w:cs="Times New Roman"/>
          <w:color w:val="auto"/>
          <w:sz w:val="24"/>
          <w:szCs w:val="24"/>
          <w:highlight w:val="none"/>
        </w:rPr>
        <w:t>本项目</w:t>
      </w:r>
      <w:r>
        <w:rPr>
          <w:rFonts w:hint="default" w:ascii="Times New Roman" w:hAnsi="Times New Roman" w:eastAsia="宋体" w:cs="Times New Roman"/>
          <w:color w:val="auto"/>
          <w:sz w:val="24"/>
          <w:szCs w:val="24"/>
          <w:highlight w:val="none"/>
          <w:lang w:val="en-US" w:eastAsia="zh-CN"/>
        </w:rPr>
        <w:t>牛尿</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val="en-US" w:eastAsia="zh-CN"/>
        </w:rPr>
        <w:t>牛</w:t>
      </w:r>
      <w:r>
        <w:rPr>
          <w:rFonts w:hint="default" w:ascii="Times New Roman" w:hAnsi="Times New Roman" w:eastAsia="宋体" w:cs="Times New Roman"/>
          <w:color w:val="auto"/>
          <w:sz w:val="24"/>
          <w:szCs w:val="24"/>
          <w:highlight w:val="none"/>
        </w:rPr>
        <w:t>粪实现100%综合利用。</w:t>
      </w:r>
      <w:r>
        <w:rPr>
          <w:rFonts w:hint="default" w:ascii="Times New Roman" w:hAnsi="Times New Roman" w:eastAsia="宋体" w:cs="Times New Roman"/>
          <w:color w:val="auto"/>
          <w:spacing w:val="-3"/>
          <w:sz w:val="24"/>
          <w:szCs w:val="24"/>
          <w:highlight w:val="none"/>
          <w:lang w:eastAsia="zh-CN"/>
        </w:rPr>
        <w:t>分娩废物</w:t>
      </w:r>
      <w:r>
        <w:rPr>
          <w:rFonts w:hint="default" w:ascii="Times New Roman" w:hAnsi="Times New Roman" w:eastAsia="宋体" w:cs="Times New Roman"/>
          <w:color w:val="auto"/>
          <w:spacing w:val="-3"/>
          <w:sz w:val="24"/>
          <w:szCs w:val="24"/>
          <w:highlight w:val="none"/>
        </w:rPr>
        <w:t>及病死牛委托有资质单位处置</w:t>
      </w:r>
      <w:r>
        <w:rPr>
          <w:rFonts w:hint="default" w:ascii="Times New Roman" w:hAnsi="Times New Roman" w:eastAsia="宋体" w:cs="Times New Roman"/>
          <w:color w:val="auto"/>
          <w:sz w:val="24"/>
          <w:szCs w:val="24"/>
          <w:highlight w:val="none"/>
          <w:lang w:val="en-US" w:eastAsia="zh-CN"/>
        </w:rPr>
        <w:t>。防疫、治疗过程产生的废注射器和废药瓶暂存于医疗废物暂存间内交由有资质单位处置。</w:t>
      </w:r>
    </w:p>
    <w:p w14:paraId="27EE4FD7">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（6）环境管理分析</w:t>
      </w:r>
    </w:p>
    <w:p w14:paraId="2EB69F3B">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lang w:val="en-GB"/>
        </w:rPr>
      </w:pPr>
      <w:r>
        <w:rPr>
          <w:rFonts w:hint="default" w:ascii="Times New Roman" w:hAnsi="Times New Roman" w:eastAsia="宋体" w:cs="Times New Roman"/>
          <w:color w:val="auto"/>
          <w:sz w:val="24"/>
          <w:szCs w:val="24"/>
          <w:highlight w:val="none"/>
        </w:rPr>
        <w:t>本项目各生产环节均符合国家和地方有关法律、法规，污染物排放达到国家、地方和行业现行排放标准、总量控制和</w:t>
      </w:r>
      <w:r>
        <w:rPr>
          <w:rFonts w:hint="default" w:ascii="Times New Roman" w:hAnsi="Times New Roman" w:eastAsia="宋体" w:cs="Times New Roman"/>
          <w:color w:val="auto"/>
          <w:sz w:val="24"/>
          <w:szCs w:val="24"/>
          <w:highlight w:val="none"/>
          <w:lang w:val="en-US" w:eastAsia="zh-CN"/>
        </w:rPr>
        <w:t>排污</w:t>
      </w:r>
      <w:r>
        <w:rPr>
          <w:rFonts w:hint="default" w:ascii="Times New Roman" w:hAnsi="Times New Roman" w:eastAsia="宋体" w:cs="Times New Roman"/>
          <w:color w:val="auto"/>
          <w:sz w:val="24"/>
          <w:szCs w:val="24"/>
          <w:highlight w:val="none"/>
        </w:rPr>
        <w:t>许可证要求；养殖废物进行无害化处理；养殖过程进行严格的管理，各岗位需进行清洁生产相关内容的培训，完善管理制度并严格执行，规定严格的检验、计量措施、统计原始记录；为了环境保护的目的，对本项目施工期和运营期</w:t>
      </w:r>
      <w:r>
        <w:rPr>
          <w:rFonts w:hint="default" w:ascii="Times New Roman" w:hAnsi="Times New Roman" w:eastAsia="宋体" w:cs="Times New Roman"/>
          <w:color w:val="auto"/>
          <w:sz w:val="24"/>
          <w:szCs w:val="24"/>
          <w:highlight w:val="none"/>
          <w:lang w:val="en-US" w:eastAsia="zh-CN"/>
        </w:rPr>
        <w:t>间</w:t>
      </w:r>
      <w:r>
        <w:rPr>
          <w:rFonts w:hint="default" w:ascii="Times New Roman" w:hAnsi="Times New Roman" w:eastAsia="宋体" w:cs="Times New Roman"/>
          <w:color w:val="auto"/>
          <w:sz w:val="24"/>
          <w:szCs w:val="24"/>
          <w:highlight w:val="none"/>
        </w:rPr>
        <w:t>对于原料供应商、生产协作方等相关方的行为提出相应的环保要求，双方明确各自环境管理程序。</w:t>
      </w:r>
    </w:p>
    <w:p w14:paraId="72F4EC91">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lang w:val="en-GB"/>
        </w:rPr>
      </w:pPr>
      <w:r>
        <w:rPr>
          <w:rFonts w:hint="default" w:ascii="Times New Roman" w:hAnsi="Times New Roman" w:eastAsia="宋体" w:cs="Times New Roman"/>
          <w:color w:val="auto"/>
          <w:sz w:val="24"/>
          <w:szCs w:val="24"/>
          <w:highlight w:val="none"/>
          <w:lang w:val="en-GB"/>
        </w:rPr>
        <w:t>（7）清洁生产结论</w:t>
      </w:r>
    </w:p>
    <w:p w14:paraId="7B2805EF">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snapToGrid w:val="0"/>
          <w:color w:val="auto"/>
          <w:sz w:val="24"/>
          <w:szCs w:val="24"/>
          <w:highlight w:val="none"/>
        </w:rPr>
      </w:pPr>
      <w:r>
        <w:rPr>
          <w:rFonts w:hint="default" w:ascii="Times New Roman" w:hAnsi="Times New Roman" w:eastAsia="宋体" w:cs="Times New Roman"/>
          <w:color w:val="auto"/>
          <w:sz w:val="24"/>
          <w:szCs w:val="24"/>
          <w:highlight w:val="none"/>
        </w:rPr>
        <w:t>本工程清洁生产处于国内先进水平，</w:t>
      </w:r>
      <w:r>
        <w:rPr>
          <w:rFonts w:hint="default" w:ascii="Times New Roman" w:hAnsi="Times New Roman" w:eastAsia="宋体" w:cs="Times New Roman"/>
          <w:color w:val="FF0000"/>
          <w:sz w:val="24"/>
          <w:szCs w:val="24"/>
          <w:highlight w:val="none"/>
          <w:lang w:val="en-US" w:eastAsia="zh-CN"/>
        </w:rPr>
        <w:t>本项目采用干撒式发酵床工艺，无需冲洗地面，节省水资源，该工艺</w:t>
      </w:r>
      <w:r>
        <w:rPr>
          <w:rFonts w:hint="default" w:ascii="Times New Roman" w:hAnsi="Times New Roman" w:eastAsia="宋体" w:cs="Times New Roman"/>
          <w:color w:val="FF0000"/>
          <w:spacing w:val="-4"/>
          <w:sz w:val="24"/>
          <w:szCs w:val="24"/>
          <w:highlight w:val="none"/>
          <w:lang w:val="en-US" w:eastAsia="zh-CN"/>
        </w:rPr>
        <w:t>长期稳定在二十几度，基本形成恒温床</w:t>
      </w:r>
      <w:r>
        <w:rPr>
          <w:rFonts w:hint="default" w:ascii="Times New Roman" w:hAnsi="Times New Roman" w:eastAsia="宋体" w:cs="Times New Roman"/>
          <w:color w:val="FF0000"/>
          <w:sz w:val="24"/>
          <w:szCs w:val="24"/>
          <w:highlight w:val="none"/>
          <w:lang w:val="en-US" w:eastAsia="zh-CN"/>
        </w:rPr>
        <w:t>节省煤电，</w:t>
      </w:r>
      <w:r>
        <w:rPr>
          <w:rFonts w:hint="default" w:ascii="Times New Roman" w:hAnsi="Times New Roman" w:eastAsia="宋体" w:cs="Times New Roman"/>
          <w:color w:val="auto"/>
          <w:sz w:val="24"/>
          <w:szCs w:val="24"/>
          <w:highlight w:val="none"/>
        </w:rPr>
        <w:t>考虑到清洁生产是以节能、降耗、减污为主要目标，以技术、管理为手段，通过产品的开发设计、原料的充分使用、良好的企业管理、合理的工艺流程、有效的物料循环以及综合利用等途径，实现养殖生产中包括生产、产品和消费的全过程控制，使污染物的产生量和排放量最小化的一种综合性措施。在养殖过程中应加强环境管理，发挥环保职能，使各项环保措施得到充分的发挥和利用。</w:t>
      </w:r>
      <w:r>
        <w:rPr>
          <w:rFonts w:hint="default" w:ascii="Times New Roman" w:hAnsi="Times New Roman" w:eastAsia="宋体" w:cs="Times New Roman"/>
          <w:snapToGrid w:val="0"/>
          <w:color w:val="auto"/>
          <w:sz w:val="24"/>
          <w:szCs w:val="24"/>
          <w:highlight w:val="none"/>
        </w:rPr>
        <w:t>此外，在项目运营过程中，应</w:t>
      </w:r>
      <w:r>
        <w:rPr>
          <w:rFonts w:hint="default" w:ascii="Times New Roman" w:hAnsi="Times New Roman" w:eastAsia="宋体" w:cs="Times New Roman"/>
          <w:color w:val="auto"/>
          <w:sz w:val="24"/>
          <w:szCs w:val="24"/>
          <w:highlight w:val="none"/>
        </w:rPr>
        <w:t>强化企业管理，</w:t>
      </w:r>
      <w:r>
        <w:rPr>
          <w:rFonts w:hint="default" w:ascii="Times New Roman" w:hAnsi="Times New Roman" w:eastAsia="宋体" w:cs="Times New Roman"/>
          <w:snapToGrid w:val="0"/>
          <w:color w:val="auto"/>
          <w:sz w:val="24"/>
          <w:szCs w:val="24"/>
          <w:highlight w:val="none"/>
        </w:rPr>
        <w:t>提高生产管理水平及环境管理水平，在实践中不断地</w:t>
      </w:r>
      <w:r>
        <w:rPr>
          <w:rFonts w:hint="default" w:ascii="Times New Roman" w:hAnsi="Times New Roman" w:eastAsia="宋体" w:cs="Times New Roman"/>
          <w:color w:val="auto"/>
          <w:sz w:val="24"/>
          <w:szCs w:val="24"/>
          <w:highlight w:val="none"/>
        </w:rPr>
        <w:t>改进工艺技术、最大限度地提高资源、能源的利用水平和改变产品体系，</w:t>
      </w:r>
      <w:r>
        <w:rPr>
          <w:rFonts w:hint="default" w:ascii="Times New Roman" w:hAnsi="Times New Roman" w:eastAsia="宋体" w:cs="Times New Roman"/>
          <w:snapToGrid w:val="0"/>
          <w:color w:val="auto"/>
          <w:sz w:val="24"/>
          <w:szCs w:val="24"/>
          <w:highlight w:val="none"/>
        </w:rPr>
        <w:t>采取养殖工艺过程控制与末端治理相结合的污染防治措施。</w:t>
      </w:r>
    </w:p>
    <w:p w14:paraId="1D3A967F">
      <w:pPr>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在项目实施的各个阶段应加强监督及环保措施、及时监测各污染物排放浓度变化情况，保证污染物达标排放，对环境影响较小，可以实现废物的“无害化、资源化，减量化”的清洁生产原则。</w:t>
      </w:r>
    </w:p>
    <w:p w14:paraId="51A14245">
      <w:pPr>
        <w:rPr>
          <w:rFonts w:hint="default" w:ascii="Times New Roman" w:hAnsi="Times New Roman" w:eastAsia="Times New Roman" w:cs="Times New Roman"/>
          <w:b/>
          <w:bCs/>
          <w:color w:val="auto"/>
          <w:spacing w:val="6"/>
          <w:sz w:val="31"/>
          <w:szCs w:val="31"/>
          <w:highlight w:val="none"/>
        </w:rPr>
      </w:pPr>
      <w:bookmarkStart w:id="131" w:name="_Toc17548"/>
      <w:bookmarkStart w:id="132" w:name="_Toc31993"/>
      <w:r>
        <w:rPr>
          <w:rFonts w:hint="default" w:ascii="Times New Roman" w:hAnsi="Times New Roman" w:eastAsia="Times New Roman" w:cs="Times New Roman"/>
          <w:b/>
          <w:bCs/>
          <w:color w:val="auto"/>
          <w:spacing w:val="6"/>
          <w:sz w:val="31"/>
          <w:szCs w:val="31"/>
          <w:highlight w:val="none"/>
        </w:rPr>
        <w:br w:type="page"/>
      </w:r>
    </w:p>
    <w:p w14:paraId="1268170F">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0"/>
        <w:rPr>
          <w:rFonts w:hint="default" w:ascii="Times New Roman" w:hAnsi="Times New Roman" w:eastAsia="Times New Roman" w:cs="Times New Roman"/>
          <w:b/>
          <w:bCs/>
          <w:color w:val="auto"/>
          <w:sz w:val="32"/>
          <w:szCs w:val="32"/>
          <w:highlight w:val="none"/>
        </w:rPr>
      </w:pPr>
      <w:bookmarkStart w:id="133" w:name="_Toc19011"/>
      <w:r>
        <w:rPr>
          <w:rFonts w:hint="default" w:ascii="Times New Roman" w:hAnsi="Times New Roman" w:eastAsia="Times New Roman" w:cs="Times New Roman"/>
          <w:b/>
          <w:bCs/>
          <w:color w:val="auto"/>
          <w:sz w:val="32"/>
          <w:szCs w:val="32"/>
          <w:highlight w:val="none"/>
        </w:rPr>
        <w:t>4.环境现状调查与评价</w:t>
      </w:r>
      <w:bookmarkEnd w:id="131"/>
      <w:bookmarkEnd w:id="132"/>
      <w:bookmarkEnd w:id="133"/>
    </w:p>
    <w:p w14:paraId="55AA5C5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134" w:name="_Toc18199"/>
      <w:bookmarkStart w:id="135" w:name="_Toc8855"/>
      <w:bookmarkStart w:id="136" w:name="_Toc2186"/>
      <w:r>
        <w:rPr>
          <w:rFonts w:hint="default" w:ascii="Times New Roman" w:hAnsi="Times New Roman" w:eastAsia="Times New Roman" w:cs="Times New Roman"/>
          <w:b/>
          <w:bCs/>
          <w:color w:val="auto"/>
          <w:spacing w:val="-5"/>
          <w:sz w:val="28"/>
          <w:szCs w:val="28"/>
          <w:highlight w:val="none"/>
        </w:rPr>
        <w:t>4.1自然环境现状调查与评价</w:t>
      </w:r>
      <w:bookmarkEnd w:id="134"/>
      <w:bookmarkEnd w:id="135"/>
      <w:bookmarkEnd w:id="136"/>
    </w:p>
    <w:p w14:paraId="4F4451F2">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37" w:name="_Toc276"/>
      <w:r>
        <w:rPr>
          <w:rFonts w:hint="default" w:ascii="Times New Roman" w:hAnsi="Times New Roman" w:eastAsia="宋体" w:cs="Times New Roman"/>
          <w:b/>
          <w:bCs/>
          <w:color w:val="auto"/>
          <w:spacing w:val="-2"/>
          <w:sz w:val="24"/>
          <w:szCs w:val="24"/>
          <w:highlight w:val="none"/>
          <w:lang w:val="en-US" w:eastAsia="zh-CN"/>
        </w:rPr>
        <w:t>4.1.1地理位置</w:t>
      </w:r>
      <w:bookmarkEnd w:id="137"/>
    </w:p>
    <w:p w14:paraId="70F4A97C">
      <w:pPr>
        <w:keepNext w:val="0"/>
        <w:keepLines w:val="0"/>
        <w:pageBreakBefore w:val="0"/>
        <w:widowControl/>
        <w:kinsoku/>
        <w:wordWrap w:val="0"/>
        <w:overflowPunct/>
        <w:topLinePunct/>
        <w:autoSpaceDE/>
        <w:autoSpaceDN/>
        <w:bidi w:val="0"/>
        <w:adjustRightInd w:val="0"/>
        <w:snapToGrid w:val="0"/>
        <w:spacing w:line="360" w:lineRule="auto"/>
        <w:ind w:lef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双鸭山市位于黑龙江省东北部，完达山北麓三江平原，地理位置在东经</w:t>
      </w:r>
      <w:r>
        <w:rPr>
          <w:rFonts w:hint="default" w:ascii="Times New Roman" w:hAnsi="Times New Roman" w:eastAsia="Times New Roman" w:cs="Times New Roman"/>
          <w:color w:val="auto"/>
          <w:spacing w:val="-4"/>
          <w:sz w:val="24"/>
          <w:szCs w:val="24"/>
          <w:highlight w:val="none"/>
        </w:rPr>
        <w:t>130°39′</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z w:val="24"/>
          <w:szCs w:val="24"/>
          <w:highlight w:val="none"/>
        </w:rPr>
        <w:t>134°20′</w:t>
      </w:r>
      <w:r>
        <w:rPr>
          <w:rFonts w:hint="default" w:ascii="Times New Roman" w:hAnsi="Times New Roman" w:eastAsia="宋体" w:cs="Times New Roman"/>
          <w:color w:val="auto"/>
          <w:sz w:val="24"/>
          <w:szCs w:val="24"/>
          <w:highlight w:val="none"/>
        </w:rPr>
        <w:t>，北纬</w:t>
      </w:r>
      <w:r>
        <w:rPr>
          <w:rFonts w:hint="default" w:ascii="Times New Roman" w:hAnsi="Times New Roman" w:eastAsia="Times New Roman" w:cs="Times New Roman"/>
          <w:color w:val="auto"/>
          <w:sz w:val="24"/>
          <w:szCs w:val="24"/>
          <w:highlight w:val="none"/>
        </w:rPr>
        <w:t>45°39′</w:t>
      </w: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47°34′</w:t>
      </w:r>
      <w:r>
        <w:rPr>
          <w:rFonts w:hint="default" w:ascii="Times New Roman" w:hAnsi="Times New Roman" w:eastAsia="宋体" w:cs="Times New Roman"/>
          <w:color w:val="auto"/>
          <w:sz w:val="24"/>
          <w:szCs w:val="24"/>
          <w:highlight w:val="none"/>
        </w:rPr>
        <w:t>之间。双鸭山市距省会哈尔滨市</w:t>
      </w:r>
      <w:r>
        <w:rPr>
          <w:rFonts w:hint="default" w:ascii="Times New Roman" w:hAnsi="Times New Roman" w:eastAsia="Times New Roman" w:cs="Times New Roman"/>
          <w:color w:val="auto"/>
          <w:sz w:val="24"/>
          <w:szCs w:val="24"/>
          <w:highlight w:val="none"/>
        </w:rPr>
        <w:t>430km</w:t>
      </w:r>
      <w:r>
        <w:rPr>
          <w:rFonts w:hint="default" w:ascii="Times New Roman" w:hAnsi="Times New Roman" w:eastAsia="宋体" w:cs="Times New Roman"/>
          <w:color w:val="auto"/>
          <w:sz w:val="24"/>
          <w:szCs w:val="24"/>
          <w:highlight w:val="none"/>
        </w:rPr>
        <w:t>，东隔乌苏里江</w:t>
      </w:r>
      <w:r>
        <w:rPr>
          <w:rFonts w:hint="default" w:ascii="Times New Roman" w:hAnsi="Times New Roman" w:eastAsia="宋体" w:cs="Times New Roman"/>
          <w:color w:val="auto"/>
          <w:spacing w:val="-6"/>
          <w:sz w:val="24"/>
          <w:szCs w:val="24"/>
          <w:highlight w:val="none"/>
        </w:rPr>
        <w:t>与俄罗斯比金市相望，南与虎林市、密山市、</w:t>
      </w:r>
      <w:r>
        <w:rPr>
          <w:rFonts w:hint="default" w:ascii="Times New Roman" w:hAnsi="Times New Roman" w:eastAsia="宋体" w:cs="Times New Roman"/>
          <w:color w:val="auto"/>
          <w:spacing w:val="-7"/>
          <w:sz w:val="24"/>
          <w:szCs w:val="24"/>
          <w:highlight w:val="none"/>
        </w:rPr>
        <w:t>桦南县毗邻，西与佳木斯市相连，北与</w:t>
      </w:r>
      <w:r>
        <w:rPr>
          <w:rFonts w:hint="default" w:ascii="Times New Roman" w:hAnsi="Times New Roman" w:eastAsia="宋体" w:cs="Times New Roman"/>
          <w:color w:val="auto"/>
          <w:spacing w:val="-3"/>
          <w:sz w:val="24"/>
          <w:szCs w:val="24"/>
          <w:highlight w:val="none"/>
        </w:rPr>
        <w:t>富锦市、同江市、</w:t>
      </w:r>
      <w:r>
        <w:rPr>
          <w:rFonts w:hint="default" w:ascii="Times New Roman" w:hAnsi="Times New Roman" w:eastAsia="宋体" w:cs="Times New Roman"/>
          <w:color w:val="auto"/>
          <w:spacing w:val="-3"/>
          <w:sz w:val="24"/>
          <w:szCs w:val="24"/>
          <w:highlight w:val="none"/>
          <w:lang w:eastAsia="zh-CN"/>
        </w:rPr>
        <w:t>抚远县</w:t>
      </w:r>
      <w:r>
        <w:rPr>
          <w:rFonts w:hint="default" w:ascii="Times New Roman" w:hAnsi="Times New Roman" w:eastAsia="宋体" w:cs="Times New Roman"/>
          <w:color w:val="auto"/>
          <w:spacing w:val="-3"/>
          <w:sz w:val="24"/>
          <w:szCs w:val="24"/>
          <w:highlight w:val="none"/>
        </w:rPr>
        <w:t>、桦川县接壤。</w:t>
      </w:r>
    </w:p>
    <w:p w14:paraId="7FF7BD91">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38" w:name="_Toc8609"/>
      <w:r>
        <w:rPr>
          <w:rFonts w:hint="default" w:ascii="Times New Roman" w:hAnsi="Times New Roman" w:eastAsia="宋体" w:cs="Times New Roman"/>
          <w:b/>
          <w:bCs/>
          <w:color w:val="auto"/>
          <w:spacing w:val="-2"/>
          <w:sz w:val="24"/>
          <w:szCs w:val="24"/>
          <w:highlight w:val="none"/>
          <w:lang w:val="en-US" w:eastAsia="zh-CN"/>
        </w:rPr>
        <w:t>4.1.2地质构造</w:t>
      </w:r>
      <w:bookmarkEnd w:id="138"/>
    </w:p>
    <w:p w14:paraId="5C1B3C4C">
      <w:pPr>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一、区域地质</w:t>
      </w:r>
    </w:p>
    <w:p w14:paraId="0EF21E7C">
      <w:pPr>
        <w:keepNext w:val="0"/>
        <w:keepLines w:val="0"/>
        <w:pageBreakBefore w:val="0"/>
        <w:widowControl/>
        <w:kinsoku/>
        <w:wordWrap w:val="0"/>
        <w:overflowPunct/>
        <w:topLinePunct/>
        <w:autoSpaceDE/>
        <w:autoSpaceDN/>
        <w:bidi w:val="0"/>
        <w:adjustRightInd w:val="0"/>
        <w:snapToGrid w:val="0"/>
        <w:spacing w:line="360" w:lineRule="auto"/>
        <w:ind w:left="0" w:right="0" w:firstLine="44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0"/>
          <w:sz w:val="24"/>
          <w:szCs w:val="24"/>
          <w:highlight w:val="none"/>
        </w:rPr>
        <w:t>区域地层：区域内主要出露地层有元古界兴东群（</w:t>
      </w:r>
      <w:r>
        <w:rPr>
          <w:rFonts w:hint="default" w:ascii="Times New Roman" w:hAnsi="Times New Roman" w:eastAsia="Times New Roman" w:cs="Times New Roman"/>
          <w:color w:val="auto"/>
          <w:spacing w:val="-10"/>
          <w:sz w:val="24"/>
          <w:szCs w:val="24"/>
          <w:highlight w:val="none"/>
        </w:rPr>
        <w:t>Pt1xd</w:t>
      </w:r>
      <w:r>
        <w:rPr>
          <w:rFonts w:hint="default" w:ascii="Times New Roman" w:hAnsi="Times New Roman" w:eastAsia="宋体" w:cs="Times New Roman"/>
          <w:color w:val="auto"/>
          <w:spacing w:val="-10"/>
          <w:sz w:val="24"/>
          <w:szCs w:val="24"/>
          <w:highlight w:val="none"/>
        </w:rPr>
        <w:t>）大盘道组（</w:t>
      </w:r>
      <w:r>
        <w:rPr>
          <w:rFonts w:hint="default" w:ascii="Times New Roman" w:hAnsi="Times New Roman" w:eastAsia="Times New Roman" w:cs="Times New Roman"/>
          <w:color w:val="auto"/>
          <w:spacing w:val="-10"/>
          <w:sz w:val="24"/>
          <w:szCs w:val="24"/>
          <w:highlight w:val="none"/>
        </w:rPr>
        <w:t>Pt1dp1-2</w:t>
      </w:r>
      <w:r>
        <w:rPr>
          <w:rFonts w:hint="default" w:ascii="Times New Roman" w:hAnsi="Times New Roman" w:eastAsia="宋体" w:cs="Times New Roman"/>
          <w:color w:val="auto"/>
          <w:spacing w:val="-10"/>
          <w:sz w:val="24"/>
          <w:szCs w:val="24"/>
          <w:highlight w:val="none"/>
        </w:rPr>
        <w:t>）、</w:t>
      </w:r>
      <w:r>
        <w:rPr>
          <w:rFonts w:hint="default" w:ascii="Times New Roman" w:hAnsi="Times New Roman" w:eastAsia="宋体" w:cs="Times New Roman"/>
          <w:color w:val="auto"/>
          <w:spacing w:val="-7"/>
          <w:sz w:val="24"/>
          <w:szCs w:val="24"/>
          <w:highlight w:val="none"/>
        </w:rPr>
        <w:t>下白垩统城子河组（</w:t>
      </w:r>
      <w:r>
        <w:rPr>
          <w:rFonts w:hint="default" w:ascii="Times New Roman" w:hAnsi="Times New Roman" w:eastAsia="Times New Roman" w:cs="Times New Roman"/>
          <w:color w:val="auto"/>
          <w:spacing w:val="-7"/>
          <w:sz w:val="24"/>
          <w:szCs w:val="24"/>
          <w:highlight w:val="none"/>
        </w:rPr>
        <w:t>K1c</w:t>
      </w:r>
      <w:r>
        <w:rPr>
          <w:rFonts w:hint="default" w:ascii="Times New Roman" w:hAnsi="Times New Roman" w:eastAsia="宋体" w:cs="Times New Roman"/>
          <w:color w:val="auto"/>
          <w:spacing w:val="-7"/>
          <w:sz w:val="24"/>
          <w:szCs w:val="24"/>
          <w:highlight w:val="none"/>
        </w:rPr>
        <w:t>）、和第三系中新统宁安玄</w:t>
      </w:r>
      <w:r>
        <w:rPr>
          <w:rFonts w:hint="default" w:ascii="Times New Roman" w:hAnsi="Times New Roman" w:eastAsia="宋体" w:cs="Times New Roman"/>
          <w:color w:val="auto"/>
          <w:spacing w:val="-8"/>
          <w:sz w:val="24"/>
          <w:szCs w:val="24"/>
          <w:highlight w:val="none"/>
        </w:rPr>
        <w:t>武岩(β</w:t>
      </w:r>
      <w:r>
        <w:rPr>
          <w:rFonts w:hint="default" w:ascii="Times New Roman" w:hAnsi="Times New Roman" w:eastAsia="Times New Roman" w:cs="Times New Roman"/>
          <w:color w:val="auto"/>
          <w:spacing w:val="-8"/>
          <w:sz w:val="24"/>
          <w:szCs w:val="24"/>
          <w:highlight w:val="none"/>
        </w:rPr>
        <w:t>N1n</w:t>
      </w:r>
      <w:r>
        <w:rPr>
          <w:rFonts w:hint="default" w:ascii="Times New Roman" w:hAnsi="Times New Roman" w:eastAsia="宋体" w:cs="Times New Roman"/>
          <w:color w:val="auto"/>
          <w:spacing w:val="-8"/>
          <w:sz w:val="24"/>
          <w:szCs w:val="24"/>
          <w:highlight w:val="none"/>
        </w:rPr>
        <w:t>）及第四系（</w:t>
      </w:r>
      <w:r>
        <w:rPr>
          <w:rFonts w:hint="default" w:ascii="Times New Roman" w:hAnsi="Times New Roman" w:eastAsia="Times New Roman" w:cs="Times New Roman"/>
          <w:color w:val="auto"/>
          <w:spacing w:val="-8"/>
          <w:sz w:val="24"/>
          <w:szCs w:val="24"/>
          <w:highlight w:val="none"/>
        </w:rPr>
        <w:t>Q42</w:t>
      </w:r>
      <w:r>
        <w:rPr>
          <w:rFonts w:hint="default" w:ascii="Times New Roman" w:hAnsi="Times New Roman" w:eastAsia="宋体" w:cs="Times New Roman"/>
          <w:color w:val="auto"/>
          <w:spacing w:val="-8"/>
          <w:sz w:val="24"/>
          <w:szCs w:val="24"/>
          <w:highlight w:val="none"/>
        </w:rPr>
        <w:t>）。</w:t>
      </w:r>
    </w:p>
    <w:p w14:paraId="0A913640">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区域构造：本区在双鸭山盆地西部边缘地带，矿区范围内褶皱不发育，</w:t>
      </w:r>
      <w:r>
        <w:rPr>
          <w:rFonts w:hint="default" w:ascii="Times New Roman" w:hAnsi="Times New Roman" w:eastAsia="宋体" w:cs="Times New Roman"/>
          <w:color w:val="auto"/>
          <w:spacing w:val="-5"/>
          <w:sz w:val="24"/>
          <w:szCs w:val="24"/>
          <w:highlight w:val="none"/>
        </w:rPr>
        <w:t>区域内发</w:t>
      </w:r>
      <w:r>
        <w:rPr>
          <w:rFonts w:hint="default" w:ascii="Times New Roman" w:hAnsi="Times New Roman" w:eastAsia="宋体" w:cs="Times New Roman"/>
          <w:color w:val="auto"/>
          <w:spacing w:val="-1"/>
          <w:sz w:val="24"/>
          <w:szCs w:val="24"/>
          <w:highlight w:val="none"/>
        </w:rPr>
        <w:t>育较好的有北西向双鸭山铁矿断裂、羊鼻山断裂和北北东向大西山断裂（</w:t>
      </w:r>
      <w:r>
        <w:rPr>
          <w:rFonts w:hint="default" w:ascii="Times New Roman" w:hAnsi="Times New Roman" w:eastAsia="Times New Roman" w:cs="Times New Roman"/>
          <w:color w:val="auto"/>
          <w:spacing w:val="-1"/>
          <w:sz w:val="24"/>
          <w:szCs w:val="24"/>
          <w:highlight w:val="none"/>
        </w:rPr>
        <w:t>F</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宋体" w:cs="Times New Roman"/>
          <w:color w:val="auto"/>
          <w:spacing w:val="-1"/>
          <w:sz w:val="24"/>
          <w:szCs w:val="24"/>
          <w:highlight w:val="none"/>
        </w:rPr>
        <w:t>倾向</w:t>
      </w:r>
      <w:r>
        <w:rPr>
          <w:rFonts w:hint="default" w:ascii="Times New Roman" w:hAnsi="Times New Roman" w:eastAsia="宋体" w:cs="Times New Roman"/>
          <w:color w:val="auto"/>
          <w:spacing w:val="-7"/>
          <w:sz w:val="24"/>
          <w:szCs w:val="24"/>
          <w:highlight w:val="none"/>
        </w:rPr>
        <w:t>西或北西西。双鸭山铁矿则产于上述两组断裂的交汇处，次级的北北东、北东、东西</w:t>
      </w:r>
      <w:r>
        <w:rPr>
          <w:rFonts w:hint="default" w:ascii="Times New Roman" w:hAnsi="Times New Roman" w:eastAsia="宋体" w:cs="Times New Roman"/>
          <w:color w:val="auto"/>
          <w:spacing w:val="-3"/>
          <w:sz w:val="24"/>
          <w:szCs w:val="24"/>
          <w:highlight w:val="none"/>
        </w:rPr>
        <w:t>向小断层对地层和矿体起到破坏作用。</w:t>
      </w:r>
    </w:p>
    <w:p w14:paraId="160D8A46">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区域岩浆岩：岩浆岩为大面积分布，呈基岩产出，主要见晚元古界兴东</w:t>
      </w:r>
      <w:r>
        <w:rPr>
          <w:rFonts w:hint="default" w:ascii="Times New Roman" w:hAnsi="Times New Roman" w:eastAsia="宋体" w:cs="Times New Roman"/>
          <w:color w:val="auto"/>
          <w:spacing w:val="-5"/>
          <w:sz w:val="24"/>
          <w:szCs w:val="24"/>
          <w:highlight w:val="none"/>
        </w:rPr>
        <w:t>期：元古</w:t>
      </w:r>
      <w:r>
        <w:rPr>
          <w:rFonts w:hint="default" w:ascii="Times New Roman" w:hAnsi="Times New Roman" w:eastAsia="宋体" w:cs="Times New Roman"/>
          <w:color w:val="auto"/>
          <w:spacing w:val="4"/>
          <w:sz w:val="24"/>
          <w:szCs w:val="24"/>
          <w:highlight w:val="none"/>
        </w:rPr>
        <w:t>界第二期花岗闪长岩岩组（</w:t>
      </w:r>
      <w:r>
        <w:rPr>
          <w:rFonts w:hint="default" w:ascii="Times New Roman" w:hAnsi="Times New Roman" w:eastAsia="Times New Roman" w:cs="Times New Roman"/>
          <w:color w:val="auto"/>
          <w:sz w:val="24"/>
          <w:szCs w:val="24"/>
          <w:highlight w:val="none"/>
        </w:rPr>
        <w:t>Pt</w:t>
      </w:r>
      <w:r>
        <w:rPr>
          <w:rFonts w:hint="default" w:ascii="Times New Roman" w:hAnsi="Times New Roman" w:eastAsia="Times New Roman" w:cs="Times New Roman"/>
          <w:color w:val="auto"/>
          <w:spacing w:val="4"/>
          <w:sz w:val="24"/>
          <w:szCs w:val="24"/>
          <w:highlight w:val="none"/>
        </w:rPr>
        <w:t>2</w:t>
      </w:r>
      <w:r>
        <w:rPr>
          <w:rFonts w:hint="default" w:ascii="Times New Roman" w:hAnsi="Times New Roman" w:eastAsia="宋体" w:cs="Times New Roman"/>
          <w:color w:val="auto"/>
          <w:spacing w:val="4"/>
          <w:sz w:val="24"/>
          <w:szCs w:val="24"/>
          <w:highlight w:val="none"/>
        </w:rPr>
        <w:t>γδ)组：石英闪长岩、花岗闪长岩、斑状花岗闪长</w:t>
      </w:r>
      <w:r>
        <w:rPr>
          <w:rFonts w:hint="default" w:ascii="Times New Roman" w:hAnsi="Times New Roman" w:eastAsia="宋体" w:cs="Times New Roman"/>
          <w:color w:val="auto"/>
          <w:spacing w:val="2"/>
          <w:sz w:val="24"/>
          <w:szCs w:val="24"/>
          <w:highlight w:val="none"/>
        </w:rPr>
        <w:t>岩，零星出露于区域西北部；第三期混合花岗岩（</w:t>
      </w:r>
      <w:r>
        <w:rPr>
          <w:rFonts w:hint="default" w:ascii="Times New Roman" w:hAnsi="Times New Roman" w:eastAsia="Times New Roman" w:cs="Times New Roman"/>
          <w:color w:val="auto"/>
          <w:sz w:val="24"/>
          <w:szCs w:val="24"/>
          <w:highlight w:val="none"/>
        </w:rPr>
        <w:t>Pt</w:t>
      </w:r>
      <w:r>
        <w:rPr>
          <w:rFonts w:hint="default" w:ascii="Times New Roman" w:hAnsi="Times New Roman" w:eastAsia="Times New Roman" w:cs="Times New Roman"/>
          <w:color w:val="auto"/>
          <w:spacing w:val="2"/>
          <w:sz w:val="24"/>
          <w:szCs w:val="24"/>
          <w:highlight w:val="none"/>
        </w:rPr>
        <w:t>2M</w:t>
      </w:r>
      <w:r>
        <w:rPr>
          <w:rFonts w:hint="default" w:ascii="Times New Roman" w:hAnsi="Times New Roman" w:eastAsia="宋体" w:cs="Times New Roman"/>
          <w:color w:val="auto"/>
          <w:spacing w:val="2"/>
          <w:sz w:val="24"/>
          <w:szCs w:val="24"/>
          <w:highlight w:val="none"/>
        </w:rPr>
        <w:t>γ</w:t>
      </w:r>
      <w:r>
        <w:rPr>
          <w:rFonts w:hint="default" w:ascii="Times New Roman" w:hAnsi="Times New Roman" w:eastAsia="宋体" w:cs="Times New Roman"/>
          <w:color w:val="auto"/>
          <w:spacing w:val="1"/>
          <w:sz w:val="24"/>
          <w:szCs w:val="24"/>
          <w:highlight w:val="none"/>
        </w:rPr>
        <w:t>)组，花岗岩、片麻状花</w:t>
      </w:r>
      <w:r>
        <w:rPr>
          <w:rFonts w:hint="default" w:ascii="Times New Roman" w:hAnsi="Times New Roman" w:eastAsia="宋体" w:cs="Times New Roman"/>
          <w:color w:val="auto"/>
          <w:spacing w:val="-6"/>
          <w:sz w:val="24"/>
          <w:szCs w:val="24"/>
          <w:highlight w:val="none"/>
        </w:rPr>
        <w:t>岗岩、黑云母花岗岩、二长花岗岩，出露于</w:t>
      </w:r>
      <w:r>
        <w:rPr>
          <w:rFonts w:hint="default" w:ascii="Times New Roman" w:hAnsi="Times New Roman" w:eastAsia="宋体" w:cs="Times New Roman"/>
          <w:color w:val="auto"/>
          <w:spacing w:val="-7"/>
          <w:sz w:val="24"/>
          <w:szCs w:val="24"/>
          <w:highlight w:val="none"/>
        </w:rPr>
        <w:t>区域的西部及西南部；第四期花岗闪长岩</w:t>
      </w:r>
      <w:r>
        <w:rPr>
          <w:rFonts w:hint="default" w:ascii="Times New Roman" w:hAnsi="Times New Roman" w:eastAsia="宋体" w:cs="Times New Roman"/>
          <w:color w:val="auto"/>
          <w:spacing w:val="3"/>
          <w:sz w:val="24"/>
          <w:szCs w:val="24"/>
          <w:highlight w:val="none"/>
        </w:rPr>
        <w:t>组（</w:t>
      </w:r>
      <w:r>
        <w:rPr>
          <w:rFonts w:hint="default" w:ascii="Times New Roman" w:hAnsi="Times New Roman" w:eastAsia="Times New Roman" w:cs="Times New Roman"/>
          <w:color w:val="auto"/>
          <w:sz w:val="24"/>
          <w:szCs w:val="24"/>
          <w:highlight w:val="none"/>
        </w:rPr>
        <w:t>Pt</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γβ)组，石英闪长岩、花岗闪长岩、</w:t>
      </w:r>
      <w:r>
        <w:rPr>
          <w:rFonts w:hint="default" w:ascii="Times New Roman" w:hAnsi="Times New Roman" w:eastAsia="宋体" w:cs="Times New Roman"/>
          <w:color w:val="auto"/>
          <w:spacing w:val="2"/>
          <w:sz w:val="24"/>
          <w:szCs w:val="24"/>
          <w:highlight w:val="none"/>
        </w:rPr>
        <w:t>斑状花岗闪长岩。</w:t>
      </w:r>
    </w:p>
    <w:p w14:paraId="7D03AB41">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变质岩：项目区内变质岩石分布广泛，多为中高级变质岩类；其变质作用类型可</w:t>
      </w:r>
      <w:r>
        <w:rPr>
          <w:rFonts w:hint="default" w:ascii="Times New Roman" w:hAnsi="Times New Roman" w:eastAsia="宋体" w:cs="Times New Roman"/>
          <w:color w:val="auto"/>
          <w:spacing w:val="-6"/>
          <w:sz w:val="24"/>
          <w:szCs w:val="24"/>
          <w:highlight w:val="none"/>
        </w:rPr>
        <w:t>分为区域变质、动力变质作用两类。其中区域变质作用占主导地位，动力变质作用则</w:t>
      </w:r>
      <w:r>
        <w:rPr>
          <w:rFonts w:hint="default" w:ascii="Times New Roman" w:hAnsi="Times New Roman" w:eastAsia="宋体" w:cs="Times New Roman"/>
          <w:color w:val="auto"/>
          <w:spacing w:val="-8"/>
          <w:sz w:val="24"/>
          <w:szCs w:val="24"/>
          <w:highlight w:val="none"/>
        </w:rPr>
        <w:t>比较局限。</w:t>
      </w:r>
    </w:p>
    <w:p w14:paraId="2887F39C">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二、区域地质</w:t>
      </w:r>
    </w:p>
    <w:p w14:paraId="7FDEE91B">
      <w:pPr>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1</w:t>
      </w:r>
      <w:r>
        <w:rPr>
          <w:rFonts w:hint="default" w:ascii="Times New Roman" w:hAnsi="Times New Roman" w:eastAsia="宋体" w:cs="Times New Roman"/>
          <w:color w:val="auto"/>
          <w:spacing w:val="-6"/>
          <w:sz w:val="24"/>
          <w:szCs w:val="24"/>
          <w:highlight w:val="none"/>
        </w:rPr>
        <w:t>）地层</w:t>
      </w:r>
    </w:p>
    <w:p w14:paraId="3977B266">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本项目区域各地层岩性详述如下：</w:t>
      </w:r>
    </w:p>
    <w:p w14:paraId="2EF0A688">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）元古界大盘道组（</w:t>
      </w:r>
      <w:r>
        <w:rPr>
          <w:rFonts w:hint="default" w:ascii="Times New Roman" w:hAnsi="Times New Roman" w:eastAsia="Times New Roman" w:cs="Times New Roman"/>
          <w:color w:val="auto"/>
          <w:spacing w:val="-2"/>
          <w:sz w:val="24"/>
          <w:szCs w:val="24"/>
          <w:highlight w:val="none"/>
        </w:rPr>
        <w:t>Pt1dp</w:t>
      </w:r>
      <w:r>
        <w:rPr>
          <w:rFonts w:hint="default" w:ascii="Times New Roman" w:hAnsi="Times New Roman" w:eastAsia="宋体" w:cs="Times New Roman"/>
          <w:color w:val="auto"/>
          <w:spacing w:val="-2"/>
          <w:sz w:val="24"/>
          <w:szCs w:val="24"/>
          <w:highlight w:val="none"/>
        </w:rPr>
        <w:t>）</w:t>
      </w:r>
    </w:p>
    <w:p w14:paraId="52846D91">
      <w:pPr>
        <w:pStyle w:val="11"/>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该组可分为两个岩性段，由下至上分布为：下段（</w:t>
      </w:r>
      <w:r>
        <w:rPr>
          <w:rFonts w:hint="default" w:ascii="Times New Roman" w:hAnsi="Times New Roman" w:eastAsia="Times New Roman" w:cs="Times New Roman"/>
          <w:color w:val="auto"/>
          <w:spacing w:val="-2"/>
          <w:sz w:val="24"/>
          <w:szCs w:val="24"/>
          <w:highlight w:val="none"/>
        </w:rPr>
        <w:t>Pt</w:t>
      </w:r>
      <w:r>
        <w:rPr>
          <w:rFonts w:hint="default" w:ascii="Times New Roman" w:hAnsi="Times New Roman" w:eastAsia="Times New Roman" w:cs="Times New Roman"/>
          <w:color w:val="auto"/>
          <w:spacing w:val="-3"/>
          <w:sz w:val="24"/>
          <w:szCs w:val="24"/>
          <w:highlight w:val="none"/>
        </w:rPr>
        <w:t>1dp1</w:t>
      </w:r>
      <w:r>
        <w:rPr>
          <w:rFonts w:hint="default" w:ascii="Times New Roman" w:hAnsi="Times New Roman" w:eastAsia="宋体" w:cs="Times New Roman"/>
          <w:color w:val="auto"/>
          <w:spacing w:val="-3"/>
          <w:sz w:val="24"/>
          <w:szCs w:val="24"/>
          <w:highlight w:val="none"/>
        </w:rPr>
        <w:t>）由绢云石英片岩、二</w:t>
      </w:r>
      <w:r>
        <w:rPr>
          <w:rFonts w:hint="default" w:ascii="Times New Roman" w:hAnsi="Times New Roman" w:eastAsia="宋体" w:cs="Times New Roman"/>
          <w:color w:val="auto"/>
          <w:spacing w:val="-6"/>
          <w:sz w:val="24"/>
          <w:szCs w:val="24"/>
          <w:highlight w:val="none"/>
        </w:rPr>
        <w:t>云斜长片岩、大理岩组成分布在项目区的西北部地层产状走向北北东、向倾东，倾角</w:t>
      </w:r>
      <w:r>
        <w:rPr>
          <w:rFonts w:hint="default" w:ascii="Times New Roman" w:hAnsi="Times New Roman" w:eastAsia="Times New Roman" w:cs="Times New Roman"/>
          <w:color w:val="auto"/>
          <w:spacing w:val="-1"/>
          <w:sz w:val="24"/>
          <w:szCs w:val="24"/>
          <w:highlight w:val="none"/>
        </w:rPr>
        <w:t>50</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80</w:t>
      </w:r>
      <w:r>
        <w:rPr>
          <w:rFonts w:hint="default" w:ascii="Times New Roman" w:hAnsi="Times New Roman" w:eastAsia="宋体" w:cs="Times New Roman"/>
          <w:color w:val="auto"/>
          <w:spacing w:val="-1"/>
          <w:sz w:val="24"/>
          <w:szCs w:val="24"/>
          <w:highlight w:val="none"/>
        </w:rPr>
        <w:t>°,上覆第三系中新统宁安玄</w:t>
      </w:r>
      <w:r>
        <w:rPr>
          <w:rFonts w:hint="default" w:ascii="Times New Roman" w:hAnsi="Times New Roman" w:eastAsia="宋体" w:cs="Times New Roman"/>
          <w:color w:val="auto"/>
          <w:spacing w:val="-2"/>
          <w:sz w:val="24"/>
          <w:szCs w:val="24"/>
          <w:highlight w:val="none"/>
        </w:rPr>
        <w:t>武岩(β</w:t>
      </w:r>
      <w:r>
        <w:rPr>
          <w:rFonts w:hint="default" w:ascii="Times New Roman" w:hAnsi="Times New Roman" w:eastAsia="Times New Roman" w:cs="Times New Roman"/>
          <w:color w:val="auto"/>
          <w:spacing w:val="-2"/>
          <w:sz w:val="24"/>
          <w:szCs w:val="24"/>
          <w:highlight w:val="none"/>
        </w:rPr>
        <w:t>N1n</w:t>
      </w:r>
      <w:r>
        <w:rPr>
          <w:rFonts w:hint="default" w:ascii="Times New Roman" w:hAnsi="Times New Roman" w:eastAsia="宋体" w:cs="Times New Roman"/>
          <w:color w:val="auto"/>
          <w:spacing w:val="-30"/>
          <w:sz w:val="24"/>
          <w:szCs w:val="24"/>
          <w:highlight w:val="none"/>
        </w:rPr>
        <w:t>）；</w:t>
      </w:r>
      <w:r>
        <w:rPr>
          <w:rFonts w:hint="default" w:ascii="Times New Roman" w:hAnsi="Times New Roman" w:eastAsia="宋体" w:cs="Times New Roman"/>
          <w:color w:val="auto"/>
          <w:spacing w:val="-2"/>
          <w:sz w:val="24"/>
          <w:szCs w:val="24"/>
          <w:highlight w:val="none"/>
        </w:rPr>
        <w:t>上段（</w:t>
      </w:r>
      <w:r>
        <w:rPr>
          <w:rFonts w:hint="default" w:ascii="Times New Roman" w:hAnsi="Times New Roman" w:eastAsia="Times New Roman" w:cs="Times New Roman"/>
          <w:color w:val="auto"/>
          <w:spacing w:val="-2"/>
          <w:sz w:val="24"/>
          <w:szCs w:val="24"/>
          <w:highlight w:val="none"/>
        </w:rPr>
        <w:t>Pt1dp2</w:t>
      </w:r>
      <w:r>
        <w:rPr>
          <w:rFonts w:hint="default" w:ascii="Times New Roman" w:hAnsi="Times New Roman" w:eastAsia="宋体" w:cs="Times New Roman"/>
          <w:color w:val="auto"/>
          <w:spacing w:val="-30"/>
          <w:sz w:val="24"/>
          <w:szCs w:val="24"/>
          <w:highlight w:val="none"/>
        </w:rPr>
        <w:t>），</w:t>
      </w:r>
      <w:r>
        <w:rPr>
          <w:rFonts w:hint="default" w:ascii="Times New Roman" w:hAnsi="Times New Roman" w:eastAsia="宋体" w:cs="Times New Roman"/>
          <w:color w:val="auto"/>
          <w:spacing w:val="-2"/>
          <w:sz w:val="24"/>
          <w:szCs w:val="24"/>
          <w:highlight w:val="none"/>
        </w:rPr>
        <w:t>走向北北东，</w:t>
      </w:r>
      <w:r>
        <w:rPr>
          <w:rFonts w:hint="default" w:ascii="Times New Roman" w:hAnsi="Times New Roman" w:eastAsia="宋体" w:cs="Times New Roman"/>
          <w:color w:val="auto"/>
          <w:spacing w:val="1"/>
          <w:sz w:val="24"/>
          <w:szCs w:val="24"/>
          <w:highlight w:val="none"/>
        </w:rPr>
        <w:t>地层产状在</w:t>
      </w:r>
      <w:r>
        <w:rPr>
          <w:rFonts w:hint="default" w:ascii="Times New Roman" w:hAnsi="Times New Roman" w:eastAsia="Times New Roman" w:cs="Times New Roman"/>
          <w:color w:val="auto"/>
          <w:spacing w:val="1"/>
          <w:sz w:val="24"/>
          <w:szCs w:val="24"/>
          <w:highlight w:val="none"/>
        </w:rPr>
        <w:t>85</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120</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50</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85</w:t>
      </w:r>
      <w:r>
        <w:rPr>
          <w:rFonts w:hint="default" w:ascii="Times New Roman" w:hAnsi="Times New Roman" w:eastAsia="宋体" w:cs="Times New Roman"/>
          <w:color w:val="auto"/>
          <w:spacing w:val="1"/>
          <w:sz w:val="24"/>
          <w:szCs w:val="24"/>
          <w:highlight w:val="none"/>
        </w:rPr>
        <w:t>°出露于项目区的西南角，其岩石主要为大理岩、</w:t>
      </w:r>
      <w:r>
        <w:rPr>
          <w:rFonts w:hint="default" w:ascii="Times New Roman" w:hAnsi="Times New Roman" w:eastAsia="宋体" w:cs="Times New Roman"/>
          <w:color w:val="auto"/>
          <w:spacing w:val="-1"/>
          <w:sz w:val="24"/>
          <w:szCs w:val="24"/>
          <w:highlight w:val="none"/>
        </w:rPr>
        <w:t>含石墨硅化大理岩、石墨斜长片岩（矿体）、含石榴黑云斜长片岩、黑云斜长片</w:t>
      </w:r>
      <w:r>
        <w:rPr>
          <w:rFonts w:hint="default" w:ascii="Times New Roman" w:hAnsi="Times New Roman" w:eastAsia="宋体" w:cs="Times New Roman"/>
          <w:color w:val="auto"/>
          <w:spacing w:val="-2"/>
          <w:sz w:val="24"/>
          <w:szCs w:val="24"/>
          <w:highlight w:val="none"/>
        </w:rPr>
        <w:t>岩、石英片岩、混合花岗岩等，是石墨的主要成矿层位。</w:t>
      </w:r>
    </w:p>
    <w:p w14:paraId="0F17C958">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
          <w:sz w:val="24"/>
          <w:szCs w:val="24"/>
          <w:highlight w:val="none"/>
        </w:rPr>
        <w:t>2</w:t>
      </w:r>
      <w:r>
        <w:rPr>
          <w:rFonts w:hint="default" w:ascii="Times New Roman" w:hAnsi="Times New Roman" w:eastAsia="宋体" w:cs="Times New Roman"/>
          <w:color w:val="auto"/>
          <w:spacing w:val="-1"/>
          <w:sz w:val="24"/>
          <w:szCs w:val="24"/>
          <w:highlight w:val="none"/>
        </w:rPr>
        <w:t>）白垩系下统城子河组（</w:t>
      </w:r>
      <w:r>
        <w:rPr>
          <w:rFonts w:hint="default" w:ascii="Times New Roman" w:hAnsi="Times New Roman" w:eastAsia="Times New Roman" w:cs="Times New Roman"/>
          <w:color w:val="auto"/>
          <w:spacing w:val="-1"/>
          <w:sz w:val="24"/>
          <w:szCs w:val="24"/>
          <w:highlight w:val="none"/>
        </w:rPr>
        <w:t>K1c</w:t>
      </w:r>
      <w:r>
        <w:rPr>
          <w:rFonts w:hint="default" w:ascii="Times New Roman" w:hAnsi="Times New Roman" w:eastAsia="宋体" w:cs="Times New Roman"/>
          <w:color w:val="auto"/>
          <w:spacing w:val="-1"/>
          <w:sz w:val="24"/>
          <w:szCs w:val="24"/>
          <w:highlight w:val="none"/>
        </w:rPr>
        <w:t>）</w:t>
      </w:r>
    </w:p>
    <w:p w14:paraId="1950CAC1">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主要分布分布在项目区东侧中部，区内出露面积约</w:t>
      </w:r>
      <w:r>
        <w:rPr>
          <w:rFonts w:hint="default" w:ascii="Times New Roman" w:hAnsi="Times New Roman" w:eastAsia="Times New Roman" w:cs="Times New Roman"/>
          <w:color w:val="auto"/>
          <w:spacing w:val="-2"/>
          <w:sz w:val="24"/>
          <w:szCs w:val="24"/>
          <w:highlight w:val="none"/>
        </w:rPr>
        <w:t>1km</w:t>
      </w:r>
      <w:r>
        <w:rPr>
          <w:rFonts w:hint="default" w:ascii="Times New Roman" w:hAnsi="Times New Roman" w:eastAsia="Times New Roman" w:cs="Times New Roman"/>
          <w:color w:val="auto"/>
          <w:spacing w:val="-2"/>
          <w:position w:val="10"/>
          <w:sz w:val="16"/>
          <w:szCs w:val="16"/>
          <w:highlight w:val="none"/>
        </w:rPr>
        <w:t>2</w:t>
      </w:r>
      <w:r>
        <w:rPr>
          <w:rFonts w:hint="default" w:ascii="Times New Roman" w:hAnsi="Times New Roman" w:eastAsia="宋体" w:cs="Times New Roman"/>
          <w:color w:val="auto"/>
          <w:spacing w:val="-3"/>
          <w:sz w:val="24"/>
          <w:szCs w:val="24"/>
          <w:highlight w:val="none"/>
        </w:rPr>
        <w:t>左右，为双鸭山成煤盆</w:t>
      </w:r>
      <w:r>
        <w:rPr>
          <w:rFonts w:hint="default" w:ascii="Times New Roman" w:hAnsi="Times New Roman" w:eastAsia="宋体" w:cs="Times New Roman"/>
          <w:color w:val="auto"/>
          <w:spacing w:val="-2"/>
          <w:sz w:val="24"/>
          <w:szCs w:val="24"/>
          <w:highlight w:val="none"/>
        </w:rPr>
        <w:t>地的西缘，由砂岩、含砾砂岩、长石砂岩、泥岩和煤层组成。</w:t>
      </w:r>
    </w:p>
    <w:p w14:paraId="1EBC7300">
      <w:pPr>
        <w:keepNext w:val="0"/>
        <w:keepLines w:val="0"/>
        <w:pageBreakBefore w:val="0"/>
        <w:widowControl/>
        <w:kinsoku/>
        <w:wordWrap w:val="0"/>
        <w:overflowPunct/>
        <w:topLinePunct/>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6"/>
          <w:sz w:val="24"/>
          <w:szCs w:val="24"/>
          <w:highlight w:val="none"/>
        </w:rPr>
        <w:t>3</w:t>
      </w:r>
      <w:r>
        <w:rPr>
          <w:rFonts w:hint="default" w:ascii="Times New Roman" w:hAnsi="Times New Roman" w:eastAsia="宋体" w:cs="Times New Roman"/>
          <w:color w:val="auto"/>
          <w:spacing w:val="6"/>
          <w:sz w:val="24"/>
          <w:szCs w:val="24"/>
          <w:highlight w:val="none"/>
        </w:rPr>
        <w:t>）中新统宁安玄武岩(β</w:t>
      </w:r>
      <w:r>
        <w:rPr>
          <w:rFonts w:hint="default" w:ascii="Times New Roman" w:hAnsi="Times New Roman" w:eastAsia="Times New Roman" w:cs="Times New Roman"/>
          <w:color w:val="auto"/>
          <w:spacing w:val="6"/>
          <w:sz w:val="24"/>
          <w:szCs w:val="24"/>
          <w:highlight w:val="none"/>
        </w:rPr>
        <w:t>N1n</w:t>
      </w:r>
      <w:r>
        <w:rPr>
          <w:rFonts w:hint="default" w:ascii="Times New Roman" w:hAnsi="Times New Roman" w:eastAsia="宋体" w:cs="Times New Roman"/>
          <w:color w:val="auto"/>
          <w:spacing w:val="6"/>
          <w:sz w:val="24"/>
          <w:szCs w:val="24"/>
          <w:highlight w:val="none"/>
        </w:rPr>
        <w:t>）</w:t>
      </w:r>
    </w:p>
    <w:p w14:paraId="59038856">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出露在岭西林场苗圃的北东，岩性为橄榄玄武岩，出露面积约</w:t>
      </w:r>
      <w:r>
        <w:rPr>
          <w:rFonts w:hint="default" w:ascii="Times New Roman" w:hAnsi="Times New Roman" w:eastAsia="Times New Roman" w:cs="Times New Roman"/>
          <w:color w:val="auto"/>
          <w:spacing w:val="-2"/>
          <w:sz w:val="24"/>
          <w:szCs w:val="24"/>
          <w:highlight w:val="none"/>
        </w:rPr>
        <w:t>1.31km</w:t>
      </w:r>
      <w:r>
        <w:rPr>
          <w:rFonts w:hint="default" w:ascii="Times New Roman" w:hAnsi="Times New Roman" w:eastAsia="Times New Roman" w:cs="Times New Roman"/>
          <w:color w:val="auto"/>
          <w:spacing w:val="-2"/>
          <w:sz w:val="24"/>
          <w:szCs w:val="24"/>
          <w:highlight w:val="none"/>
          <w:vertAlign w:val="superscript"/>
        </w:rPr>
        <w:t>2</w:t>
      </w:r>
      <w:r>
        <w:rPr>
          <w:rFonts w:hint="default" w:ascii="Times New Roman" w:hAnsi="Times New Roman" w:eastAsia="宋体" w:cs="Times New Roman"/>
          <w:color w:val="auto"/>
          <w:spacing w:val="-2"/>
          <w:sz w:val="24"/>
          <w:szCs w:val="24"/>
          <w:highlight w:val="none"/>
        </w:rPr>
        <w:t>。</w:t>
      </w:r>
    </w:p>
    <w:p w14:paraId="63EF67F6">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
          <w:sz w:val="24"/>
          <w:szCs w:val="24"/>
          <w:highlight w:val="none"/>
        </w:rPr>
        <w:t>4</w:t>
      </w:r>
      <w:r>
        <w:rPr>
          <w:rFonts w:hint="default" w:ascii="Times New Roman" w:hAnsi="Times New Roman" w:eastAsia="宋体" w:cs="Times New Roman"/>
          <w:color w:val="auto"/>
          <w:spacing w:val="-1"/>
          <w:sz w:val="24"/>
          <w:szCs w:val="24"/>
          <w:highlight w:val="none"/>
        </w:rPr>
        <w:t>）第四系（</w:t>
      </w:r>
      <w:r>
        <w:rPr>
          <w:rFonts w:hint="default" w:ascii="Times New Roman" w:hAnsi="Times New Roman" w:eastAsia="Times New Roman" w:cs="Times New Roman"/>
          <w:color w:val="auto"/>
          <w:spacing w:val="-1"/>
          <w:sz w:val="24"/>
          <w:szCs w:val="24"/>
          <w:highlight w:val="none"/>
        </w:rPr>
        <w:t>Q</w:t>
      </w:r>
      <w:r>
        <w:rPr>
          <w:rFonts w:hint="default" w:ascii="Times New Roman" w:hAnsi="Times New Roman" w:eastAsia="宋体" w:cs="Times New Roman"/>
          <w:color w:val="auto"/>
          <w:spacing w:val="-1"/>
          <w:sz w:val="24"/>
          <w:szCs w:val="24"/>
          <w:highlight w:val="none"/>
        </w:rPr>
        <w:t>）</w:t>
      </w:r>
    </w:p>
    <w:p w14:paraId="59D90287">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分布在河床、河谷，由粘土、砂、砾石组成，厚度在</w:t>
      </w:r>
      <w:r>
        <w:rPr>
          <w:rFonts w:hint="default" w:ascii="Times New Roman" w:hAnsi="Times New Roman" w:eastAsia="Times New Roman" w:cs="Times New Roman"/>
          <w:color w:val="auto"/>
          <w:spacing w:val="-1"/>
          <w:sz w:val="24"/>
          <w:szCs w:val="24"/>
          <w:highlight w:val="none"/>
        </w:rPr>
        <w:t>5</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10m</w:t>
      </w:r>
      <w:r>
        <w:rPr>
          <w:rFonts w:hint="default" w:ascii="Times New Roman" w:hAnsi="Times New Roman" w:eastAsia="宋体" w:cs="Times New Roman"/>
          <w:color w:val="auto"/>
          <w:spacing w:val="-1"/>
          <w:sz w:val="24"/>
          <w:szCs w:val="24"/>
          <w:highlight w:val="none"/>
        </w:rPr>
        <w:t>。</w:t>
      </w:r>
    </w:p>
    <w:p w14:paraId="2FD3B098">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2</w:t>
      </w:r>
      <w:r>
        <w:rPr>
          <w:rFonts w:hint="default" w:ascii="Times New Roman" w:hAnsi="Times New Roman" w:eastAsia="宋体" w:cs="Times New Roman"/>
          <w:color w:val="auto"/>
          <w:spacing w:val="-5"/>
          <w:sz w:val="24"/>
          <w:szCs w:val="24"/>
          <w:highlight w:val="none"/>
        </w:rPr>
        <w:t>）构造</w:t>
      </w:r>
    </w:p>
    <w:p w14:paraId="1E5DFC08">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7"/>
          <w:sz w:val="24"/>
          <w:szCs w:val="24"/>
          <w:highlight w:val="none"/>
        </w:rPr>
        <w:t>区内断裂构造主要三组，分别为北东向、北北东向、东</w:t>
      </w:r>
      <w:r>
        <w:rPr>
          <w:rFonts w:hint="default" w:ascii="Times New Roman" w:hAnsi="Times New Roman" w:eastAsia="宋体" w:cs="Times New Roman"/>
          <w:color w:val="auto"/>
          <w:spacing w:val="-8"/>
          <w:sz w:val="24"/>
          <w:szCs w:val="24"/>
          <w:highlight w:val="none"/>
        </w:rPr>
        <w:t>西向，北东向形成时间最</w:t>
      </w:r>
      <w:r>
        <w:rPr>
          <w:rFonts w:hint="default" w:ascii="Times New Roman" w:hAnsi="Times New Roman" w:eastAsia="宋体" w:cs="Times New Roman"/>
          <w:color w:val="auto"/>
          <w:spacing w:val="-7"/>
          <w:sz w:val="24"/>
          <w:szCs w:val="24"/>
          <w:highlight w:val="none"/>
        </w:rPr>
        <w:t>早，南北向次之，东西向发育最晚，按形成时间早晚编号</w:t>
      </w:r>
      <w:r>
        <w:rPr>
          <w:rFonts w:hint="default" w:ascii="Times New Roman" w:hAnsi="Times New Roman" w:eastAsia="Times New Roman" w:cs="Times New Roman"/>
          <w:color w:val="auto"/>
          <w:spacing w:val="-7"/>
          <w:sz w:val="24"/>
          <w:szCs w:val="24"/>
          <w:highlight w:val="none"/>
        </w:rPr>
        <w:t>F1</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F2</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F3</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F4</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F5</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7"/>
          <w:sz w:val="24"/>
          <w:szCs w:val="24"/>
          <w:highlight w:val="none"/>
        </w:rPr>
        <w:t>F6</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Times New Roman" w:cs="Times New Roman"/>
          <w:color w:val="auto"/>
          <w:spacing w:val="-3"/>
          <w:sz w:val="24"/>
          <w:szCs w:val="24"/>
          <w:highlight w:val="none"/>
        </w:rPr>
        <w:t>F7</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F8</w:t>
      </w:r>
      <w:r>
        <w:rPr>
          <w:rFonts w:hint="default" w:ascii="Times New Roman" w:hAnsi="Times New Roman" w:eastAsia="宋体" w:cs="Times New Roman"/>
          <w:color w:val="auto"/>
          <w:spacing w:val="-3"/>
          <w:sz w:val="24"/>
          <w:szCs w:val="24"/>
          <w:highlight w:val="none"/>
        </w:rPr>
        <w:t>号断层，其中</w:t>
      </w:r>
      <w:r>
        <w:rPr>
          <w:rFonts w:hint="default" w:ascii="Times New Roman" w:hAnsi="Times New Roman" w:eastAsia="Times New Roman" w:cs="Times New Roman"/>
          <w:color w:val="auto"/>
          <w:spacing w:val="-3"/>
          <w:sz w:val="24"/>
          <w:szCs w:val="24"/>
          <w:highlight w:val="none"/>
        </w:rPr>
        <w:t>F2</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F3</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F5</w:t>
      </w:r>
      <w:r>
        <w:rPr>
          <w:rFonts w:hint="default" w:ascii="Times New Roman" w:hAnsi="Times New Roman" w:eastAsia="宋体" w:cs="Times New Roman"/>
          <w:color w:val="auto"/>
          <w:spacing w:val="-3"/>
          <w:sz w:val="24"/>
          <w:szCs w:val="24"/>
          <w:highlight w:val="none"/>
        </w:rPr>
        <w:t>和</w:t>
      </w:r>
      <w:r>
        <w:rPr>
          <w:rFonts w:hint="default" w:ascii="Times New Roman" w:hAnsi="Times New Roman" w:eastAsia="Times New Roman" w:cs="Times New Roman"/>
          <w:color w:val="auto"/>
          <w:spacing w:val="-3"/>
          <w:sz w:val="24"/>
          <w:szCs w:val="24"/>
          <w:highlight w:val="none"/>
        </w:rPr>
        <w:t>F7</w:t>
      </w:r>
      <w:r>
        <w:rPr>
          <w:rFonts w:hint="default" w:ascii="Times New Roman" w:hAnsi="Times New Roman" w:eastAsia="宋体" w:cs="Times New Roman"/>
          <w:color w:val="auto"/>
          <w:spacing w:val="-3"/>
          <w:sz w:val="24"/>
          <w:szCs w:val="24"/>
          <w:highlight w:val="none"/>
        </w:rPr>
        <w:t>一组属同期规模较大断层，两端均</w:t>
      </w:r>
      <w:r>
        <w:rPr>
          <w:rFonts w:hint="default" w:ascii="Times New Roman" w:hAnsi="Times New Roman" w:eastAsia="宋体" w:cs="Times New Roman"/>
          <w:color w:val="auto"/>
          <w:spacing w:val="-3"/>
          <w:sz w:val="24"/>
          <w:szCs w:val="24"/>
          <w:highlight w:val="none"/>
          <w:lang w:eastAsia="zh-CN"/>
        </w:rPr>
        <w:t>延伸</w:t>
      </w:r>
      <w:r>
        <w:rPr>
          <w:rFonts w:hint="default" w:ascii="Times New Roman" w:hAnsi="Times New Roman" w:eastAsia="宋体" w:cs="Times New Roman"/>
          <w:color w:val="auto"/>
          <w:spacing w:val="-3"/>
          <w:sz w:val="24"/>
          <w:szCs w:val="24"/>
          <w:highlight w:val="none"/>
        </w:rPr>
        <w:t>到区</w:t>
      </w:r>
      <w:r>
        <w:rPr>
          <w:rFonts w:hint="default" w:ascii="Times New Roman" w:hAnsi="Times New Roman" w:eastAsia="宋体" w:cs="Times New Roman"/>
          <w:color w:val="auto"/>
          <w:spacing w:val="-6"/>
          <w:sz w:val="24"/>
          <w:szCs w:val="24"/>
          <w:highlight w:val="none"/>
        </w:rPr>
        <w:t>外，具体特征如下：</w:t>
      </w:r>
    </w:p>
    <w:p w14:paraId="59E33E37">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z w:val="24"/>
          <w:szCs w:val="24"/>
          <w:highlight w:val="none"/>
        </w:rPr>
        <w:t>F1</w:t>
      </w:r>
      <w:r>
        <w:rPr>
          <w:rFonts w:hint="default" w:ascii="Times New Roman" w:hAnsi="Times New Roman" w:eastAsia="宋体" w:cs="Times New Roman"/>
          <w:color w:val="auto"/>
          <w:sz w:val="24"/>
          <w:szCs w:val="24"/>
          <w:highlight w:val="none"/>
        </w:rPr>
        <w:t>为物探推测断层，位于项目区北部，呈北西走向</w:t>
      </w:r>
      <w:r>
        <w:rPr>
          <w:rFonts w:hint="default" w:ascii="Times New Roman" w:hAnsi="Times New Roman" w:eastAsia="宋体" w:cs="Times New Roman"/>
          <w:color w:val="auto"/>
          <w:spacing w:val="-1"/>
          <w:sz w:val="24"/>
          <w:szCs w:val="24"/>
          <w:highlight w:val="none"/>
        </w:rPr>
        <w:t>，形成时间较早，分别被南</w:t>
      </w:r>
      <w:r>
        <w:rPr>
          <w:rFonts w:hint="default" w:ascii="Times New Roman" w:hAnsi="Times New Roman" w:eastAsia="宋体" w:cs="Times New Roman"/>
          <w:color w:val="auto"/>
          <w:spacing w:val="-5"/>
          <w:sz w:val="24"/>
          <w:szCs w:val="24"/>
          <w:highlight w:val="none"/>
        </w:rPr>
        <w:t>北向</w:t>
      </w:r>
      <w:r>
        <w:rPr>
          <w:rFonts w:hint="default" w:ascii="Times New Roman" w:hAnsi="Times New Roman" w:eastAsia="Times New Roman" w:cs="Times New Roman"/>
          <w:color w:val="auto"/>
          <w:spacing w:val="-5"/>
          <w:sz w:val="24"/>
          <w:szCs w:val="24"/>
          <w:highlight w:val="none"/>
        </w:rPr>
        <w:t>F3</w:t>
      </w:r>
      <w:r>
        <w:rPr>
          <w:rFonts w:hint="default" w:ascii="Times New Roman" w:hAnsi="Times New Roman" w:eastAsia="宋体" w:cs="Times New Roman"/>
          <w:color w:val="auto"/>
          <w:spacing w:val="-5"/>
          <w:sz w:val="24"/>
          <w:szCs w:val="24"/>
          <w:highlight w:val="none"/>
        </w:rPr>
        <w:t>、东西向</w:t>
      </w:r>
      <w:r>
        <w:rPr>
          <w:rFonts w:hint="default" w:ascii="Times New Roman" w:hAnsi="Times New Roman" w:eastAsia="Times New Roman" w:cs="Times New Roman"/>
          <w:color w:val="auto"/>
          <w:spacing w:val="-5"/>
          <w:sz w:val="24"/>
          <w:szCs w:val="24"/>
          <w:highlight w:val="none"/>
        </w:rPr>
        <w:t>F4</w:t>
      </w:r>
      <w:r>
        <w:rPr>
          <w:rFonts w:hint="default" w:ascii="Times New Roman" w:hAnsi="Times New Roman" w:eastAsia="宋体" w:cs="Times New Roman"/>
          <w:color w:val="auto"/>
          <w:spacing w:val="-5"/>
          <w:sz w:val="24"/>
          <w:szCs w:val="24"/>
          <w:highlight w:val="none"/>
        </w:rPr>
        <w:t>断层错断，产状性质不明。</w:t>
      </w:r>
    </w:p>
    <w:p w14:paraId="1DF293B8">
      <w:pPr>
        <w:keepNext w:val="0"/>
        <w:keepLines w:val="0"/>
        <w:pageBreakBefore w:val="0"/>
        <w:widowControl/>
        <w:kinsoku/>
        <w:wordWrap w:val="0"/>
        <w:overflowPunct/>
        <w:topLinePunct/>
        <w:autoSpaceDE/>
        <w:autoSpaceDN/>
        <w:bidi w:val="0"/>
        <w:adjustRightInd w:val="0"/>
        <w:snapToGrid w:val="0"/>
        <w:spacing w:line="360" w:lineRule="auto"/>
        <w:ind w:left="0" w:right="0" w:firstLine="500"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5"/>
          <w:sz w:val="24"/>
          <w:szCs w:val="24"/>
          <w:highlight w:val="none"/>
        </w:rPr>
        <w:t>F2</w:t>
      </w:r>
      <w:r>
        <w:rPr>
          <w:rFonts w:hint="default" w:ascii="Times New Roman" w:hAnsi="Times New Roman" w:eastAsia="宋体" w:cs="Times New Roman"/>
          <w:color w:val="auto"/>
          <w:spacing w:val="5"/>
          <w:sz w:val="24"/>
          <w:szCs w:val="24"/>
          <w:highlight w:val="none"/>
        </w:rPr>
        <w:t>为实测逆</w:t>
      </w:r>
      <w:r>
        <w:rPr>
          <w:rFonts w:hint="default" w:ascii="Times New Roman" w:hAnsi="Times New Roman" w:eastAsia="宋体" w:cs="Times New Roman"/>
          <w:color w:val="auto"/>
          <w:spacing w:val="5"/>
          <w:sz w:val="24"/>
          <w:szCs w:val="24"/>
          <w:highlight w:val="none"/>
          <w:lang w:eastAsia="zh-CN"/>
        </w:rPr>
        <w:t>断层</w:t>
      </w:r>
      <w:r>
        <w:rPr>
          <w:rFonts w:hint="default" w:ascii="Times New Roman" w:hAnsi="Times New Roman" w:eastAsia="宋体" w:cs="Times New Roman"/>
          <w:color w:val="auto"/>
          <w:spacing w:val="5"/>
          <w:sz w:val="24"/>
          <w:szCs w:val="24"/>
          <w:highlight w:val="none"/>
        </w:rPr>
        <w:t>，位于项目区西侧，近南北走向，产状</w:t>
      </w:r>
      <w:r>
        <w:rPr>
          <w:rFonts w:hint="default" w:ascii="Times New Roman" w:hAnsi="Times New Roman" w:eastAsia="Times New Roman" w:cs="Times New Roman"/>
          <w:color w:val="auto"/>
          <w:spacing w:val="5"/>
          <w:sz w:val="24"/>
          <w:szCs w:val="24"/>
          <w:highlight w:val="none"/>
        </w:rPr>
        <w:t>265</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29</w:t>
      </w:r>
      <w:r>
        <w:rPr>
          <w:rFonts w:hint="default" w:ascii="Times New Roman" w:hAnsi="Times New Roman" w:eastAsia="Times New Roman" w:cs="Times New Roman"/>
          <w:color w:val="auto"/>
          <w:spacing w:val="4"/>
          <w:sz w:val="24"/>
          <w:szCs w:val="24"/>
          <w:highlight w:val="none"/>
        </w:rPr>
        <w:t>0</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2"/>
          <w:sz w:val="24"/>
          <w:szCs w:val="24"/>
          <w:highlight w:val="none"/>
        </w:rPr>
        <w:t>60</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75</w:t>
      </w:r>
      <w:r>
        <w:rPr>
          <w:rFonts w:hint="default" w:ascii="Times New Roman" w:hAnsi="Times New Roman" w:eastAsia="宋体" w:cs="Times New Roman"/>
          <w:color w:val="auto"/>
          <w:spacing w:val="-2"/>
          <w:sz w:val="24"/>
          <w:szCs w:val="24"/>
          <w:highlight w:val="none"/>
        </w:rPr>
        <w:t>°,对矿体产生推覆作用，形成时间晚于</w:t>
      </w:r>
      <w:r>
        <w:rPr>
          <w:rFonts w:hint="default" w:ascii="Times New Roman" w:hAnsi="Times New Roman" w:eastAsia="Times New Roman" w:cs="Times New Roman"/>
          <w:color w:val="auto"/>
          <w:spacing w:val="-2"/>
          <w:sz w:val="24"/>
          <w:szCs w:val="24"/>
          <w:highlight w:val="none"/>
        </w:rPr>
        <w:t>F1</w:t>
      </w:r>
      <w:r>
        <w:rPr>
          <w:rFonts w:hint="default" w:ascii="Times New Roman" w:hAnsi="Times New Roman" w:eastAsia="宋体" w:cs="Times New Roman"/>
          <w:color w:val="auto"/>
          <w:spacing w:val="-2"/>
          <w:sz w:val="24"/>
          <w:szCs w:val="24"/>
          <w:highlight w:val="none"/>
        </w:rPr>
        <w:t>，被东西向</w:t>
      </w:r>
      <w:r>
        <w:rPr>
          <w:rFonts w:hint="default" w:ascii="Times New Roman" w:hAnsi="Times New Roman" w:eastAsia="Times New Roman" w:cs="Times New Roman"/>
          <w:color w:val="auto"/>
          <w:spacing w:val="-2"/>
          <w:sz w:val="24"/>
          <w:szCs w:val="24"/>
          <w:highlight w:val="none"/>
        </w:rPr>
        <w:t>F4</w:t>
      </w:r>
      <w:r>
        <w:rPr>
          <w:rFonts w:hint="default" w:ascii="Times New Roman" w:hAnsi="Times New Roman" w:eastAsia="宋体" w:cs="Times New Roman"/>
          <w:color w:val="auto"/>
          <w:spacing w:val="-2"/>
          <w:sz w:val="24"/>
          <w:szCs w:val="24"/>
          <w:highlight w:val="none"/>
        </w:rPr>
        <w:t>断层错断，其切</w:t>
      </w:r>
      <w:r>
        <w:rPr>
          <w:rFonts w:hint="default" w:ascii="Times New Roman" w:hAnsi="Times New Roman" w:eastAsia="宋体" w:cs="Times New Roman"/>
          <w:color w:val="auto"/>
          <w:spacing w:val="-3"/>
          <w:sz w:val="24"/>
          <w:szCs w:val="24"/>
          <w:highlight w:val="none"/>
        </w:rPr>
        <w:t>割了Ⅳ号矿体，对矿体起到破坏作用。</w:t>
      </w:r>
    </w:p>
    <w:p w14:paraId="4D2DF388">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
          <w:sz w:val="24"/>
          <w:szCs w:val="24"/>
          <w:highlight w:val="none"/>
        </w:rPr>
        <w:t>F3</w:t>
      </w:r>
      <w:r>
        <w:rPr>
          <w:rFonts w:hint="default" w:ascii="Times New Roman" w:hAnsi="Times New Roman" w:eastAsia="宋体" w:cs="Times New Roman"/>
          <w:color w:val="auto"/>
          <w:spacing w:val="-1"/>
          <w:sz w:val="24"/>
          <w:szCs w:val="24"/>
          <w:highlight w:val="none"/>
        </w:rPr>
        <w:t>为物探推测断层，</w:t>
      </w:r>
      <w:r>
        <w:rPr>
          <w:rFonts w:hint="default" w:ascii="Times New Roman" w:hAnsi="Times New Roman" w:eastAsia="Times New Roman" w:cs="Times New Roman"/>
          <w:color w:val="auto"/>
          <w:spacing w:val="-1"/>
          <w:sz w:val="24"/>
          <w:szCs w:val="24"/>
          <w:highlight w:val="none"/>
        </w:rPr>
        <w:t>F4</w:t>
      </w:r>
      <w:r>
        <w:rPr>
          <w:rFonts w:hint="default" w:ascii="Times New Roman" w:hAnsi="Times New Roman" w:eastAsia="宋体" w:cs="Times New Roman"/>
          <w:color w:val="auto"/>
          <w:spacing w:val="-1"/>
          <w:sz w:val="24"/>
          <w:szCs w:val="24"/>
          <w:highlight w:val="none"/>
        </w:rPr>
        <w:t>为物探推测断层，对矿</w:t>
      </w:r>
      <w:r>
        <w:rPr>
          <w:rFonts w:hint="default" w:ascii="Times New Roman" w:hAnsi="Times New Roman" w:eastAsia="宋体" w:cs="Times New Roman"/>
          <w:color w:val="auto"/>
          <w:spacing w:val="-2"/>
          <w:sz w:val="24"/>
          <w:szCs w:val="24"/>
          <w:highlight w:val="none"/>
        </w:rPr>
        <w:t>体影响不大。</w:t>
      </w:r>
    </w:p>
    <w:p w14:paraId="541DE0B0">
      <w:pPr>
        <w:keepNext w:val="0"/>
        <w:keepLines w:val="0"/>
        <w:pageBreakBefore w:val="0"/>
        <w:widowControl/>
        <w:kinsoku/>
        <w:wordWrap w:val="0"/>
        <w:overflowPunct/>
        <w:topLinePunct/>
        <w:autoSpaceDE/>
        <w:autoSpaceDN/>
        <w:bidi w:val="0"/>
        <w:adjustRightInd w:val="0"/>
        <w:snapToGrid w:val="0"/>
        <w:spacing w:line="360" w:lineRule="auto"/>
        <w:ind w:left="0" w:right="0" w:firstLine="50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5"/>
          <w:sz w:val="24"/>
          <w:szCs w:val="24"/>
          <w:highlight w:val="none"/>
        </w:rPr>
        <w:t>F5</w:t>
      </w:r>
      <w:r>
        <w:rPr>
          <w:rFonts w:hint="default" w:ascii="Times New Roman" w:hAnsi="Times New Roman" w:eastAsia="宋体" w:cs="Times New Roman"/>
          <w:color w:val="auto"/>
          <w:spacing w:val="5"/>
          <w:sz w:val="24"/>
          <w:szCs w:val="24"/>
          <w:highlight w:val="none"/>
        </w:rPr>
        <w:t>为实测逆</w:t>
      </w:r>
      <w:r>
        <w:rPr>
          <w:rFonts w:hint="default" w:ascii="Times New Roman" w:hAnsi="Times New Roman" w:eastAsia="宋体" w:cs="Times New Roman"/>
          <w:color w:val="auto"/>
          <w:spacing w:val="5"/>
          <w:sz w:val="24"/>
          <w:szCs w:val="24"/>
          <w:highlight w:val="none"/>
          <w:lang w:eastAsia="zh-CN"/>
        </w:rPr>
        <w:t>断层</w:t>
      </w:r>
      <w:r>
        <w:rPr>
          <w:rFonts w:hint="default" w:ascii="Times New Roman" w:hAnsi="Times New Roman" w:eastAsia="宋体" w:cs="Times New Roman"/>
          <w:color w:val="auto"/>
          <w:spacing w:val="5"/>
          <w:sz w:val="24"/>
          <w:szCs w:val="24"/>
          <w:highlight w:val="none"/>
        </w:rPr>
        <w:t>，位于项目区西侧，近南北走向，产状</w:t>
      </w:r>
      <w:r>
        <w:rPr>
          <w:rFonts w:hint="default" w:ascii="Times New Roman" w:hAnsi="Times New Roman" w:eastAsia="Times New Roman" w:cs="Times New Roman"/>
          <w:color w:val="auto"/>
          <w:spacing w:val="5"/>
          <w:sz w:val="24"/>
          <w:szCs w:val="24"/>
          <w:highlight w:val="none"/>
        </w:rPr>
        <w:t>270</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28</w:t>
      </w:r>
      <w:r>
        <w:rPr>
          <w:rFonts w:hint="default" w:ascii="Times New Roman" w:hAnsi="Times New Roman" w:eastAsia="Times New Roman" w:cs="Times New Roman"/>
          <w:color w:val="auto"/>
          <w:spacing w:val="4"/>
          <w:sz w:val="24"/>
          <w:szCs w:val="24"/>
          <w:highlight w:val="none"/>
        </w:rPr>
        <w:t>0</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60</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80</w:t>
      </w:r>
      <w:r>
        <w:rPr>
          <w:rFonts w:hint="default" w:ascii="Times New Roman" w:hAnsi="Times New Roman" w:eastAsia="宋体" w:cs="Times New Roman"/>
          <w:color w:val="auto"/>
          <w:spacing w:val="4"/>
          <w:sz w:val="24"/>
          <w:szCs w:val="24"/>
          <w:highlight w:val="none"/>
        </w:rPr>
        <w:t>°,对矿体产生推覆作用，其切割了Ⅵ、Ⅹ号矿体，对矿体起到破坏作用。</w:t>
      </w:r>
    </w:p>
    <w:p w14:paraId="1B1B491E">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5"/>
          <w:sz w:val="24"/>
          <w:szCs w:val="24"/>
          <w:highlight w:val="none"/>
        </w:rPr>
        <w:t>F6</w:t>
      </w:r>
      <w:r>
        <w:rPr>
          <w:rFonts w:hint="default" w:ascii="Times New Roman" w:hAnsi="Times New Roman" w:eastAsia="宋体" w:cs="Times New Roman"/>
          <w:color w:val="auto"/>
          <w:spacing w:val="-5"/>
          <w:sz w:val="24"/>
          <w:szCs w:val="24"/>
          <w:highlight w:val="none"/>
        </w:rPr>
        <w:t>为实测逆</w:t>
      </w:r>
      <w:r>
        <w:rPr>
          <w:rFonts w:hint="default" w:ascii="Times New Roman" w:hAnsi="Times New Roman" w:eastAsia="宋体" w:cs="Times New Roman"/>
          <w:color w:val="auto"/>
          <w:spacing w:val="-5"/>
          <w:sz w:val="24"/>
          <w:szCs w:val="24"/>
          <w:highlight w:val="none"/>
          <w:lang w:eastAsia="zh-CN"/>
        </w:rPr>
        <w:t>断层</w:t>
      </w:r>
      <w:r>
        <w:rPr>
          <w:rFonts w:hint="default" w:ascii="Times New Roman" w:hAnsi="Times New Roman" w:eastAsia="宋体" w:cs="Times New Roman"/>
          <w:color w:val="auto"/>
          <w:spacing w:val="-5"/>
          <w:sz w:val="24"/>
          <w:szCs w:val="24"/>
          <w:highlight w:val="none"/>
        </w:rPr>
        <w:t>，位于项目区北部的西侧，近南北走向，产状</w:t>
      </w:r>
      <w:r>
        <w:rPr>
          <w:rFonts w:hint="default" w:ascii="Times New Roman" w:hAnsi="Times New Roman" w:eastAsia="Times New Roman" w:cs="Times New Roman"/>
          <w:color w:val="auto"/>
          <w:spacing w:val="-5"/>
          <w:sz w:val="24"/>
          <w:szCs w:val="24"/>
          <w:highlight w:val="none"/>
        </w:rPr>
        <w:t>260</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270</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60</w:t>
      </w:r>
      <w:r>
        <w:rPr>
          <w:rFonts w:hint="default" w:ascii="Times New Roman" w:hAnsi="Times New Roman" w:eastAsia="宋体" w:cs="Times New Roman"/>
          <w:color w:val="auto"/>
          <w:spacing w:val="6"/>
          <w:sz w:val="24"/>
          <w:szCs w:val="24"/>
          <w:highlight w:val="none"/>
        </w:rPr>
        <w:t>°~</w:t>
      </w:r>
      <w:r>
        <w:rPr>
          <w:rFonts w:hint="default" w:ascii="Times New Roman" w:hAnsi="Times New Roman" w:eastAsia="Times New Roman" w:cs="Times New Roman"/>
          <w:color w:val="auto"/>
          <w:spacing w:val="6"/>
          <w:sz w:val="24"/>
          <w:szCs w:val="24"/>
          <w:highlight w:val="none"/>
        </w:rPr>
        <w:t>80</w:t>
      </w:r>
      <w:r>
        <w:rPr>
          <w:rFonts w:hint="default" w:ascii="Times New Roman" w:hAnsi="Times New Roman" w:eastAsia="宋体" w:cs="Times New Roman"/>
          <w:color w:val="auto"/>
          <w:spacing w:val="6"/>
          <w:sz w:val="24"/>
          <w:szCs w:val="24"/>
          <w:highlight w:val="none"/>
        </w:rPr>
        <w:t>°,对Ⅲ号矿体产生推覆作用</w:t>
      </w:r>
      <w:r>
        <w:rPr>
          <w:rFonts w:hint="default" w:ascii="Times New Roman" w:hAnsi="Times New Roman" w:eastAsia="宋体" w:cs="Times New Roman"/>
          <w:color w:val="auto"/>
          <w:spacing w:val="5"/>
          <w:sz w:val="24"/>
          <w:szCs w:val="24"/>
          <w:highlight w:val="none"/>
        </w:rPr>
        <w:t>，对矿体起到破坏作用。</w:t>
      </w:r>
    </w:p>
    <w:p w14:paraId="3D0123DE">
      <w:pPr>
        <w:keepNext w:val="0"/>
        <w:keepLines w:val="0"/>
        <w:pageBreakBefore w:val="0"/>
        <w:widowControl/>
        <w:kinsoku/>
        <w:wordWrap w:val="0"/>
        <w:overflowPunct/>
        <w:topLinePunct/>
        <w:autoSpaceDE/>
        <w:autoSpaceDN/>
        <w:bidi w:val="0"/>
        <w:adjustRightInd w:val="0"/>
        <w:snapToGrid w:val="0"/>
        <w:spacing w:line="360" w:lineRule="auto"/>
        <w:ind w:left="0" w:right="0" w:firstLine="50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5"/>
          <w:sz w:val="24"/>
          <w:szCs w:val="24"/>
          <w:highlight w:val="none"/>
        </w:rPr>
        <w:t>F7</w:t>
      </w:r>
      <w:r>
        <w:rPr>
          <w:rFonts w:hint="default" w:ascii="Times New Roman" w:hAnsi="Times New Roman" w:eastAsia="宋体" w:cs="Times New Roman"/>
          <w:color w:val="auto"/>
          <w:spacing w:val="5"/>
          <w:sz w:val="24"/>
          <w:szCs w:val="24"/>
          <w:highlight w:val="none"/>
        </w:rPr>
        <w:t>为实测逆断层，位于项目区东侧，近南北走向，产状</w:t>
      </w:r>
      <w:r>
        <w:rPr>
          <w:rFonts w:hint="default" w:ascii="Times New Roman" w:hAnsi="Times New Roman" w:eastAsia="Times New Roman" w:cs="Times New Roman"/>
          <w:color w:val="auto"/>
          <w:spacing w:val="5"/>
          <w:sz w:val="24"/>
          <w:szCs w:val="24"/>
          <w:highlight w:val="none"/>
        </w:rPr>
        <w:t>270</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28</w:t>
      </w:r>
      <w:r>
        <w:rPr>
          <w:rFonts w:hint="default" w:ascii="Times New Roman" w:hAnsi="Times New Roman" w:eastAsia="Times New Roman" w:cs="Times New Roman"/>
          <w:color w:val="auto"/>
          <w:spacing w:val="4"/>
          <w:sz w:val="24"/>
          <w:szCs w:val="24"/>
          <w:highlight w:val="none"/>
        </w:rPr>
        <w:t>0</w:t>
      </w: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5"/>
          <w:sz w:val="24"/>
          <w:szCs w:val="24"/>
          <w:highlight w:val="none"/>
        </w:rPr>
        <w:t>65</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75</w:t>
      </w:r>
      <w:r>
        <w:rPr>
          <w:rFonts w:hint="default" w:ascii="Times New Roman" w:hAnsi="Times New Roman" w:eastAsia="宋体" w:cs="Times New Roman"/>
          <w:color w:val="auto"/>
          <w:spacing w:val="5"/>
          <w:sz w:val="24"/>
          <w:szCs w:val="24"/>
          <w:highlight w:val="none"/>
        </w:rPr>
        <w:t>°,其切割了Ⅶ、Ⅷ号矿体，对矿体起到破坏作用。</w:t>
      </w:r>
    </w:p>
    <w:p w14:paraId="49FCECE1">
      <w:pPr>
        <w:pStyle w:val="11"/>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2"/>
          <w:sz w:val="24"/>
          <w:szCs w:val="24"/>
          <w:highlight w:val="none"/>
        </w:rPr>
        <w:t>F8</w:t>
      </w:r>
      <w:r>
        <w:rPr>
          <w:rFonts w:hint="default" w:ascii="Times New Roman" w:hAnsi="Times New Roman" w:eastAsia="宋体" w:cs="Times New Roman"/>
          <w:color w:val="auto"/>
          <w:spacing w:val="-2"/>
          <w:sz w:val="24"/>
          <w:szCs w:val="24"/>
          <w:highlight w:val="none"/>
        </w:rPr>
        <w:t>为实测逆</w:t>
      </w:r>
      <w:r>
        <w:rPr>
          <w:rFonts w:hint="default" w:ascii="Times New Roman" w:hAnsi="Times New Roman" w:eastAsia="宋体" w:cs="Times New Roman"/>
          <w:color w:val="auto"/>
          <w:spacing w:val="-2"/>
          <w:sz w:val="24"/>
          <w:szCs w:val="24"/>
          <w:highlight w:val="none"/>
          <w:lang w:eastAsia="zh-CN"/>
        </w:rPr>
        <w:t>断层</w:t>
      </w:r>
      <w:r>
        <w:rPr>
          <w:rFonts w:hint="default" w:ascii="Times New Roman" w:hAnsi="Times New Roman" w:eastAsia="宋体" w:cs="Times New Roman"/>
          <w:color w:val="auto"/>
          <w:spacing w:val="-2"/>
          <w:sz w:val="24"/>
          <w:szCs w:val="24"/>
          <w:highlight w:val="none"/>
        </w:rPr>
        <w:t>，位于项目区东南，走向北东，产状</w:t>
      </w:r>
      <w:r>
        <w:rPr>
          <w:rFonts w:hint="default" w:ascii="Times New Roman" w:hAnsi="Times New Roman" w:eastAsia="Times New Roman" w:cs="Times New Roman"/>
          <w:color w:val="auto"/>
          <w:spacing w:val="-2"/>
          <w:sz w:val="24"/>
          <w:szCs w:val="24"/>
          <w:highlight w:val="none"/>
        </w:rPr>
        <w:t>270</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280</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65</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3"/>
          <w:sz w:val="24"/>
          <w:szCs w:val="24"/>
          <w:highlight w:val="none"/>
        </w:rPr>
        <w:t>75</w:t>
      </w:r>
      <w:r>
        <w:rPr>
          <w:rFonts w:hint="default" w:ascii="Times New Roman" w:hAnsi="Times New Roman" w:eastAsia="宋体" w:cs="Times New Roman"/>
          <w:color w:val="auto"/>
          <w:spacing w:val="3"/>
          <w:sz w:val="24"/>
          <w:szCs w:val="24"/>
          <w:highlight w:val="none"/>
        </w:rPr>
        <w:t>°,与断层</w:t>
      </w:r>
      <w:r>
        <w:rPr>
          <w:rFonts w:hint="default" w:ascii="Times New Roman" w:hAnsi="Times New Roman" w:eastAsia="Times New Roman" w:cs="Times New Roman"/>
          <w:color w:val="auto"/>
          <w:spacing w:val="3"/>
          <w:sz w:val="24"/>
          <w:szCs w:val="24"/>
          <w:highlight w:val="none"/>
        </w:rPr>
        <w:t>F</w:t>
      </w:r>
      <w:r>
        <w:rPr>
          <w:rFonts w:hint="default" w:ascii="Times New Roman" w:hAnsi="Times New Roman" w:eastAsia="宋体" w:cs="Times New Roman"/>
          <w:color w:val="auto"/>
          <w:spacing w:val="3"/>
          <w:sz w:val="24"/>
          <w:szCs w:val="24"/>
          <w:highlight w:val="none"/>
        </w:rPr>
        <w:t>平行，对矿体起到破坏作用。</w:t>
      </w:r>
    </w:p>
    <w:p w14:paraId="5D53C89C">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3</w:t>
      </w:r>
      <w:r>
        <w:rPr>
          <w:rFonts w:hint="default" w:ascii="Times New Roman" w:hAnsi="Times New Roman" w:eastAsia="宋体" w:cs="Times New Roman"/>
          <w:color w:val="auto"/>
          <w:spacing w:val="-5"/>
          <w:sz w:val="24"/>
          <w:szCs w:val="24"/>
          <w:highlight w:val="none"/>
        </w:rPr>
        <w:t>）岩浆岩</w:t>
      </w:r>
    </w:p>
    <w:p w14:paraId="5CBB276A">
      <w:pPr>
        <w:keepNext w:val="0"/>
        <w:keepLines w:val="0"/>
        <w:pageBreakBefore w:val="0"/>
        <w:widowControl/>
        <w:kinsoku/>
        <w:wordWrap w:val="0"/>
        <w:overflowPunct/>
        <w:topLinePunct/>
        <w:autoSpaceDE/>
        <w:autoSpaceDN/>
        <w:bidi w:val="0"/>
        <w:adjustRightInd w:val="0"/>
        <w:snapToGrid w:val="0"/>
        <w:spacing w:line="360" w:lineRule="auto"/>
        <w:ind w:left="0" w:right="0" w:firstLine="48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项目区内大面积出露晚元古界第四期黑云母花岗岩（</w:t>
      </w:r>
      <w:r>
        <w:rPr>
          <w:rFonts w:hint="default" w:ascii="Times New Roman" w:hAnsi="Times New Roman" w:eastAsia="Times New Roman" w:cs="Times New Roman"/>
          <w:color w:val="auto"/>
          <w:sz w:val="24"/>
          <w:szCs w:val="24"/>
          <w:highlight w:val="none"/>
        </w:rPr>
        <w:t>Pt</w:t>
      </w:r>
      <w:r>
        <w:rPr>
          <w:rFonts w:hint="default" w:ascii="Times New Roman" w:hAnsi="Times New Roman" w:eastAsia="Times New Roman" w:cs="Times New Roman"/>
          <w:color w:val="auto"/>
          <w:spacing w:val="2"/>
          <w:sz w:val="24"/>
          <w:szCs w:val="24"/>
          <w:highlight w:val="none"/>
        </w:rPr>
        <w:t>2</w:t>
      </w:r>
      <w:r>
        <w:rPr>
          <w:rFonts w:hint="default" w:ascii="Times New Roman" w:hAnsi="Times New Roman" w:eastAsia="宋体" w:cs="Times New Roman"/>
          <w:color w:val="auto"/>
          <w:spacing w:val="2"/>
          <w:sz w:val="24"/>
          <w:szCs w:val="24"/>
          <w:highlight w:val="none"/>
        </w:rPr>
        <w:t>γβ),约占整个项目</w:t>
      </w:r>
      <w:r>
        <w:rPr>
          <w:rFonts w:hint="default" w:ascii="Times New Roman" w:hAnsi="Times New Roman" w:eastAsia="宋体" w:cs="Times New Roman"/>
          <w:color w:val="auto"/>
          <w:spacing w:val="5"/>
          <w:sz w:val="24"/>
          <w:szCs w:val="24"/>
          <w:highlight w:val="none"/>
        </w:rPr>
        <w:t>区面积的四分之三；第三期中细粒黑云母二长花岗岩、石英正长岩（</w:t>
      </w:r>
      <w:r>
        <w:rPr>
          <w:rFonts w:hint="default" w:ascii="Times New Roman" w:hAnsi="Times New Roman" w:eastAsia="Times New Roman" w:cs="Times New Roman"/>
          <w:color w:val="auto"/>
          <w:sz w:val="24"/>
          <w:szCs w:val="24"/>
          <w:highlight w:val="none"/>
        </w:rPr>
        <w:t>Pt</w:t>
      </w:r>
      <w:r>
        <w:rPr>
          <w:rFonts w:hint="default" w:ascii="Times New Roman" w:hAnsi="Times New Roman" w:eastAsia="Times New Roman" w:cs="Times New Roman"/>
          <w:color w:val="auto"/>
          <w:spacing w:val="5"/>
          <w:sz w:val="24"/>
          <w:szCs w:val="24"/>
          <w:highlight w:val="none"/>
        </w:rPr>
        <w:t>2M</w:t>
      </w:r>
      <w:r>
        <w:rPr>
          <w:rFonts w:hint="default" w:ascii="Times New Roman" w:hAnsi="Times New Roman" w:eastAsia="宋体" w:cs="Times New Roman"/>
          <w:color w:val="auto"/>
          <w:spacing w:val="5"/>
          <w:sz w:val="24"/>
          <w:szCs w:val="24"/>
          <w:highlight w:val="none"/>
        </w:rPr>
        <w:t>γ)；第</w:t>
      </w:r>
      <w:r>
        <w:rPr>
          <w:rFonts w:hint="default" w:ascii="Times New Roman" w:hAnsi="Times New Roman" w:eastAsia="宋体" w:cs="Times New Roman"/>
          <w:color w:val="auto"/>
          <w:spacing w:val="4"/>
          <w:sz w:val="24"/>
          <w:szCs w:val="24"/>
          <w:highlight w:val="none"/>
        </w:rPr>
        <w:t>二期石英闪长岩、花岗闪长岩、斑状花岗闪长岩（</w:t>
      </w:r>
      <w:r>
        <w:rPr>
          <w:rFonts w:hint="default" w:ascii="Times New Roman" w:hAnsi="Times New Roman" w:eastAsia="Times New Roman" w:cs="Times New Roman"/>
          <w:color w:val="auto"/>
          <w:sz w:val="24"/>
          <w:szCs w:val="24"/>
          <w:highlight w:val="none"/>
        </w:rPr>
        <w:t>Pt</w:t>
      </w:r>
      <w:r>
        <w:rPr>
          <w:rFonts w:hint="default" w:ascii="Times New Roman" w:hAnsi="Times New Roman" w:eastAsia="Times New Roman" w:cs="Times New Roman"/>
          <w:color w:val="auto"/>
          <w:spacing w:val="4"/>
          <w:sz w:val="24"/>
          <w:szCs w:val="24"/>
          <w:highlight w:val="none"/>
        </w:rPr>
        <w:t>2</w:t>
      </w:r>
      <w:r>
        <w:rPr>
          <w:rFonts w:hint="default" w:ascii="Times New Roman" w:hAnsi="Times New Roman" w:eastAsia="宋体" w:cs="Times New Roman"/>
          <w:color w:val="auto"/>
          <w:spacing w:val="4"/>
          <w:sz w:val="24"/>
          <w:szCs w:val="24"/>
          <w:highlight w:val="none"/>
        </w:rPr>
        <w:t>γδ)等，仅出露于项目区的</w:t>
      </w:r>
      <w:r>
        <w:rPr>
          <w:rFonts w:hint="default" w:ascii="Times New Roman" w:hAnsi="Times New Roman" w:eastAsia="宋体" w:cs="Times New Roman"/>
          <w:color w:val="auto"/>
          <w:spacing w:val="-9"/>
          <w:sz w:val="24"/>
          <w:szCs w:val="24"/>
          <w:highlight w:val="none"/>
        </w:rPr>
        <w:t>西北角。</w:t>
      </w:r>
    </w:p>
    <w:p w14:paraId="28FB8609">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39" w:name="_Toc29858"/>
      <w:r>
        <w:rPr>
          <w:rFonts w:hint="default" w:ascii="Times New Roman" w:hAnsi="Times New Roman" w:eastAsia="宋体" w:cs="Times New Roman"/>
          <w:b/>
          <w:bCs/>
          <w:color w:val="auto"/>
          <w:spacing w:val="-2"/>
          <w:sz w:val="24"/>
          <w:szCs w:val="24"/>
          <w:highlight w:val="none"/>
          <w:lang w:val="en-US" w:eastAsia="zh-CN"/>
        </w:rPr>
        <w:t>4.1.3气候气象</w:t>
      </w:r>
      <w:bookmarkEnd w:id="139"/>
    </w:p>
    <w:p w14:paraId="4DE2C003">
      <w:pPr>
        <w:keepNext w:val="0"/>
        <w:keepLines w:val="0"/>
        <w:pageBreakBefore w:val="0"/>
        <w:widowControl/>
        <w:kinsoku w:val="0"/>
        <w:wordWrap/>
        <w:overflowPunct w:val="0"/>
        <w:topLinePunct w:val="0"/>
        <w:autoSpaceDE w:val="0"/>
        <w:autoSpaceDN w:val="0"/>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双鸭山市地处北半球中高纬度地区，属湿润寒温带大陆性季风气候，冬季漫长而</w:t>
      </w:r>
      <w:r>
        <w:rPr>
          <w:rFonts w:hint="default" w:ascii="Times New Roman" w:hAnsi="Times New Roman" w:eastAsia="宋体" w:cs="Times New Roman"/>
          <w:color w:val="auto"/>
          <w:spacing w:val="-3"/>
          <w:sz w:val="24"/>
          <w:szCs w:val="24"/>
          <w:highlight w:val="none"/>
        </w:rPr>
        <w:t>寒冷，常受西伯利亚寒流影响，夏季短促而温暖，</w:t>
      </w:r>
      <w:r>
        <w:rPr>
          <w:rFonts w:hint="default" w:ascii="Times New Roman" w:hAnsi="Times New Roman" w:eastAsia="宋体" w:cs="Times New Roman"/>
          <w:color w:val="auto"/>
          <w:spacing w:val="-4"/>
          <w:sz w:val="24"/>
          <w:szCs w:val="24"/>
          <w:highlight w:val="none"/>
        </w:rPr>
        <w:t>春秋两季气候多变，且昼夜温差较</w:t>
      </w:r>
      <w:r>
        <w:rPr>
          <w:rFonts w:hint="default" w:ascii="Times New Roman" w:hAnsi="Times New Roman" w:eastAsia="宋体" w:cs="Times New Roman"/>
          <w:color w:val="auto"/>
          <w:spacing w:val="-9"/>
          <w:sz w:val="24"/>
          <w:szCs w:val="24"/>
          <w:highlight w:val="none"/>
        </w:rPr>
        <w:t>大，春季回暖快而多风、干旱，秋季时有暴雨霜冻。根据</w:t>
      </w:r>
      <w:r>
        <w:rPr>
          <w:rFonts w:hint="default" w:ascii="Times New Roman" w:hAnsi="Times New Roman" w:eastAsia="宋体" w:cs="Times New Roman"/>
          <w:color w:val="auto"/>
          <w:spacing w:val="-10"/>
          <w:sz w:val="24"/>
          <w:szCs w:val="24"/>
          <w:highlight w:val="none"/>
        </w:rPr>
        <w:t>多年统计，其主要气候特征</w:t>
      </w:r>
      <w:r>
        <w:rPr>
          <w:rFonts w:hint="default" w:ascii="Times New Roman" w:hAnsi="Times New Roman" w:eastAsia="宋体" w:cs="Times New Roman"/>
          <w:color w:val="auto"/>
          <w:spacing w:val="-5"/>
          <w:sz w:val="24"/>
          <w:szCs w:val="24"/>
          <w:highlight w:val="none"/>
        </w:rPr>
        <w:t>为：全市年平均气温</w:t>
      </w:r>
      <w:r>
        <w:rPr>
          <w:rFonts w:hint="default" w:ascii="Times New Roman" w:hAnsi="Times New Roman" w:eastAsia="Times New Roman" w:cs="Times New Roman"/>
          <w:color w:val="auto"/>
          <w:spacing w:val="-5"/>
          <w:sz w:val="24"/>
          <w:szCs w:val="24"/>
          <w:highlight w:val="none"/>
        </w:rPr>
        <w:t>5.1</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宋体" w:cs="Times New Roman"/>
          <w:color w:val="auto"/>
          <w:spacing w:val="-5"/>
          <w:sz w:val="24"/>
          <w:szCs w:val="24"/>
          <w:highlight w:val="none"/>
          <w:lang w:eastAsia="zh-CN"/>
        </w:rPr>
        <w:t>，</w:t>
      </w:r>
      <w:r>
        <w:rPr>
          <w:rFonts w:hint="default" w:ascii="Times New Roman" w:hAnsi="Times New Roman" w:eastAsia="宋体" w:cs="Times New Roman"/>
          <w:color w:val="auto"/>
          <w:spacing w:val="-5"/>
          <w:sz w:val="24"/>
          <w:szCs w:val="24"/>
          <w:highlight w:val="none"/>
        </w:rPr>
        <w:t>最冷</w:t>
      </w:r>
      <w:r>
        <w:rPr>
          <w:rFonts w:hint="default" w:ascii="Times New Roman" w:hAnsi="Times New Roman" w:eastAsia="Times New Roman" w:cs="Times New Roman"/>
          <w:color w:val="auto"/>
          <w:spacing w:val="-5"/>
          <w:sz w:val="24"/>
          <w:szCs w:val="24"/>
          <w:highlight w:val="none"/>
        </w:rPr>
        <w:t>1</w:t>
      </w:r>
      <w:r>
        <w:rPr>
          <w:rFonts w:hint="default" w:ascii="Times New Roman" w:hAnsi="Times New Roman" w:eastAsia="宋体" w:cs="Times New Roman"/>
          <w:color w:val="auto"/>
          <w:spacing w:val="-5"/>
          <w:sz w:val="24"/>
          <w:szCs w:val="24"/>
          <w:highlight w:val="none"/>
        </w:rPr>
        <w:t>月平均气温</w:t>
      </w:r>
      <w:r>
        <w:rPr>
          <w:rFonts w:hint="default" w:ascii="Times New Roman" w:hAnsi="Times New Roman" w:eastAsia="Times New Roman" w:cs="Times New Roman"/>
          <w:color w:val="auto"/>
          <w:spacing w:val="-5"/>
          <w:sz w:val="24"/>
          <w:szCs w:val="24"/>
          <w:highlight w:val="none"/>
        </w:rPr>
        <w:t>-15.1</w:t>
      </w:r>
      <w:r>
        <w:rPr>
          <w:rFonts w:hint="default" w:ascii="Times New Roman" w:hAnsi="Times New Roman" w:eastAsia="宋体" w:cs="Times New Roman"/>
          <w:color w:val="auto"/>
          <w:spacing w:val="-5"/>
          <w:sz w:val="24"/>
          <w:szCs w:val="24"/>
          <w:highlight w:val="none"/>
        </w:rPr>
        <w:t>℃,极端最低温度五年均值</w:t>
      </w:r>
      <w:r>
        <w:rPr>
          <w:rFonts w:hint="default" w:ascii="Times New Roman" w:hAnsi="Times New Roman" w:eastAsia="Times New Roman" w:cs="Times New Roman"/>
          <w:color w:val="auto"/>
          <w:spacing w:val="-5"/>
          <w:sz w:val="24"/>
          <w:szCs w:val="24"/>
          <w:highlight w:val="none"/>
        </w:rPr>
        <w:t>-27.9</w:t>
      </w: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宋体" w:cs="Times New Roman"/>
          <w:color w:val="auto"/>
          <w:spacing w:val="-5"/>
          <w:sz w:val="24"/>
          <w:szCs w:val="24"/>
          <w:highlight w:val="none"/>
          <w:lang w:eastAsia="zh-CN"/>
        </w:rPr>
        <w:t>；</w:t>
      </w:r>
      <w:r>
        <w:rPr>
          <w:rFonts w:hint="default" w:ascii="Times New Roman" w:hAnsi="Times New Roman" w:eastAsia="宋体" w:cs="Times New Roman"/>
          <w:color w:val="auto"/>
          <w:sz w:val="24"/>
          <w:szCs w:val="24"/>
          <w:highlight w:val="none"/>
        </w:rPr>
        <w:t>最热气温</w:t>
      </w:r>
      <w:r>
        <w:rPr>
          <w:rFonts w:hint="default" w:ascii="Times New Roman" w:hAnsi="Times New Roman" w:eastAsia="Times New Roman" w:cs="Times New Roman"/>
          <w:color w:val="auto"/>
          <w:sz w:val="24"/>
          <w:szCs w:val="24"/>
          <w:highlight w:val="none"/>
        </w:rPr>
        <w:t>7</w:t>
      </w:r>
      <w:r>
        <w:rPr>
          <w:rFonts w:hint="default" w:ascii="Times New Roman" w:hAnsi="Times New Roman" w:eastAsia="宋体" w:cs="Times New Roman"/>
          <w:color w:val="auto"/>
          <w:sz w:val="24"/>
          <w:szCs w:val="24"/>
          <w:highlight w:val="none"/>
        </w:rPr>
        <w:t>月均值</w:t>
      </w:r>
      <w:r>
        <w:rPr>
          <w:rFonts w:hint="default" w:ascii="Times New Roman" w:hAnsi="Times New Roman" w:eastAsia="Times New Roman" w:cs="Times New Roman"/>
          <w:color w:val="auto"/>
          <w:sz w:val="24"/>
          <w:szCs w:val="24"/>
          <w:highlight w:val="none"/>
        </w:rPr>
        <w:t>22.5</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极端最高温度五年均值</w:t>
      </w:r>
      <w:r>
        <w:rPr>
          <w:rFonts w:hint="default" w:ascii="Times New Roman" w:hAnsi="Times New Roman" w:eastAsia="Times New Roman" w:cs="Times New Roman"/>
          <w:color w:val="auto"/>
          <w:sz w:val="24"/>
          <w:szCs w:val="24"/>
          <w:highlight w:val="none"/>
        </w:rPr>
        <w:t>34.7</w:t>
      </w:r>
      <w:r>
        <w:rPr>
          <w:rFonts w:hint="default" w:ascii="Times New Roman" w:hAnsi="Times New Roman" w:eastAsia="宋体" w:cs="Times New Roman"/>
          <w:color w:val="auto"/>
          <w:sz w:val="24"/>
          <w:szCs w:val="24"/>
          <w:highlight w:val="none"/>
        </w:rPr>
        <w:t>℃。年无霜期在</w:t>
      </w:r>
      <w:r>
        <w:rPr>
          <w:rFonts w:hint="default" w:ascii="Times New Roman" w:hAnsi="Times New Roman" w:eastAsia="Times New Roman" w:cs="Times New Roman"/>
          <w:color w:val="auto"/>
          <w:sz w:val="24"/>
          <w:szCs w:val="24"/>
          <w:highlight w:val="none"/>
        </w:rPr>
        <w:t>136</w:t>
      </w:r>
      <w:r>
        <w:rPr>
          <w:rFonts w:hint="default" w:ascii="Times New Roman" w:hAnsi="Times New Roman" w:eastAsia="宋体" w:cs="Times New Roman"/>
          <w:color w:val="auto"/>
          <w:sz w:val="24"/>
          <w:szCs w:val="24"/>
          <w:highlight w:val="none"/>
        </w:rPr>
        <w:t>天左右。</w:t>
      </w:r>
      <w:r>
        <w:rPr>
          <w:rFonts w:hint="default" w:ascii="Times New Roman" w:hAnsi="Times New Roman" w:eastAsia="宋体" w:cs="Times New Roman"/>
          <w:color w:val="auto"/>
          <w:spacing w:val="-4"/>
          <w:sz w:val="24"/>
          <w:szCs w:val="24"/>
          <w:highlight w:val="none"/>
        </w:rPr>
        <w:t>双鸭山主导风向为</w:t>
      </w:r>
      <w:r>
        <w:rPr>
          <w:rFonts w:hint="default" w:ascii="Times New Roman" w:hAnsi="Times New Roman" w:eastAsia="Times New Roman" w:cs="Times New Roman"/>
          <w:color w:val="auto"/>
          <w:spacing w:val="-4"/>
          <w:sz w:val="24"/>
          <w:szCs w:val="24"/>
          <w:highlight w:val="none"/>
        </w:rPr>
        <w:t>SSW</w:t>
      </w:r>
      <w:r>
        <w:rPr>
          <w:rFonts w:hint="default" w:ascii="Times New Roman" w:hAnsi="Times New Roman" w:eastAsia="宋体" w:cs="Times New Roman"/>
          <w:color w:val="auto"/>
          <w:spacing w:val="-4"/>
          <w:sz w:val="24"/>
          <w:szCs w:val="24"/>
          <w:highlight w:val="none"/>
        </w:rPr>
        <w:t>，年平均风速为</w:t>
      </w:r>
      <w:r>
        <w:rPr>
          <w:rFonts w:hint="default" w:ascii="Times New Roman" w:hAnsi="Times New Roman" w:eastAsia="Times New Roman" w:cs="Times New Roman"/>
          <w:color w:val="auto"/>
          <w:spacing w:val="-4"/>
          <w:sz w:val="24"/>
          <w:szCs w:val="24"/>
          <w:highlight w:val="none"/>
        </w:rPr>
        <w:t>1.8m/s</w:t>
      </w:r>
      <w:r>
        <w:rPr>
          <w:rFonts w:hint="default" w:ascii="Times New Roman" w:hAnsi="Times New Roman" w:eastAsia="宋体" w:cs="Times New Roman"/>
          <w:color w:val="auto"/>
          <w:spacing w:val="-4"/>
          <w:sz w:val="24"/>
          <w:szCs w:val="24"/>
          <w:highlight w:val="none"/>
        </w:rPr>
        <w:t>。</w:t>
      </w:r>
    </w:p>
    <w:p w14:paraId="119D955E">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双鸭山市降水量的分布与地形变化一致，从西南向东北递减，但变化不大，多年</w:t>
      </w:r>
      <w:r>
        <w:rPr>
          <w:rFonts w:hint="default" w:ascii="Times New Roman" w:hAnsi="Times New Roman" w:eastAsia="宋体" w:cs="Times New Roman"/>
          <w:color w:val="auto"/>
          <w:spacing w:val="-2"/>
          <w:sz w:val="24"/>
          <w:szCs w:val="24"/>
          <w:highlight w:val="none"/>
        </w:rPr>
        <w:t>平均降水量在</w:t>
      </w:r>
      <w:r>
        <w:rPr>
          <w:rFonts w:hint="default" w:ascii="Times New Roman" w:hAnsi="Times New Roman" w:eastAsia="Times New Roman" w:cs="Times New Roman"/>
          <w:color w:val="auto"/>
          <w:spacing w:val="-2"/>
          <w:sz w:val="24"/>
          <w:szCs w:val="24"/>
          <w:highlight w:val="none"/>
        </w:rPr>
        <w:t>505</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554mm</w:t>
      </w:r>
      <w:r>
        <w:rPr>
          <w:rFonts w:hint="default" w:ascii="Times New Roman" w:hAnsi="Times New Roman" w:eastAsia="宋体" w:cs="Times New Roman"/>
          <w:color w:val="auto"/>
          <w:spacing w:val="-2"/>
          <w:sz w:val="24"/>
          <w:szCs w:val="24"/>
          <w:highlight w:val="none"/>
        </w:rPr>
        <w:t>。山丘区降水大于</w:t>
      </w:r>
      <w:r>
        <w:rPr>
          <w:rFonts w:hint="default" w:ascii="Times New Roman" w:hAnsi="Times New Roman" w:eastAsia="宋体" w:cs="Times New Roman"/>
          <w:color w:val="auto"/>
          <w:spacing w:val="-3"/>
          <w:sz w:val="24"/>
          <w:szCs w:val="24"/>
          <w:highlight w:val="none"/>
        </w:rPr>
        <w:t>平原区，暴雨集中在</w:t>
      </w:r>
      <w:r>
        <w:rPr>
          <w:rFonts w:hint="default" w:ascii="Times New Roman" w:hAnsi="Times New Roman" w:eastAsia="Times New Roman" w:cs="Times New Roman"/>
          <w:color w:val="auto"/>
          <w:spacing w:val="-3"/>
          <w:sz w:val="24"/>
          <w:szCs w:val="24"/>
          <w:highlight w:val="none"/>
        </w:rPr>
        <w:t>7</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8</w:t>
      </w:r>
      <w:r>
        <w:rPr>
          <w:rFonts w:hint="default" w:ascii="Times New Roman" w:hAnsi="Times New Roman" w:eastAsia="宋体" w:cs="Times New Roman"/>
          <w:color w:val="auto"/>
          <w:spacing w:val="-3"/>
          <w:sz w:val="24"/>
          <w:szCs w:val="24"/>
          <w:highlight w:val="none"/>
        </w:rPr>
        <w:t>月份，</w:t>
      </w:r>
      <w:r>
        <w:rPr>
          <w:rFonts w:hint="default" w:ascii="Times New Roman" w:hAnsi="Times New Roman" w:eastAsia="Times New Roman" w:cs="Times New Roman"/>
          <w:color w:val="auto"/>
          <w:spacing w:val="-3"/>
          <w:sz w:val="24"/>
          <w:szCs w:val="24"/>
          <w:highlight w:val="none"/>
        </w:rPr>
        <w:t>6</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8</w:t>
      </w:r>
      <w:r>
        <w:rPr>
          <w:rFonts w:hint="default" w:ascii="Times New Roman" w:hAnsi="Times New Roman" w:eastAsia="宋体" w:cs="Times New Roman"/>
          <w:color w:val="auto"/>
          <w:spacing w:val="-3"/>
          <w:sz w:val="24"/>
          <w:szCs w:val="24"/>
          <w:highlight w:val="none"/>
        </w:rPr>
        <w:t>月降水量占年降水量的</w:t>
      </w:r>
      <w:r>
        <w:rPr>
          <w:rFonts w:hint="default" w:ascii="Times New Roman" w:hAnsi="Times New Roman" w:eastAsia="Times New Roman" w:cs="Times New Roman"/>
          <w:color w:val="auto"/>
          <w:spacing w:val="-3"/>
          <w:sz w:val="24"/>
          <w:szCs w:val="24"/>
          <w:highlight w:val="none"/>
        </w:rPr>
        <w:t>60.5%</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1</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月及</w:t>
      </w:r>
      <w:r>
        <w:rPr>
          <w:rFonts w:hint="default" w:ascii="Times New Roman" w:hAnsi="Times New Roman" w:eastAsia="Times New Roman" w:cs="Times New Roman"/>
          <w:color w:val="auto"/>
          <w:spacing w:val="-3"/>
          <w:sz w:val="24"/>
          <w:szCs w:val="24"/>
          <w:highlight w:val="none"/>
        </w:rPr>
        <w:t>12</w:t>
      </w:r>
      <w:r>
        <w:rPr>
          <w:rFonts w:hint="default" w:ascii="Times New Roman" w:hAnsi="Times New Roman" w:eastAsia="宋体" w:cs="Times New Roman"/>
          <w:color w:val="auto"/>
          <w:spacing w:val="-3"/>
          <w:sz w:val="24"/>
          <w:szCs w:val="24"/>
          <w:highlight w:val="none"/>
        </w:rPr>
        <w:t>月降水量只占年降水量的</w:t>
      </w:r>
      <w:r>
        <w:rPr>
          <w:rFonts w:hint="default" w:ascii="Times New Roman" w:hAnsi="Times New Roman" w:eastAsia="Times New Roman" w:cs="Times New Roman"/>
          <w:color w:val="auto"/>
          <w:spacing w:val="-3"/>
          <w:sz w:val="24"/>
          <w:szCs w:val="24"/>
          <w:highlight w:val="none"/>
        </w:rPr>
        <w:t>3.6%</w:t>
      </w:r>
      <w:r>
        <w:rPr>
          <w:rFonts w:hint="default" w:ascii="Times New Roman" w:hAnsi="Times New Roman" w:eastAsia="宋体" w:cs="Times New Roman"/>
          <w:color w:val="auto"/>
          <w:spacing w:val="-3"/>
          <w:sz w:val="24"/>
          <w:szCs w:val="24"/>
          <w:highlight w:val="none"/>
        </w:rPr>
        <w:t>；春秋两季分别占</w:t>
      </w:r>
      <w:r>
        <w:rPr>
          <w:rFonts w:hint="default" w:ascii="Times New Roman" w:hAnsi="Times New Roman" w:eastAsia="Times New Roman" w:cs="Times New Roman"/>
          <w:color w:val="auto"/>
          <w:spacing w:val="-3"/>
          <w:sz w:val="24"/>
          <w:szCs w:val="24"/>
          <w:highlight w:val="none"/>
        </w:rPr>
        <w:t>14.8%</w:t>
      </w:r>
      <w:r>
        <w:rPr>
          <w:rFonts w:hint="default" w:ascii="Times New Roman" w:hAnsi="Times New Roman" w:eastAsia="宋体" w:cs="Times New Roman"/>
          <w:color w:val="auto"/>
          <w:spacing w:val="-3"/>
          <w:sz w:val="24"/>
          <w:szCs w:val="24"/>
          <w:highlight w:val="none"/>
        </w:rPr>
        <w:t>和</w:t>
      </w:r>
      <w:r>
        <w:rPr>
          <w:rFonts w:hint="default" w:ascii="Times New Roman" w:hAnsi="Times New Roman" w:eastAsia="Times New Roman" w:cs="Times New Roman"/>
          <w:color w:val="auto"/>
          <w:spacing w:val="-3"/>
          <w:sz w:val="24"/>
          <w:szCs w:val="24"/>
          <w:highlight w:val="none"/>
        </w:rPr>
        <w:t>21.1%</w:t>
      </w:r>
      <w:r>
        <w:rPr>
          <w:rFonts w:hint="default" w:ascii="Times New Roman" w:hAnsi="Times New Roman" w:eastAsia="宋体" w:cs="Times New Roman"/>
          <w:color w:val="auto"/>
          <w:spacing w:val="-3"/>
          <w:sz w:val="24"/>
          <w:szCs w:val="24"/>
          <w:highlight w:val="none"/>
        </w:rPr>
        <w:t>。</w:t>
      </w:r>
    </w:p>
    <w:p w14:paraId="4DA9788A">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40" w:name="_Toc25493"/>
      <w:r>
        <w:rPr>
          <w:rFonts w:hint="default" w:ascii="Times New Roman" w:hAnsi="Times New Roman" w:eastAsia="宋体" w:cs="Times New Roman"/>
          <w:b/>
          <w:bCs/>
          <w:color w:val="auto"/>
          <w:spacing w:val="-2"/>
          <w:sz w:val="24"/>
          <w:szCs w:val="24"/>
          <w:highlight w:val="none"/>
          <w:lang w:val="en-US" w:eastAsia="zh-CN"/>
        </w:rPr>
        <w:t>4.1.4水文</w:t>
      </w:r>
      <w:bookmarkEnd w:id="140"/>
    </w:p>
    <w:p w14:paraId="42E8F416">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双鸭山市境内有大小河流百条，大都属于老龄期河道，河床窄小，无自然湖泊，</w:t>
      </w:r>
      <w:r>
        <w:rPr>
          <w:rFonts w:hint="default" w:ascii="Times New Roman" w:hAnsi="Times New Roman" w:eastAsia="宋体" w:cs="Times New Roman"/>
          <w:color w:val="auto"/>
          <w:spacing w:val="-11"/>
          <w:sz w:val="24"/>
          <w:szCs w:val="24"/>
          <w:highlight w:val="none"/>
        </w:rPr>
        <w:t>主要河流有安邦河、二道河、小黄河、（外）七星河、挠力河。安邦河属松花江水系，</w:t>
      </w:r>
      <w:r>
        <w:rPr>
          <w:rFonts w:hint="default" w:ascii="Times New Roman" w:hAnsi="Times New Roman" w:eastAsia="宋体" w:cs="Times New Roman"/>
          <w:color w:val="auto"/>
          <w:spacing w:val="-7"/>
          <w:sz w:val="24"/>
          <w:szCs w:val="24"/>
          <w:highlight w:val="none"/>
        </w:rPr>
        <w:t>由南向北注入松花江；二道河、小黄河、七星河、挠</w:t>
      </w:r>
      <w:r>
        <w:rPr>
          <w:rFonts w:hint="default" w:ascii="Times New Roman" w:hAnsi="Times New Roman" w:eastAsia="宋体" w:cs="Times New Roman"/>
          <w:color w:val="auto"/>
          <w:spacing w:val="-8"/>
          <w:sz w:val="24"/>
          <w:szCs w:val="24"/>
          <w:highlight w:val="none"/>
        </w:rPr>
        <w:t>力河属于乌苏里江水系，由西向</w:t>
      </w:r>
      <w:r>
        <w:rPr>
          <w:rFonts w:hint="default" w:ascii="Times New Roman" w:hAnsi="Times New Roman" w:eastAsia="宋体" w:cs="Times New Roman"/>
          <w:color w:val="auto"/>
          <w:spacing w:val="-5"/>
          <w:sz w:val="24"/>
          <w:szCs w:val="24"/>
          <w:highlight w:val="none"/>
        </w:rPr>
        <w:t>东流入乌苏里江。</w:t>
      </w:r>
    </w:p>
    <w:p w14:paraId="4CDBC69C">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本项目周边水体为安邦河，位于双鸭山尖山区西部，为松花江右岸一级支流，发</w:t>
      </w:r>
      <w:r>
        <w:rPr>
          <w:rFonts w:hint="default" w:ascii="Times New Roman" w:hAnsi="Times New Roman" w:eastAsia="宋体" w:cs="Times New Roman"/>
          <w:color w:val="auto"/>
          <w:spacing w:val="-3"/>
          <w:sz w:val="24"/>
          <w:szCs w:val="24"/>
          <w:highlight w:val="none"/>
        </w:rPr>
        <w:t>源于市区内的完达山余脉七星砬子东分水岭北麓，自南向东，</w:t>
      </w:r>
      <w:r>
        <w:rPr>
          <w:rFonts w:hint="default" w:ascii="Times New Roman" w:hAnsi="Times New Roman" w:eastAsia="宋体" w:cs="Times New Roman"/>
          <w:color w:val="auto"/>
          <w:spacing w:val="-4"/>
          <w:sz w:val="24"/>
          <w:szCs w:val="24"/>
          <w:highlight w:val="none"/>
        </w:rPr>
        <w:t>流经寒葱沟、二站、定</w:t>
      </w:r>
      <w:r>
        <w:rPr>
          <w:rFonts w:hint="default" w:ascii="Times New Roman" w:hAnsi="Times New Roman" w:eastAsia="宋体" w:cs="Times New Roman"/>
          <w:color w:val="auto"/>
          <w:sz w:val="24"/>
          <w:szCs w:val="24"/>
          <w:highlight w:val="none"/>
        </w:rPr>
        <w:t>国山、尖山子等地至滚兔岭后入集贤县境。干</w:t>
      </w:r>
      <w:r>
        <w:rPr>
          <w:rFonts w:hint="default" w:ascii="Times New Roman" w:hAnsi="Times New Roman" w:eastAsia="宋体" w:cs="Times New Roman"/>
          <w:color w:val="auto"/>
          <w:spacing w:val="-1"/>
          <w:sz w:val="24"/>
          <w:szCs w:val="24"/>
          <w:highlight w:val="none"/>
        </w:rPr>
        <w:t>流总长度</w:t>
      </w:r>
      <w:r>
        <w:rPr>
          <w:rFonts w:hint="default" w:ascii="Times New Roman" w:hAnsi="Times New Roman" w:eastAsia="Times New Roman" w:cs="Times New Roman"/>
          <w:color w:val="auto"/>
          <w:spacing w:val="-1"/>
          <w:sz w:val="24"/>
          <w:szCs w:val="24"/>
          <w:highlight w:val="none"/>
        </w:rPr>
        <w:t>44km</w:t>
      </w:r>
      <w:r>
        <w:rPr>
          <w:rFonts w:hint="default" w:ascii="Times New Roman" w:hAnsi="Times New Roman" w:eastAsia="宋体" w:cs="Times New Roman"/>
          <w:color w:val="auto"/>
          <w:spacing w:val="-1"/>
          <w:sz w:val="24"/>
          <w:szCs w:val="24"/>
          <w:highlight w:val="none"/>
        </w:rPr>
        <w:t>，为山丘区，河道比较</w:t>
      </w:r>
      <w:r>
        <w:rPr>
          <w:rFonts w:hint="default" w:ascii="Times New Roman" w:hAnsi="Times New Roman" w:eastAsia="宋体" w:cs="Times New Roman"/>
          <w:color w:val="auto"/>
          <w:sz w:val="24"/>
          <w:szCs w:val="24"/>
          <w:highlight w:val="none"/>
        </w:rPr>
        <w:t>稳定顺直，比降</w:t>
      </w:r>
      <w:r>
        <w:rPr>
          <w:rFonts w:hint="default" w:ascii="Times New Roman" w:hAnsi="Times New Roman" w:eastAsia="Times New Roman" w:cs="Times New Roman"/>
          <w:color w:val="auto"/>
          <w:sz w:val="24"/>
          <w:szCs w:val="24"/>
          <w:highlight w:val="none"/>
        </w:rPr>
        <w:t>1/60</w:t>
      </w:r>
      <w:r>
        <w:rPr>
          <w:rFonts w:hint="default" w:ascii="Times New Roman" w:hAnsi="Times New Roman" w:eastAsia="宋体" w:cs="Times New Roman"/>
          <w:color w:val="auto"/>
          <w:sz w:val="24"/>
          <w:szCs w:val="24"/>
          <w:highlight w:val="none"/>
        </w:rPr>
        <w:t>左右，安邦河流经尖山</w:t>
      </w:r>
      <w:r>
        <w:rPr>
          <w:rFonts w:hint="default" w:ascii="Times New Roman" w:hAnsi="Times New Roman" w:eastAsia="宋体" w:cs="Times New Roman"/>
          <w:color w:val="auto"/>
          <w:spacing w:val="-1"/>
          <w:sz w:val="24"/>
          <w:szCs w:val="24"/>
          <w:highlight w:val="none"/>
        </w:rPr>
        <w:t>区长度为</w:t>
      </w:r>
      <w:r>
        <w:rPr>
          <w:rFonts w:hint="default" w:ascii="Times New Roman" w:hAnsi="Times New Roman" w:eastAsia="Times New Roman" w:cs="Times New Roman"/>
          <w:color w:val="auto"/>
          <w:spacing w:val="-1"/>
          <w:sz w:val="24"/>
          <w:szCs w:val="24"/>
          <w:highlight w:val="none"/>
        </w:rPr>
        <w:t>13.8km</w:t>
      </w:r>
      <w:r>
        <w:rPr>
          <w:rFonts w:hint="default" w:ascii="Times New Roman" w:hAnsi="Times New Roman" w:eastAsia="宋体" w:cs="Times New Roman"/>
          <w:color w:val="auto"/>
          <w:spacing w:val="-1"/>
          <w:sz w:val="24"/>
          <w:szCs w:val="24"/>
          <w:highlight w:val="none"/>
        </w:rPr>
        <w:t>。安邦河最大流量为</w:t>
      </w:r>
      <w:r>
        <w:rPr>
          <w:rFonts w:hint="default" w:ascii="Times New Roman" w:hAnsi="Times New Roman" w:eastAsia="Times New Roman" w:cs="Times New Roman"/>
          <w:color w:val="auto"/>
          <w:spacing w:val="-4"/>
          <w:sz w:val="24"/>
          <w:szCs w:val="24"/>
          <w:highlight w:val="none"/>
        </w:rPr>
        <w:t>4.95m</w:t>
      </w:r>
      <w:r>
        <w:rPr>
          <w:rFonts w:hint="default" w:ascii="Times New Roman" w:hAnsi="Times New Roman" w:eastAsia="Times New Roman" w:cs="Times New Roman"/>
          <w:color w:val="auto"/>
          <w:spacing w:val="-4"/>
          <w:sz w:val="24"/>
          <w:szCs w:val="24"/>
          <w:highlight w:val="none"/>
          <w:vertAlign w:val="superscript"/>
        </w:rPr>
        <w:t>3</w:t>
      </w:r>
      <w:r>
        <w:rPr>
          <w:rFonts w:hint="default" w:ascii="Times New Roman" w:hAnsi="Times New Roman" w:eastAsia="Times New Roman" w:cs="Times New Roman"/>
          <w:color w:val="auto"/>
          <w:spacing w:val="-4"/>
          <w:sz w:val="24"/>
          <w:szCs w:val="24"/>
          <w:highlight w:val="none"/>
        </w:rPr>
        <w:t>/s</w:t>
      </w:r>
      <w:r>
        <w:rPr>
          <w:rFonts w:hint="default" w:ascii="Times New Roman" w:hAnsi="Times New Roman" w:eastAsia="宋体" w:cs="Times New Roman"/>
          <w:color w:val="auto"/>
          <w:spacing w:val="-4"/>
          <w:sz w:val="24"/>
          <w:szCs w:val="24"/>
          <w:highlight w:val="none"/>
        </w:rPr>
        <w:t>，冬季流量很小，最大洪水位海拔标高</w:t>
      </w:r>
      <w:r>
        <w:rPr>
          <w:rFonts w:hint="default" w:ascii="Times New Roman" w:hAnsi="Times New Roman" w:eastAsia="Times New Roman" w:cs="Times New Roman"/>
          <w:color w:val="auto"/>
          <w:spacing w:val="-4"/>
          <w:sz w:val="24"/>
          <w:szCs w:val="24"/>
          <w:highlight w:val="none"/>
        </w:rPr>
        <w:t>104.424m</w:t>
      </w:r>
      <w:r>
        <w:rPr>
          <w:rFonts w:hint="default" w:ascii="Times New Roman" w:hAnsi="Times New Roman" w:eastAsia="宋体" w:cs="Times New Roman"/>
          <w:color w:val="auto"/>
          <w:spacing w:val="-4"/>
          <w:sz w:val="24"/>
          <w:szCs w:val="24"/>
          <w:highlight w:val="none"/>
        </w:rPr>
        <w:t>，流经长度为</w:t>
      </w:r>
      <w:r>
        <w:rPr>
          <w:rFonts w:hint="default" w:ascii="Times New Roman" w:hAnsi="Times New Roman" w:eastAsia="Times New Roman" w:cs="Times New Roman"/>
          <w:color w:val="auto"/>
          <w:spacing w:val="-4"/>
          <w:sz w:val="24"/>
          <w:szCs w:val="24"/>
          <w:highlight w:val="none"/>
        </w:rPr>
        <w:t>167km</w:t>
      </w:r>
      <w:r>
        <w:rPr>
          <w:rFonts w:hint="default" w:ascii="Times New Roman" w:hAnsi="Times New Roman" w:eastAsia="宋体" w:cs="Times New Roman"/>
          <w:color w:val="auto"/>
          <w:spacing w:val="-4"/>
          <w:sz w:val="24"/>
          <w:szCs w:val="24"/>
          <w:highlight w:val="none"/>
        </w:rPr>
        <w:t>，流域</w:t>
      </w:r>
      <w:r>
        <w:rPr>
          <w:rFonts w:hint="default" w:ascii="Times New Roman" w:hAnsi="Times New Roman" w:eastAsia="宋体" w:cs="Times New Roman"/>
          <w:color w:val="auto"/>
          <w:spacing w:val="-3"/>
          <w:sz w:val="24"/>
          <w:szCs w:val="24"/>
          <w:highlight w:val="none"/>
        </w:rPr>
        <w:t>面积</w:t>
      </w:r>
      <w:r>
        <w:rPr>
          <w:rFonts w:hint="default" w:ascii="Times New Roman" w:hAnsi="Times New Roman" w:eastAsia="Times New Roman" w:cs="Times New Roman"/>
          <w:color w:val="auto"/>
          <w:spacing w:val="-3"/>
          <w:sz w:val="24"/>
          <w:szCs w:val="24"/>
          <w:highlight w:val="none"/>
        </w:rPr>
        <w:t>1678.9km</w:t>
      </w:r>
      <w:r>
        <w:rPr>
          <w:rFonts w:hint="default" w:ascii="Times New Roman" w:hAnsi="Times New Roman" w:eastAsia="Times New Roman" w:cs="Times New Roman"/>
          <w:color w:val="auto"/>
          <w:spacing w:val="-3"/>
          <w:position w:val="10"/>
          <w:sz w:val="16"/>
          <w:szCs w:val="16"/>
          <w:highlight w:val="none"/>
        </w:rPr>
        <w:t>2</w:t>
      </w:r>
      <w:r>
        <w:rPr>
          <w:rFonts w:hint="default" w:ascii="Times New Roman" w:hAnsi="Times New Roman" w:eastAsia="宋体" w:cs="Times New Roman"/>
          <w:color w:val="auto"/>
          <w:spacing w:val="-3"/>
          <w:sz w:val="24"/>
          <w:szCs w:val="24"/>
          <w:highlight w:val="none"/>
        </w:rPr>
        <w:t>。</w:t>
      </w:r>
    </w:p>
    <w:p w14:paraId="20C1868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141" w:name="_Toc3339"/>
      <w:r>
        <w:rPr>
          <w:rFonts w:hint="default" w:ascii="Times New Roman" w:hAnsi="Times New Roman" w:eastAsia="Times New Roman" w:cs="Times New Roman"/>
          <w:b/>
          <w:bCs/>
          <w:color w:val="auto"/>
          <w:spacing w:val="-5"/>
          <w:sz w:val="28"/>
          <w:szCs w:val="28"/>
          <w:highlight w:val="none"/>
        </w:rPr>
        <w:t>4.2环境保护目标调查</w:t>
      </w:r>
      <w:bookmarkEnd w:id="141"/>
    </w:p>
    <w:p w14:paraId="3C7FAFE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42" w:name="_Toc25388"/>
      <w:r>
        <w:rPr>
          <w:rFonts w:hint="default" w:ascii="Times New Roman" w:hAnsi="Times New Roman" w:eastAsia="宋体" w:cs="Times New Roman"/>
          <w:b/>
          <w:bCs/>
          <w:color w:val="auto"/>
          <w:spacing w:val="-2"/>
          <w:sz w:val="24"/>
          <w:szCs w:val="24"/>
          <w:highlight w:val="none"/>
          <w:lang w:val="en-US" w:eastAsia="zh-CN"/>
        </w:rPr>
        <w:t>4.2.1环境功能区划</w:t>
      </w:r>
      <w:bookmarkEnd w:id="142"/>
    </w:p>
    <w:p w14:paraId="63CFE944">
      <w:pPr>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snapToGrid w:val="0"/>
          <w:color w:val="auto"/>
          <w:kern w:val="0"/>
          <w:sz w:val="24"/>
          <w:szCs w:val="24"/>
          <w:highlight w:val="none"/>
        </w:rPr>
      </w:pPr>
      <w:r>
        <w:rPr>
          <w:rFonts w:hint="default" w:ascii="Times New Roman" w:hAnsi="Times New Roman" w:cs="Times New Roman"/>
          <w:snapToGrid w:val="0"/>
          <w:color w:val="auto"/>
          <w:kern w:val="0"/>
          <w:sz w:val="24"/>
          <w:szCs w:val="24"/>
          <w:highlight w:val="none"/>
        </w:rPr>
        <w:t>（1）环境空气</w:t>
      </w:r>
    </w:p>
    <w:p w14:paraId="14FE1AE8">
      <w:pPr>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snapToGrid w:val="0"/>
          <w:color w:val="auto"/>
          <w:kern w:val="0"/>
          <w:sz w:val="24"/>
          <w:szCs w:val="24"/>
          <w:highlight w:val="none"/>
        </w:rPr>
      </w:pPr>
      <w:r>
        <w:rPr>
          <w:rFonts w:hint="default" w:ascii="Times New Roman" w:hAnsi="Times New Roman" w:cs="Times New Roman"/>
          <w:snapToGrid w:val="0"/>
          <w:color w:val="auto"/>
          <w:kern w:val="0"/>
          <w:sz w:val="24"/>
          <w:szCs w:val="24"/>
          <w:highlight w:val="none"/>
        </w:rPr>
        <w:t>根据环境空气质量功能区划，场址位于《环境空气质量标准》（GB3095-2012）及修改单中二类区。</w:t>
      </w:r>
    </w:p>
    <w:p w14:paraId="3BFCBEF0">
      <w:pPr>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snapToGrid w:val="0"/>
          <w:color w:val="auto"/>
          <w:kern w:val="0"/>
          <w:sz w:val="24"/>
          <w:szCs w:val="24"/>
          <w:highlight w:val="green"/>
        </w:rPr>
      </w:pPr>
      <w:r>
        <w:rPr>
          <w:rFonts w:hint="default" w:ascii="Times New Roman" w:hAnsi="Times New Roman" w:cs="Times New Roman"/>
          <w:snapToGrid w:val="0"/>
          <w:color w:val="auto"/>
          <w:kern w:val="0"/>
          <w:sz w:val="24"/>
          <w:szCs w:val="24"/>
          <w:highlight w:val="green"/>
        </w:rPr>
        <w:t>（2）地表水环境</w:t>
      </w:r>
    </w:p>
    <w:p w14:paraId="2C2DF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kern w:val="0"/>
          <w:sz w:val="24"/>
          <w:szCs w:val="24"/>
          <w:highlight w:val="green"/>
          <w:lang w:val="en-US" w:eastAsia="zh-CN" w:bidi="ar-SA"/>
        </w:rPr>
      </w:pPr>
      <w:r>
        <w:rPr>
          <w:rFonts w:hint="default" w:ascii="Times New Roman" w:hAnsi="Times New Roman" w:eastAsia="宋体" w:cs="Times New Roman"/>
          <w:color w:val="auto"/>
          <w:kern w:val="0"/>
          <w:sz w:val="24"/>
          <w:szCs w:val="24"/>
          <w:highlight w:val="green"/>
        </w:rPr>
        <w:t>本项目</w:t>
      </w:r>
      <w:r>
        <w:rPr>
          <w:rFonts w:hint="default" w:ascii="Times New Roman" w:hAnsi="Times New Roman" w:eastAsia="宋体" w:cs="Times New Roman"/>
          <w:color w:val="auto"/>
          <w:kern w:val="0"/>
          <w:sz w:val="24"/>
          <w:szCs w:val="24"/>
          <w:highlight w:val="green"/>
          <w:lang w:val="en-US" w:eastAsia="zh-CN"/>
        </w:rPr>
        <w:t>附近地表水体为安邦河</w:t>
      </w:r>
      <w:r>
        <w:rPr>
          <w:rFonts w:hint="default" w:ascii="Times New Roman" w:hAnsi="Times New Roman" w:eastAsia="宋体" w:cs="Times New Roman"/>
          <w:color w:val="auto"/>
          <w:kern w:val="0"/>
          <w:sz w:val="24"/>
          <w:szCs w:val="24"/>
          <w:highlight w:val="green"/>
        </w:rPr>
        <w:t>，</w:t>
      </w:r>
      <w:r>
        <w:rPr>
          <w:rFonts w:hint="default" w:ascii="Times New Roman" w:hAnsi="Times New Roman" w:eastAsia="宋体" w:cs="Times New Roman"/>
          <w:color w:val="auto"/>
          <w:kern w:val="0"/>
          <w:sz w:val="24"/>
          <w:szCs w:val="24"/>
          <w:highlight w:val="green"/>
          <w:lang w:val="en-US" w:eastAsia="zh-CN" w:bidi="ar-SA"/>
        </w:rPr>
        <w:t>安邦河为松花江右岸支流，根据《全国重要江河湖泊水功能区（2011-2030）》，确定该段水质目标为Ⅳ类水体。根据《2024年黑龙江省生态环境质量状况》，双鸭山市参与国家考核计算的断面共6个，Ⅰ~Ⅲ类水质比例为66.7%，无劣V类水质断面。与上年同期相比，Ⅰ~Ⅲ类水质比例保持不变，均无劣V类水质断面。</w:t>
      </w:r>
      <w:r>
        <w:rPr>
          <w:rFonts w:hint="eastAsia" w:ascii="Times New Roman" w:hAnsi="Times New Roman" w:eastAsia="宋体" w:cs="Times New Roman"/>
          <w:color w:val="auto"/>
          <w:kern w:val="0"/>
          <w:sz w:val="24"/>
          <w:szCs w:val="24"/>
          <w:highlight w:val="green"/>
          <w:lang w:val="en-US" w:eastAsia="zh-CN" w:bidi="ar-SA"/>
        </w:rPr>
        <w:t>因此</w:t>
      </w:r>
      <w:r>
        <w:rPr>
          <w:rFonts w:hint="default" w:ascii="Times New Roman" w:hAnsi="Times New Roman" w:eastAsia="宋体" w:cs="Times New Roman"/>
          <w:color w:val="auto"/>
          <w:kern w:val="0"/>
          <w:sz w:val="24"/>
          <w:szCs w:val="24"/>
          <w:highlight w:val="green"/>
          <w:lang w:val="en-US" w:eastAsia="zh-CN" w:bidi="ar-SA"/>
        </w:rPr>
        <w:t>本项目涉及地表水体所在断面满足Ⅳ</w:t>
      </w:r>
      <w:r>
        <w:rPr>
          <w:rFonts w:hint="eastAsia" w:ascii="Times New Roman" w:hAnsi="Times New Roman" w:eastAsia="宋体" w:cs="Times New Roman"/>
          <w:color w:val="auto"/>
          <w:kern w:val="0"/>
          <w:sz w:val="24"/>
          <w:szCs w:val="24"/>
          <w:highlight w:val="green"/>
          <w:lang w:val="en-US" w:eastAsia="zh-CN" w:bidi="ar-SA"/>
        </w:rPr>
        <w:t>类</w:t>
      </w:r>
      <w:r>
        <w:rPr>
          <w:rFonts w:hint="default" w:ascii="Times New Roman" w:hAnsi="Times New Roman" w:eastAsia="宋体" w:cs="Times New Roman"/>
          <w:color w:val="auto"/>
          <w:kern w:val="0"/>
          <w:sz w:val="24"/>
          <w:szCs w:val="24"/>
          <w:highlight w:val="green"/>
          <w:lang w:val="en-US" w:eastAsia="zh-CN" w:bidi="ar-SA"/>
        </w:rPr>
        <w:t>水质要求，满足水质目标。</w:t>
      </w:r>
    </w:p>
    <w:p w14:paraId="4E0CFF92">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（3）声环境</w:t>
      </w:r>
    </w:p>
    <w:p w14:paraId="0230E45E">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本项目场址周围声环境执行《声环境质量标准》（GB3096-2008）中的</w:t>
      </w:r>
      <w:r>
        <w:rPr>
          <w:rFonts w:hint="default" w:ascii="Times New Roman" w:hAnsi="Times New Roman" w:eastAsia="宋体" w:cs="Times New Roman"/>
          <w:color w:val="FF0000"/>
          <w:sz w:val="24"/>
          <w:szCs w:val="24"/>
          <w:highlight w:val="none"/>
          <w:lang w:val="en-US" w:eastAsia="zh-CN"/>
        </w:rPr>
        <w:t>1</w:t>
      </w:r>
      <w:r>
        <w:rPr>
          <w:rFonts w:hint="default" w:ascii="Times New Roman" w:hAnsi="Times New Roman" w:cs="Times New Roman"/>
          <w:color w:val="FF0000"/>
          <w:sz w:val="24"/>
          <w:szCs w:val="24"/>
          <w:highlight w:val="none"/>
        </w:rPr>
        <w:t>类</w:t>
      </w:r>
      <w:r>
        <w:rPr>
          <w:rFonts w:hint="default" w:ascii="Times New Roman" w:hAnsi="Times New Roman" w:cs="Times New Roman"/>
          <w:color w:val="auto"/>
          <w:sz w:val="24"/>
          <w:szCs w:val="24"/>
          <w:highlight w:val="none"/>
        </w:rPr>
        <w:t>标准。</w:t>
      </w:r>
    </w:p>
    <w:p w14:paraId="0C7A4A85">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（4）地下水环境</w:t>
      </w:r>
    </w:p>
    <w:p w14:paraId="28B59E3A">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本项目所在区域地下水执行《地下水质量标准》（GB/T14848-2017）中</w:t>
      </w:r>
      <w:r>
        <w:rPr>
          <w:rFonts w:hint="default" w:ascii="Times New Roman" w:hAnsi="Times New Roman" w:cs="Times New Roman"/>
          <w:color w:val="auto"/>
          <w:sz w:val="24"/>
          <w:szCs w:val="24"/>
          <w:highlight w:val="none"/>
        </w:rPr>
        <w:fldChar w:fldCharType="begin"/>
      </w:r>
      <w:r>
        <w:rPr>
          <w:rFonts w:hint="default" w:ascii="Times New Roman" w:hAnsi="Times New Roman" w:cs="Times New Roman"/>
          <w:color w:val="auto"/>
          <w:sz w:val="24"/>
          <w:szCs w:val="24"/>
          <w:highlight w:val="none"/>
        </w:rPr>
        <w:instrText xml:space="preserve"> = 3 \* ROMAN </w:instrText>
      </w:r>
      <w:r>
        <w:rPr>
          <w:rFonts w:hint="default" w:ascii="Times New Roman" w:hAnsi="Times New Roman" w:cs="Times New Roman"/>
          <w:color w:val="auto"/>
          <w:sz w:val="24"/>
          <w:szCs w:val="24"/>
          <w:highlight w:val="none"/>
        </w:rPr>
        <w:fldChar w:fldCharType="separate"/>
      </w:r>
      <w:r>
        <w:rPr>
          <w:rFonts w:hint="default" w:ascii="Times New Roman" w:hAnsi="Times New Roman" w:cs="Times New Roman"/>
          <w:color w:val="auto"/>
          <w:sz w:val="24"/>
          <w:szCs w:val="24"/>
          <w:highlight w:val="none"/>
        </w:rPr>
        <w:t>Ⅲ</w:t>
      </w:r>
      <w:r>
        <w:rPr>
          <w:rFonts w:hint="default" w:ascii="Times New Roman" w:hAnsi="Times New Roman" w:cs="Times New Roman"/>
          <w:color w:val="auto"/>
          <w:sz w:val="24"/>
          <w:szCs w:val="24"/>
          <w:highlight w:val="none"/>
        </w:rPr>
        <w:fldChar w:fldCharType="end"/>
      </w:r>
      <w:r>
        <w:rPr>
          <w:rFonts w:hint="default" w:ascii="Times New Roman" w:hAnsi="Times New Roman" w:cs="Times New Roman"/>
          <w:color w:val="auto"/>
          <w:sz w:val="24"/>
          <w:szCs w:val="24"/>
          <w:highlight w:val="none"/>
        </w:rPr>
        <w:t>类标准。</w:t>
      </w:r>
    </w:p>
    <w:p w14:paraId="3570420F">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（5）土壤环境</w:t>
      </w:r>
    </w:p>
    <w:p w14:paraId="4BE46DB0">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本项目占地类型为设施农用地，项目所在区域土壤环境执行《土壤环境质量 农用地土壤污染风险管控标准（试行）》（GB15618-2018）标准要求。</w:t>
      </w:r>
    </w:p>
    <w:p w14:paraId="79362225">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43" w:name="_Toc2286"/>
      <w:r>
        <w:rPr>
          <w:rFonts w:hint="default" w:ascii="Times New Roman" w:hAnsi="Times New Roman" w:eastAsia="宋体" w:cs="Times New Roman"/>
          <w:b/>
          <w:bCs/>
          <w:color w:val="auto"/>
          <w:spacing w:val="-2"/>
          <w:sz w:val="24"/>
          <w:szCs w:val="24"/>
          <w:highlight w:val="none"/>
          <w:lang w:val="en-US" w:eastAsia="zh-CN"/>
        </w:rPr>
        <w:t>4.2.2环境保护目标</w:t>
      </w:r>
      <w:bookmarkEnd w:id="143"/>
    </w:p>
    <w:p w14:paraId="471ABD17">
      <w:pPr>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FF0000"/>
          <w:sz w:val="24"/>
          <w:szCs w:val="24"/>
          <w:highlight w:val="none"/>
          <w:lang w:val="en-US" w:eastAsia="zh-CN"/>
        </w:rPr>
      </w:pPr>
      <w:r>
        <w:rPr>
          <w:rFonts w:hint="default" w:ascii="Times New Roman" w:hAnsi="Times New Roman" w:eastAsia="宋体" w:cs="Times New Roman"/>
          <w:snapToGrid w:val="0"/>
          <w:color w:val="auto"/>
          <w:sz w:val="24"/>
          <w:szCs w:val="24"/>
          <w:highlight w:val="none"/>
        </w:rPr>
        <w:t>调查过程：根据《建设项目环境影响评价技术导则 总纲》（HJ2.1-2016），环境保护目标调查应调查评价范围内的环境功能区划和主要的环境敏感区，详细了解环境保护目标的地理位置、服务功能、四至范围、保护对象和保</w:t>
      </w:r>
      <w:r>
        <w:rPr>
          <w:rFonts w:hint="default" w:ascii="Times New Roman" w:hAnsi="Times New Roman" w:eastAsia="宋体" w:cs="Times New Roman"/>
          <w:snapToGrid w:val="0"/>
          <w:color w:val="FF0000"/>
          <w:sz w:val="24"/>
          <w:szCs w:val="24"/>
          <w:highlight w:val="none"/>
        </w:rPr>
        <w:t>护要求等。</w:t>
      </w:r>
      <w:r>
        <w:rPr>
          <w:rFonts w:hint="default" w:ascii="Times New Roman" w:hAnsi="Times New Roman" w:eastAsia="宋体" w:cs="Times New Roman"/>
          <w:snapToGrid w:val="0"/>
          <w:color w:val="FF0000"/>
          <w:sz w:val="24"/>
          <w:szCs w:val="24"/>
          <w:highlight w:val="none"/>
          <w:lang w:val="en-US" w:eastAsia="zh-CN"/>
        </w:rPr>
        <w:t>根据现场踏勘与卫星地图结合可知：</w:t>
      </w:r>
    </w:p>
    <w:p w14:paraId="67D5072D">
      <w:pPr>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FF0000"/>
          <w:sz w:val="24"/>
          <w:szCs w:val="24"/>
          <w:highlight w:val="none"/>
        </w:rPr>
      </w:pPr>
      <w:r>
        <w:rPr>
          <w:rFonts w:hint="default" w:ascii="Times New Roman" w:hAnsi="Times New Roman" w:eastAsia="宋体" w:cs="Times New Roman"/>
          <w:snapToGrid w:val="0"/>
          <w:color w:val="FF0000"/>
          <w:sz w:val="24"/>
          <w:szCs w:val="24"/>
          <w:highlight w:val="none"/>
        </w:rPr>
        <w:t>（1）本项目位于黑龙江省</w:t>
      </w:r>
      <w:r>
        <w:rPr>
          <w:rFonts w:hint="default" w:ascii="Times New Roman" w:hAnsi="Times New Roman" w:eastAsia="宋体" w:cs="Times New Roman"/>
          <w:color w:val="FF0000"/>
          <w:sz w:val="24"/>
          <w:szCs w:val="24"/>
          <w:highlight w:val="none"/>
          <w:lang w:val="en-US" w:eastAsia="zh-CN"/>
        </w:rPr>
        <w:t>双鸭山市集贤县集贤镇种畜场（康家屯）</w:t>
      </w:r>
      <w:r>
        <w:rPr>
          <w:rFonts w:hint="default" w:ascii="Times New Roman" w:hAnsi="Times New Roman" w:eastAsia="宋体" w:cs="Times New Roman"/>
          <w:snapToGrid w:val="0"/>
          <w:color w:val="FF0000"/>
          <w:sz w:val="24"/>
          <w:szCs w:val="24"/>
          <w:highlight w:val="none"/>
        </w:rPr>
        <w:t>，项目区东侧、南侧、西侧、北侧均为农田。</w:t>
      </w:r>
    </w:p>
    <w:p w14:paraId="728131CC">
      <w:pPr>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FF0000"/>
          <w:sz w:val="24"/>
          <w:szCs w:val="24"/>
          <w:highlight w:val="none"/>
        </w:rPr>
      </w:pPr>
      <w:r>
        <w:rPr>
          <w:rFonts w:hint="default" w:ascii="Times New Roman" w:hAnsi="Times New Roman" w:eastAsia="宋体" w:cs="Times New Roman"/>
          <w:snapToGrid w:val="0"/>
          <w:color w:val="FF0000"/>
          <w:sz w:val="24"/>
          <w:szCs w:val="24"/>
          <w:highlight w:val="none"/>
        </w:rPr>
        <w:t>（2）本项目距离</w:t>
      </w:r>
      <w:r>
        <w:rPr>
          <w:rFonts w:hint="default" w:ascii="Times New Roman" w:hAnsi="Times New Roman" w:eastAsia="宋体" w:cs="Times New Roman"/>
          <w:snapToGrid w:val="0"/>
          <w:color w:val="FF0000"/>
          <w:sz w:val="24"/>
          <w:szCs w:val="24"/>
          <w:highlight w:val="none"/>
          <w:lang w:val="en-US" w:eastAsia="zh-CN"/>
        </w:rPr>
        <w:t>安邦3300</w:t>
      </w:r>
      <w:r>
        <w:rPr>
          <w:rFonts w:hint="default" w:ascii="Times New Roman" w:hAnsi="Times New Roman" w:eastAsia="宋体" w:cs="Times New Roman"/>
          <w:snapToGrid w:val="0"/>
          <w:color w:val="FF0000"/>
          <w:sz w:val="24"/>
          <w:szCs w:val="24"/>
          <w:highlight w:val="none"/>
        </w:rPr>
        <w:t>m，不涉及重要湿地和重要水生生物的自然产卵场、索饵场、越冬场和洄游通道。</w:t>
      </w:r>
    </w:p>
    <w:p w14:paraId="616040E4">
      <w:pPr>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FF0000"/>
          <w:sz w:val="24"/>
          <w:szCs w:val="24"/>
          <w:highlight w:val="none"/>
        </w:rPr>
      </w:pPr>
      <w:r>
        <w:rPr>
          <w:rFonts w:hint="default" w:ascii="Times New Roman" w:hAnsi="Times New Roman" w:eastAsia="宋体" w:cs="Times New Roman"/>
          <w:snapToGrid w:val="0"/>
          <w:color w:val="FF0000"/>
          <w:sz w:val="24"/>
          <w:szCs w:val="24"/>
          <w:highlight w:val="none"/>
        </w:rPr>
        <w:t>（3）本项目评价范围内无森林公园、地质公园、天然林等。</w:t>
      </w:r>
    </w:p>
    <w:p w14:paraId="714A8B54">
      <w:pPr>
        <w:pStyle w:val="2"/>
        <w:keepNext w:val="0"/>
        <w:keepLines w:val="0"/>
        <w:pageBreakBefore w:val="0"/>
        <w:kinsoku w:val="0"/>
        <w:wordWrap/>
        <w:overflowPunct/>
        <w:topLinePunct w:val="0"/>
        <w:autoSpaceDE w:val="0"/>
        <w:autoSpaceDN w:val="0"/>
        <w:bidi w:val="0"/>
        <w:spacing w:line="360" w:lineRule="auto"/>
        <w:ind w:firstLine="480" w:firstLineChars="200"/>
        <w:textAlignment w:val="baseline"/>
        <w:rPr>
          <w:rFonts w:hint="default" w:ascii="Times New Roman" w:hAnsi="Times New Roman" w:eastAsia="宋体" w:cs="Times New Roman"/>
          <w:color w:val="FF0000"/>
          <w:lang w:eastAsia="zh-CN"/>
        </w:rPr>
      </w:pPr>
      <w:r>
        <w:rPr>
          <w:rFonts w:hint="default" w:ascii="Times New Roman" w:hAnsi="Times New Roman" w:cs="Times New Roman"/>
          <w:snapToGrid w:val="0"/>
          <w:color w:val="FF0000"/>
          <w:sz w:val="24"/>
          <w:szCs w:val="24"/>
          <w:highlight w:val="none"/>
          <w:lang w:eastAsia="zh-CN"/>
        </w:rPr>
        <w:t>（</w:t>
      </w:r>
      <w:r>
        <w:rPr>
          <w:rFonts w:hint="default" w:ascii="Times New Roman" w:hAnsi="Times New Roman" w:cs="Times New Roman"/>
          <w:snapToGrid w:val="0"/>
          <w:color w:val="FF0000"/>
          <w:sz w:val="24"/>
          <w:szCs w:val="24"/>
          <w:highlight w:val="none"/>
          <w:lang w:val="en-US" w:eastAsia="zh-CN"/>
        </w:rPr>
        <w:t>4</w:t>
      </w:r>
      <w:r>
        <w:rPr>
          <w:rFonts w:hint="default" w:ascii="Times New Roman" w:hAnsi="Times New Roman" w:cs="Times New Roman"/>
          <w:snapToGrid w:val="0"/>
          <w:color w:val="FF0000"/>
          <w:sz w:val="24"/>
          <w:szCs w:val="24"/>
          <w:highlight w:val="none"/>
          <w:lang w:eastAsia="zh-CN"/>
        </w:rPr>
        <w:t>）</w:t>
      </w:r>
      <w:r>
        <w:rPr>
          <w:rFonts w:hint="default" w:ascii="Times New Roman" w:hAnsi="Times New Roman" w:eastAsia="宋体" w:cs="Times New Roman"/>
          <w:snapToGrid w:val="0"/>
          <w:color w:val="FF0000"/>
          <w:sz w:val="24"/>
          <w:szCs w:val="24"/>
          <w:highlight w:val="none"/>
        </w:rPr>
        <w:t>本项目</w:t>
      </w:r>
      <w:r>
        <w:rPr>
          <w:rFonts w:hint="default" w:ascii="Times New Roman" w:hAnsi="Times New Roman" w:eastAsia="宋体" w:cs="Times New Roman"/>
          <w:snapToGrid w:val="0"/>
          <w:color w:val="FF0000"/>
          <w:sz w:val="24"/>
          <w:szCs w:val="24"/>
          <w:highlight w:val="none"/>
          <w:lang w:val="en-US" w:eastAsia="zh-CN"/>
        </w:rPr>
        <w:t>周边无</w:t>
      </w:r>
      <w:r>
        <w:rPr>
          <w:rFonts w:hint="default" w:ascii="Times New Roman" w:hAnsi="Times New Roman" w:cs="Times New Roman"/>
          <w:snapToGrid w:val="0"/>
          <w:color w:val="FF0000"/>
          <w:sz w:val="24"/>
          <w:szCs w:val="24"/>
          <w:highlight w:val="none"/>
          <w:lang w:val="en-US" w:eastAsia="zh-CN"/>
        </w:rPr>
        <w:t>自然保护区、风景名胜区、水源地等特殊保护区域。</w:t>
      </w:r>
    </w:p>
    <w:p w14:paraId="44A64651">
      <w:pPr>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FF0000"/>
          <w:sz w:val="24"/>
          <w:szCs w:val="24"/>
          <w:highlight w:val="none"/>
        </w:rPr>
      </w:pPr>
      <w:r>
        <w:rPr>
          <w:rFonts w:hint="default" w:ascii="Times New Roman" w:hAnsi="Times New Roman" w:eastAsia="宋体" w:cs="Times New Roman"/>
          <w:snapToGrid w:val="0"/>
          <w:color w:val="FF0000"/>
          <w:sz w:val="24"/>
          <w:szCs w:val="24"/>
          <w:highlight w:val="none"/>
        </w:rPr>
        <w:t>（</w:t>
      </w:r>
      <w:r>
        <w:rPr>
          <w:rFonts w:hint="default" w:ascii="Times New Roman" w:hAnsi="Times New Roman" w:eastAsia="宋体" w:cs="Times New Roman"/>
          <w:snapToGrid w:val="0"/>
          <w:color w:val="FF0000"/>
          <w:sz w:val="24"/>
          <w:szCs w:val="24"/>
          <w:highlight w:val="none"/>
          <w:lang w:val="en-US" w:eastAsia="zh-CN"/>
        </w:rPr>
        <w:t>5</w:t>
      </w:r>
      <w:r>
        <w:rPr>
          <w:rFonts w:hint="default" w:ascii="Times New Roman" w:hAnsi="Times New Roman" w:eastAsia="宋体" w:cs="Times New Roman"/>
          <w:snapToGrid w:val="0"/>
          <w:color w:val="FF0000"/>
          <w:sz w:val="24"/>
          <w:szCs w:val="24"/>
          <w:highlight w:val="none"/>
        </w:rPr>
        <w:t>）本项目最近的村屯为</w:t>
      </w:r>
      <w:r>
        <w:rPr>
          <w:rFonts w:hint="default" w:ascii="Times New Roman" w:hAnsi="Times New Roman" w:eastAsia="宋体" w:cs="Times New Roman"/>
          <w:snapToGrid w:val="0"/>
          <w:color w:val="FF0000"/>
          <w:sz w:val="24"/>
          <w:szCs w:val="24"/>
          <w:highlight w:val="none"/>
          <w:lang w:val="en-US" w:eastAsia="zh-CN"/>
        </w:rPr>
        <w:t>康家屯</w:t>
      </w:r>
      <w:r>
        <w:rPr>
          <w:rFonts w:hint="default" w:ascii="Times New Roman" w:hAnsi="Times New Roman" w:eastAsia="宋体" w:cs="Times New Roman"/>
          <w:snapToGrid w:val="0"/>
          <w:color w:val="FF0000"/>
          <w:sz w:val="24"/>
          <w:szCs w:val="24"/>
          <w:highlight w:val="none"/>
        </w:rPr>
        <w:t>，距离厂界最近为</w:t>
      </w:r>
      <w:r>
        <w:rPr>
          <w:rFonts w:hint="default" w:ascii="Times New Roman" w:hAnsi="Times New Roman" w:eastAsia="宋体" w:cs="Times New Roman"/>
          <w:snapToGrid w:val="0"/>
          <w:color w:val="FF0000"/>
          <w:sz w:val="24"/>
          <w:szCs w:val="24"/>
          <w:highlight w:val="none"/>
          <w:lang w:val="en-US" w:eastAsia="zh-CN"/>
        </w:rPr>
        <w:t>720</w:t>
      </w:r>
      <w:r>
        <w:rPr>
          <w:rFonts w:hint="default" w:ascii="Times New Roman" w:hAnsi="Times New Roman" w:eastAsia="宋体" w:cs="Times New Roman"/>
          <w:snapToGrid w:val="0"/>
          <w:color w:val="FF0000"/>
          <w:sz w:val="24"/>
          <w:szCs w:val="24"/>
          <w:highlight w:val="none"/>
        </w:rPr>
        <w:t>m，人数</w:t>
      </w:r>
      <w:r>
        <w:rPr>
          <w:rFonts w:hint="default" w:ascii="Times New Roman" w:hAnsi="Times New Roman" w:eastAsia="宋体" w:cs="Times New Roman"/>
          <w:snapToGrid w:val="0"/>
          <w:color w:val="FF0000"/>
          <w:sz w:val="24"/>
          <w:szCs w:val="24"/>
          <w:highlight w:val="none"/>
          <w:lang w:val="en-US" w:eastAsia="zh-CN"/>
        </w:rPr>
        <w:t>1600</w:t>
      </w:r>
      <w:r>
        <w:rPr>
          <w:rFonts w:hint="default" w:ascii="Times New Roman" w:hAnsi="Times New Roman" w:eastAsia="宋体" w:cs="Times New Roman"/>
          <w:snapToGrid w:val="0"/>
          <w:color w:val="FF0000"/>
          <w:sz w:val="24"/>
          <w:szCs w:val="24"/>
          <w:highlight w:val="none"/>
        </w:rPr>
        <w:t>人。</w:t>
      </w:r>
    </w:p>
    <w:p w14:paraId="7CC4F794">
      <w:pPr>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eastAsia="zh-CN"/>
        </w:rPr>
      </w:pPr>
      <w:r>
        <w:rPr>
          <w:rFonts w:hint="default" w:ascii="Times New Roman" w:hAnsi="Times New Roman" w:eastAsia="宋体" w:cs="Times New Roman"/>
          <w:snapToGrid w:val="0"/>
          <w:color w:val="FF0000"/>
          <w:sz w:val="24"/>
          <w:szCs w:val="24"/>
          <w:highlight w:val="none"/>
        </w:rPr>
        <w:t>根据以上调查过程、项目特点及周边环境要素，确定本项目控制污染与环境保护目标为：</w:t>
      </w:r>
      <w:r>
        <w:rPr>
          <w:rFonts w:hint="default" w:ascii="Times New Roman" w:hAnsi="Times New Roman" w:eastAsia="宋体" w:cs="Times New Roman"/>
          <w:snapToGrid w:val="0"/>
          <w:color w:val="FF0000"/>
          <w:kern w:val="0"/>
          <w:sz w:val="24"/>
          <w:szCs w:val="24"/>
          <w:highlight w:val="none"/>
        </w:rPr>
        <w:t>本项目环境保护目标见下表。</w:t>
      </w:r>
      <w:r>
        <w:rPr>
          <w:rFonts w:hint="default" w:ascii="Times New Roman" w:hAnsi="Times New Roman" w:eastAsia="宋体" w:cs="Times New Roman"/>
          <w:snapToGrid w:val="0"/>
          <w:color w:val="FF0000"/>
          <w:kern w:val="0"/>
          <w:sz w:val="24"/>
          <w:szCs w:val="24"/>
          <w:highlight w:val="none"/>
          <w:lang w:eastAsia="zh-CN"/>
        </w:rPr>
        <w:t>（</w:t>
      </w:r>
      <w:r>
        <w:rPr>
          <w:rFonts w:hint="default" w:ascii="Times New Roman" w:hAnsi="Times New Roman" w:eastAsia="宋体" w:cs="Times New Roman"/>
          <w:snapToGrid w:val="0"/>
          <w:color w:val="FF0000"/>
          <w:kern w:val="0"/>
          <w:sz w:val="24"/>
          <w:szCs w:val="24"/>
          <w:highlight w:val="none"/>
          <w:lang w:val="en-US" w:eastAsia="zh-CN"/>
        </w:rPr>
        <w:t>本项目东侧为工业企业聚集地，非村屯，详见附件</w:t>
      </w:r>
      <w:r>
        <w:rPr>
          <w:rFonts w:hint="default" w:ascii="Times New Roman" w:hAnsi="Times New Roman" w:eastAsia="宋体" w:cs="Times New Roman"/>
          <w:snapToGrid w:val="0"/>
          <w:color w:val="auto"/>
          <w:kern w:val="0"/>
          <w:sz w:val="24"/>
          <w:szCs w:val="24"/>
          <w:highlight w:val="none"/>
          <w:lang w:eastAsia="zh-CN"/>
        </w:rPr>
        <w:t>）</w:t>
      </w:r>
    </w:p>
    <w:p w14:paraId="2B5AF1A9">
      <w:pPr>
        <w:pStyle w:val="44"/>
        <w:ind w:firstLine="560"/>
        <w:rPr>
          <w:rFonts w:hint="default" w:ascii="Times New Roman" w:hAnsi="Times New Roman" w:eastAsia="宋体" w:cs="Times New Roman"/>
          <w:b/>
          <w:bCs/>
          <w:snapToGrid w:val="0"/>
          <w:color w:val="auto"/>
          <w:sz w:val="24"/>
          <w:szCs w:val="24"/>
          <w:highlight w:val="none"/>
        </w:rPr>
      </w:pPr>
      <w:r>
        <w:rPr>
          <w:rFonts w:hint="default" w:ascii="Times New Roman" w:hAnsi="Times New Roman" w:eastAsia="宋体" w:cs="Times New Roman"/>
          <w:b/>
          <w:bCs/>
          <w:snapToGrid w:val="0"/>
          <w:color w:val="auto"/>
          <w:sz w:val="24"/>
          <w:szCs w:val="24"/>
          <w:highlight w:val="none"/>
        </w:rPr>
        <w:t>表4</w:t>
      </w:r>
      <w:r>
        <w:rPr>
          <w:rFonts w:hint="default" w:ascii="Times New Roman" w:hAnsi="Times New Roman" w:eastAsia="宋体" w:cs="Times New Roman"/>
          <w:b/>
          <w:bCs/>
          <w:snapToGrid w:val="0"/>
          <w:color w:val="auto"/>
          <w:sz w:val="24"/>
          <w:szCs w:val="24"/>
          <w:highlight w:val="none"/>
          <w:lang w:val="en-US" w:eastAsia="zh-CN"/>
        </w:rPr>
        <w:t>.2</w:t>
      </w:r>
      <w:r>
        <w:rPr>
          <w:rFonts w:hint="default" w:ascii="Times New Roman" w:hAnsi="Times New Roman" w:eastAsia="宋体" w:cs="Times New Roman"/>
          <w:b/>
          <w:bCs/>
          <w:snapToGrid w:val="0"/>
          <w:color w:val="auto"/>
          <w:sz w:val="24"/>
          <w:szCs w:val="24"/>
          <w:highlight w:val="none"/>
        </w:rPr>
        <w:t>-</w:t>
      </w:r>
      <w:r>
        <w:rPr>
          <w:rFonts w:hint="default" w:ascii="Times New Roman" w:hAnsi="Times New Roman" w:eastAsia="宋体" w:cs="Times New Roman"/>
          <w:b/>
          <w:bCs/>
          <w:snapToGrid w:val="0"/>
          <w:color w:val="auto"/>
          <w:sz w:val="24"/>
          <w:szCs w:val="24"/>
          <w:highlight w:val="none"/>
          <w:lang w:val="en-US" w:eastAsia="zh-CN"/>
        </w:rPr>
        <w:t>1</w:t>
      </w:r>
      <w:r>
        <w:rPr>
          <w:rFonts w:hint="default" w:ascii="Times New Roman" w:hAnsi="Times New Roman" w:eastAsia="宋体" w:cs="Times New Roman"/>
          <w:b/>
          <w:bCs/>
          <w:snapToGrid w:val="0"/>
          <w:color w:val="auto"/>
          <w:sz w:val="24"/>
          <w:szCs w:val="24"/>
          <w:highlight w:val="none"/>
        </w:rPr>
        <w:t>环境保护目标一览表</w:t>
      </w:r>
    </w:p>
    <w:tbl>
      <w:tblPr>
        <w:tblStyle w:val="34"/>
        <w:tblW w:w="908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86"/>
        <w:gridCol w:w="848"/>
        <w:gridCol w:w="1342"/>
        <w:gridCol w:w="1177"/>
        <w:gridCol w:w="1085"/>
        <w:gridCol w:w="1104"/>
        <w:gridCol w:w="680"/>
        <w:gridCol w:w="554"/>
        <w:gridCol w:w="987"/>
        <w:gridCol w:w="822"/>
      </w:tblGrid>
      <w:tr w14:paraId="502667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486" w:type="dxa"/>
            <w:vMerge w:val="restart"/>
            <w:tcBorders>
              <w:top w:val="single" w:color="000000" w:sz="10" w:space="0"/>
              <w:left w:val="nil"/>
              <w:bottom w:val="nil"/>
            </w:tcBorders>
            <w:vAlign w:val="center"/>
          </w:tcPr>
          <w:p w14:paraId="39856E07">
            <w:pPr>
              <w:pStyle w:val="35"/>
              <w:keepNext w:val="0"/>
              <w:keepLines w:val="0"/>
              <w:pageBreakBefore w:val="0"/>
              <w:widowControl/>
              <w:kinsoku/>
              <w:wordWrap w:val="0"/>
              <w:overflowPunct/>
              <w:topLinePunct/>
              <w:autoSpaceDE/>
              <w:autoSpaceDN/>
              <w:bidi w:val="0"/>
              <w:adjustRightInd w:val="0"/>
              <w:snapToGrid w:val="0"/>
              <w:spacing w:line="240" w:lineRule="auto"/>
              <w:ind w:left="69"/>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序号</w:t>
            </w:r>
          </w:p>
        </w:tc>
        <w:tc>
          <w:tcPr>
            <w:tcW w:w="848" w:type="dxa"/>
            <w:vMerge w:val="restart"/>
            <w:tcBorders>
              <w:top w:val="single" w:color="000000" w:sz="10" w:space="0"/>
              <w:bottom w:val="nil"/>
            </w:tcBorders>
            <w:vAlign w:val="center"/>
          </w:tcPr>
          <w:p w14:paraId="28869B51">
            <w:pPr>
              <w:pStyle w:val="35"/>
              <w:keepNext w:val="0"/>
              <w:keepLines w:val="0"/>
              <w:pageBreakBefore w:val="0"/>
              <w:widowControl/>
              <w:kinsoku/>
              <w:wordWrap w:val="0"/>
              <w:overflowPunct/>
              <w:topLinePunct/>
              <w:autoSpaceDE/>
              <w:autoSpaceDN/>
              <w:bidi w:val="0"/>
              <w:adjustRightInd w:val="0"/>
              <w:snapToGrid w:val="0"/>
              <w:spacing w:line="240" w:lineRule="auto"/>
              <w:ind w:left="190"/>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3"/>
                <w:highlight w:val="none"/>
              </w:rPr>
              <w:t>名称</w:t>
            </w:r>
          </w:p>
        </w:tc>
        <w:tc>
          <w:tcPr>
            <w:tcW w:w="2519" w:type="dxa"/>
            <w:gridSpan w:val="2"/>
            <w:tcBorders>
              <w:top w:val="single" w:color="000000" w:sz="10" w:space="0"/>
            </w:tcBorders>
            <w:vAlign w:val="center"/>
          </w:tcPr>
          <w:p w14:paraId="78A64203">
            <w:pPr>
              <w:pStyle w:val="35"/>
              <w:keepNext w:val="0"/>
              <w:keepLines w:val="0"/>
              <w:pageBreakBefore w:val="0"/>
              <w:widowControl/>
              <w:kinsoku/>
              <w:wordWrap w:val="0"/>
              <w:overflowPunct/>
              <w:topLinePunct/>
              <w:autoSpaceDE/>
              <w:autoSpaceDN/>
              <w:bidi w:val="0"/>
              <w:adjustRightInd w:val="0"/>
              <w:snapToGrid w:val="0"/>
              <w:spacing w:line="240" w:lineRule="auto"/>
              <w:ind w:left="964"/>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2"/>
                <w:highlight w:val="none"/>
              </w:rPr>
              <w:t>坐标</w:t>
            </w:r>
          </w:p>
        </w:tc>
        <w:tc>
          <w:tcPr>
            <w:tcW w:w="1085" w:type="dxa"/>
            <w:vMerge w:val="restart"/>
            <w:tcBorders>
              <w:top w:val="single" w:color="000000" w:sz="10" w:space="0"/>
              <w:bottom w:val="nil"/>
            </w:tcBorders>
            <w:vAlign w:val="center"/>
          </w:tcPr>
          <w:p w14:paraId="1D159EEF">
            <w:pPr>
              <w:pStyle w:val="35"/>
              <w:keepNext w:val="0"/>
              <w:keepLines w:val="0"/>
              <w:pageBreakBefore w:val="0"/>
              <w:widowControl/>
              <w:kinsoku/>
              <w:wordWrap w:val="0"/>
              <w:overflowPunct/>
              <w:topLinePunct/>
              <w:autoSpaceDE/>
              <w:autoSpaceDN/>
              <w:bidi w:val="0"/>
              <w:adjustRightInd w:val="0"/>
              <w:snapToGrid w:val="0"/>
              <w:spacing w:line="240" w:lineRule="auto"/>
              <w:ind w:left="139"/>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2"/>
                <w:highlight w:val="none"/>
              </w:rPr>
              <w:t>保护对象</w:t>
            </w:r>
          </w:p>
        </w:tc>
        <w:tc>
          <w:tcPr>
            <w:tcW w:w="1104" w:type="dxa"/>
            <w:vMerge w:val="restart"/>
            <w:tcBorders>
              <w:top w:val="single" w:color="000000" w:sz="10" w:space="0"/>
              <w:bottom w:val="nil"/>
            </w:tcBorders>
            <w:vAlign w:val="center"/>
          </w:tcPr>
          <w:p w14:paraId="7A16BC7E">
            <w:pPr>
              <w:pStyle w:val="35"/>
              <w:keepNext w:val="0"/>
              <w:keepLines w:val="0"/>
              <w:pageBreakBefore w:val="0"/>
              <w:widowControl/>
              <w:kinsoku/>
              <w:wordWrap w:val="0"/>
              <w:overflowPunct/>
              <w:topLinePunct/>
              <w:autoSpaceDE/>
              <w:autoSpaceDN/>
              <w:bidi w:val="0"/>
              <w:adjustRightInd w:val="0"/>
              <w:snapToGrid w:val="0"/>
              <w:spacing w:line="240" w:lineRule="auto"/>
              <w:ind w:left="128"/>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2"/>
                <w:highlight w:val="none"/>
              </w:rPr>
              <w:t>保护内容</w:t>
            </w:r>
          </w:p>
          <w:p w14:paraId="772D96D4">
            <w:pPr>
              <w:pStyle w:val="35"/>
              <w:keepNext w:val="0"/>
              <w:keepLines w:val="0"/>
              <w:pageBreakBefore w:val="0"/>
              <w:widowControl/>
              <w:kinsoku/>
              <w:wordWrap w:val="0"/>
              <w:overflowPunct/>
              <w:topLinePunct/>
              <w:autoSpaceDE/>
              <w:autoSpaceDN/>
              <w:bidi w:val="0"/>
              <w:adjustRightInd w:val="0"/>
              <w:snapToGrid w:val="0"/>
              <w:spacing w:line="240" w:lineRule="auto"/>
              <w:ind w:left="239"/>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6"/>
                <w:highlight w:val="none"/>
              </w:rPr>
              <w:t>（人）</w:t>
            </w:r>
          </w:p>
        </w:tc>
        <w:tc>
          <w:tcPr>
            <w:tcW w:w="680" w:type="dxa"/>
            <w:vMerge w:val="restart"/>
            <w:tcBorders>
              <w:top w:val="single" w:color="000000" w:sz="10" w:space="0"/>
              <w:bottom w:val="nil"/>
            </w:tcBorders>
            <w:vAlign w:val="center"/>
          </w:tcPr>
          <w:p w14:paraId="0863B7D6">
            <w:pPr>
              <w:pStyle w:val="35"/>
              <w:keepNext w:val="0"/>
              <w:keepLines w:val="0"/>
              <w:pageBreakBefore w:val="0"/>
              <w:widowControl/>
              <w:kinsoku/>
              <w:wordWrap w:val="0"/>
              <w:overflowPunct/>
              <w:topLinePunct/>
              <w:autoSpaceDE/>
              <w:autoSpaceDN/>
              <w:bidi w:val="0"/>
              <w:adjustRightInd w:val="0"/>
              <w:snapToGrid w:val="0"/>
              <w:spacing w:line="240" w:lineRule="auto"/>
              <w:ind w:left="139" w:right="22" w:hanging="113"/>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2"/>
                <w:highlight w:val="none"/>
              </w:rPr>
              <w:t>环境功</w:t>
            </w:r>
            <w:r>
              <w:rPr>
                <w:rFonts w:hint="default" w:ascii="Times New Roman" w:hAnsi="Times New Roman" w:eastAsia="宋体" w:cs="Times New Roman"/>
                <w:color w:val="auto"/>
                <w:spacing w:val="-4"/>
                <w:highlight w:val="none"/>
              </w:rPr>
              <w:t>能区</w:t>
            </w:r>
          </w:p>
        </w:tc>
        <w:tc>
          <w:tcPr>
            <w:tcW w:w="554" w:type="dxa"/>
            <w:vMerge w:val="restart"/>
            <w:tcBorders>
              <w:top w:val="single" w:color="000000" w:sz="10" w:space="0"/>
              <w:bottom w:val="nil"/>
            </w:tcBorders>
            <w:vAlign w:val="center"/>
          </w:tcPr>
          <w:p w14:paraId="07DB85E7">
            <w:pPr>
              <w:pStyle w:val="35"/>
              <w:keepNext w:val="0"/>
              <w:keepLines w:val="0"/>
              <w:pageBreakBefore w:val="0"/>
              <w:widowControl/>
              <w:kinsoku/>
              <w:wordWrap w:val="0"/>
              <w:overflowPunct/>
              <w:topLinePunct/>
              <w:autoSpaceDE/>
              <w:autoSpaceDN/>
              <w:bidi w:val="0"/>
              <w:adjustRightInd w:val="0"/>
              <w:snapToGrid w:val="0"/>
              <w:spacing w:line="240" w:lineRule="auto"/>
              <w:ind w:left="186" w:right="52" w:hanging="105"/>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3"/>
                <w:highlight w:val="none"/>
              </w:rPr>
              <w:t>相方</w:t>
            </w:r>
            <w:r>
              <w:rPr>
                <w:rFonts w:hint="default" w:ascii="Times New Roman" w:hAnsi="Times New Roman" w:eastAsia="宋体" w:cs="Times New Roman"/>
                <w:color w:val="auto"/>
                <w:highlight w:val="none"/>
              </w:rPr>
              <w:t>位</w:t>
            </w:r>
          </w:p>
        </w:tc>
        <w:tc>
          <w:tcPr>
            <w:tcW w:w="987" w:type="dxa"/>
            <w:vMerge w:val="restart"/>
            <w:tcBorders>
              <w:top w:val="single" w:color="000000" w:sz="10" w:space="0"/>
              <w:bottom w:val="nil"/>
            </w:tcBorders>
            <w:vAlign w:val="center"/>
          </w:tcPr>
          <w:p w14:paraId="3871B7B1">
            <w:pPr>
              <w:pStyle w:val="35"/>
              <w:keepNext w:val="0"/>
              <w:keepLines w:val="0"/>
              <w:pageBreakBefore w:val="0"/>
              <w:widowControl/>
              <w:kinsoku/>
              <w:wordWrap w:val="0"/>
              <w:overflowPunct/>
              <w:topLinePunct/>
              <w:autoSpaceDE/>
              <w:autoSpaceDN/>
              <w:bidi w:val="0"/>
              <w:adjustRightInd w:val="0"/>
              <w:snapToGrid w:val="0"/>
              <w:spacing w:line="240" w:lineRule="auto"/>
              <w:ind w:left="40" w:firstLine="58"/>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11"/>
                <w:highlight w:val="none"/>
              </w:rPr>
              <w:t>与厂界距</w:t>
            </w:r>
            <w:r>
              <w:rPr>
                <w:rFonts w:hint="default" w:ascii="Times New Roman" w:hAnsi="Times New Roman" w:eastAsia="宋体" w:cs="Times New Roman"/>
                <w:color w:val="auto"/>
                <w:spacing w:val="-13"/>
                <w:highlight w:val="none"/>
              </w:rPr>
              <w:t>离约（m）</w:t>
            </w:r>
          </w:p>
        </w:tc>
        <w:tc>
          <w:tcPr>
            <w:tcW w:w="822" w:type="dxa"/>
            <w:vMerge w:val="restart"/>
            <w:tcBorders>
              <w:top w:val="single" w:color="000000" w:sz="10" w:space="0"/>
              <w:bottom w:val="nil"/>
              <w:right w:val="single" w:color="FFFFFF" w:sz="6" w:space="0"/>
            </w:tcBorders>
            <w:vAlign w:val="center"/>
          </w:tcPr>
          <w:p w14:paraId="6F624004">
            <w:pPr>
              <w:keepNext w:val="0"/>
              <w:keepLines w:val="0"/>
              <w:pageBreakBefore w:val="0"/>
              <w:widowControl/>
              <w:kinsoku/>
              <w:wordWrap w:val="0"/>
              <w:overflowPunct/>
              <w:topLinePunct/>
              <w:autoSpaceDE/>
              <w:autoSpaceDN/>
              <w:bidi w:val="0"/>
              <w:adjustRightInd w:val="0"/>
              <w:snapToGrid w:val="0"/>
              <w:spacing w:line="240" w:lineRule="auto"/>
              <w:ind w:left="117"/>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rPr>
              <w:t>规模约</w:t>
            </w:r>
          </w:p>
          <w:p w14:paraId="76CAC08B">
            <w:pPr>
              <w:keepNext w:val="0"/>
              <w:keepLines w:val="0"/>
              <w:pageBreakBefore w:val="0"/>
              <w:widowControl/>
              <w:kinsoku/>
              <w:wordWrap w:val="0"/>
              <w:overflowPunct/>
              <w:topLinePunct/>
              <w:autoSpaceDE/>
              <w:autoSpaceDN/>
              <w:bidi w:val="0"/>
              <w:adjustRightInd w:val="0"/>
              <w:snapToGrid w:val="0"/>
              <w:spacing w:line="240" w:lineRule="auto"/>
              <w:ind w:left="119"/>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（人）</w:t>
            </w:r>
          </w:p>
        </w:tc>
      </w:tr>
      <w:tr w14:paraId="64387D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486" w:type="dxa"/>
            <w:vMerge w:val="continue"/>
            <w:tcBorders>
              <w:top w:val="nil"/>
              <w:left w:val="nil"/>
            </w:tcBorders>
            <w:textDirection w:val="tbRlV"/>
            <w:vAlign w:val="center"/>
          </w:tcPr>
          <w:p w14:paraId="7765238F">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sz w:val="21"/>
                <w:highlight w:val="none"/>
              </w:rPr>
            </w:pPr>
          </w:p>
        </w:tc>
        <w:tc>
          <w:tcPr>
            <w:tcW w:w="848" w:type="dxa"/>
            <w:vMerge w:val="continue"/>
            <w:tcBorders>
              <w:top w:val="nil"/>
            </w:tcBorders>
            <w:vAlign w:val="center"/>
          </w:tcPr>
          <w:p w14:paraId="112AA30D">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sz w:val="21"/>
                <w:highlight w:val="none"/>
              </w:rPr>
            </w:pPr>
          </w:p>
        </w:tc>
        <w:tc>
          <w:tcPr>
            <w:tcW w:w="1342" w:type="dxa"/>
            <w:vAlign w:val="center"/>
          </w:tcPr>
          <w:p w14:paraId="2570EEA4">
            <w:pPr>
              <w:pStyle w:val="35"/>
              <w:keepNext w:val="0"/>
              <w:keepLines w:val="0"/>
              <w:pageBreakBefore w:val="0"/>
              <w:widowControl/>
              <w:kinsoku/>
              <w:wordWrap w:val="0"/>
              <w:overflowPunct/>
              <w:topLinePunct/>
              <w:autoSpaceDE/>
              <w:autoSpaceDN/>
              <w:bidi w:val="0"/>
              <w:adjustRightInd w:val="0"/>
              <w:snapToGrid w:val="0"/>
              <w:spacing w:line="240" w:lineRule="auto"/>
              <w:ind w:left="398"/>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2"/>
                <w:highlight w:val="none"/>
              </w:rPr>
              <w:t>经度</w:t>
            </w:r>
          </w:p>
        </w:tc>
        <w:tc>
          <w:tcPr>
            <w:tcW w:w="1177" w:type="dxa"/>
            <w:vAlign w:val="center"/>
          </w:tcPr>
          <w:p w14:paraId="7F4EAC07">
            <w:pPr>
              <w:pStyle w:val="35"/>
              <w:keepNext w:val="0"/>
              <w:keepLines w:val="0"/>
              <w:pageBreakBefore w:val="0"/>
              <w:widowControl/>
              <w:kinsoku/>
              <w:wordWrap w:val="0"/>
              <w:overflowPunct/>
              <w:topLinePunct/>
              <w:autoSpaceDE/>
              <w:autoSpaceDN/>
              <w:bidi w:val="0"/>
              <w:adjustRightInd w:val="0"/>
              <w:snapToGrid w:val="0"/>
              <w:spacing w:line="240" w:lineRule="auto"/>
              <w:ind w:left="347"/>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2"/>
                <w:highlight w:val="none"/>
              </w:rPr>
              <w:t>纬度</w:t>
            </w:r>
          </w:p>
        </w:tc>
        <w:tc>
          <w:tcPr>
            <w:tcW w:w="1085" w:type="dxa"/>
            <w:vMerge w:val="continue"/>
            <w:tcBorders>
              <w:top w:val="nil"/>
            </w:tcBorders>
            <w:vAlign w:val="center"/>
          </w:tcPr>
          <w:p w14:paraId="090236D5">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sz w:val="21"/>
                <w:highlight w:val="none"/>
              </w:rPr>
            </w:pPr>
          </w:p>
        </w:tc>
        <w:tc>
          <w:tcPr>
            <w:tcW w:w="1104" w:type="dxa"/>
            <w:vMerge w:val="continue"/>
            <w:tcBorders>
              <w:top w:val="nil"/>
              <w:bottom w:val="single" w:color="auto" w:sz="4" w:space="0"/>
            </w:tcBorders>
            <w:vAlign w:val="center"/>
          </w:tcPr>
          <w:p w14:paraId="2DDFC066">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sz w:val="21"/>
                <w:highlight w:val="none"/>
              </w:rPr>
            </w:pPr>
          </w:p>
        </w:tc>
        <w:tc>
          <w:tcPr>
            <w:tcW w:w="680" w:type="dxa"/>
            <w:vMerge w:val="continue"/>
            <w:tcBorders>
              <w:top w:val="nil"/>
              <w:bottom w:val="single" w:color="auto" w:sz="4" w:space="0"/>
            </w:tcBorders>
            <w:vAlign w:val="center"/>
          </w:tcPr>
          <w:p w14:paraId="34E84EBB">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sz w:val="21"/>
                <w:highlight w:val="none"/>
              </w:rPr>
            </w:pPr>
          </w:p>
        </w:tc>
        <w:tc>
          <w:tcPr>
            <w:tcW w:w="554" w:type="dxa"/>
            <w:vMerge w:val="continue"/>
            <w:tcBorders>
              <w:top w:val="nil"/>
            </w:tcBorders>
            <w:vAlign w:val="center"/>
          </w:tcPr>
          <w:p w14:paraId="0A785239">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sz w:val="21"/>
                <w:highlight w:val="none"/>
              </w:rPr>
            </w:pPr>
          </w:p>
        </w:tc>
        <w:tc>
          <w:tcPr>
            <w:tcW w:w="987" w:type="dxa"/>
            <w:vMerge w:val="continue"/>
            <w:tcBorders>
              <w:top w:val="nil"/>
            </w:tcBorders>
            <w:vAlign w:val="center"/>
          </w:tcPr>
          <w:p w14:paraId="0ACA701E">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sz w:val="21"/>
                <w:highlight w:val="none"/>
              </w:rPr>
            </w:pPr>
          </w:p>
        </w:tc>
        <w:tc>
          <w:tcPr>
            <w:tcW w:w="822" w:type="dxa"/>
            <w:vMerge w:val="continue"/>
            <w:tcBorders>
              <w:top w:val="nil"/>
              <w:right w:val="single" w:color="FFFFFF" w:sz="6" w:space="0"/>
            </w:tcBorders>
            <w:vAlign w:val="center"/>
          </w:tcPr>
          <w:p w14:paraId="6071F127">
            <w:pPr>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sz w:val="21"/>
                <w:highlight w:val="none"/>
              </w:rPr>
            </w:pPr>
          </w:p>
        </w:tc>
      </w:tr>
      <w:tr w14:paraId="4A90C7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486" w:type="dxa"/>
            <w:tcBorders>
              <w:left w:val="nil"/>
            </w:tcBorders>
            <w:vAlign w:val="center"/>
          </w:tcPr>
          <w:p w14:paraId="0D7EEE40">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1</w:t>
            </w:r>
          </w:p>
        </w:tc>
        <w:tc>
          <w:tcPr>
            <w:tcW w:w="848" w:type="dxa"/>
            <w:vAlign w:val="center"/>
          </w:tcPr>
          <w:p w14:paraId="08006F0E">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康家屯</w:t>
            </w:r>
          </w:p>
        </w:tc>
        <w:tc>
          <w:tcPr>
            <w:tcW w:w="1342" w:type="dxa"/>
            <w:vAlign w:val="center"/>
          </w:tcPr>
          <w:p w14:paraId="057FED2C">
            <w:pPr>
              <w:keepNext w:val="0"/>
              <w:keepLines w:val="0"/>
              <w:pageBreakBefore w:val="0"/>
              <w:widowControl/>
              <w:kinsoku/>
              <w:wordWrap w:val="0"/>
              <w:overflowPunct/>
              <w:topLinePunct/>
              <w:autoSpaceDE/>
              <w:autoSpaceDN/>
              <w:bidi w:val="0"/>
              <w:adjustRightInd w:val="0"/>
              <w:snapToGrid w:val="0"/>
              <w:spacing w:line="240" w:lineRule="auto"/>
              <w:ind w:left="19"/>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131.16554885</w:t>
            </w:r>
          </w:p>
        </w:tc>
        <w:tc>
          <w:tcPr>
            <w:tcW w:w="1177" w:type="dxa"/>
            <w:vAlign w:val="center"/>
          </w:tcPr>
          <w:p w14:paraId="386F1222">
            <w:pPr>
              <w:keepNext w:val="0"/>
              <w:keepLines w:val="0"/>
              <w:pageBreakBefore w:val="0"/>
              <w:widowControl/>
              <w:kinsoku/>
              <w:wordWrap w:val="0"/>
              <w:overflowPunct/>
              <w:topLinePunct/>
              <w:autoSpaceDE/>
              <w:autoSpaceDN/>
              <w:bidi w:val="0"/>
              <w:adjustRightInd w:val="0"/>
              <w:snapToGrid w:val="0"/>
              <w:spacing w:line="240" w:lineRule="auto"/>
              <w:ind w:left="1"/>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46.80705183</w:t>
            </w:r>
          </w:p>
        </w:tc>
        <w:tc>
          <w:tcPr>
            <w:tcW w:w="1085" w:type="dxa"/>
            <w:vAlign w:val="center"/>
          </w:tcPr>
          <w:p w14:paraId="5E8A9AD9">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2"/>
                <w:highlight w:val="none"/>
              </w:rPr>
              <w:t>居住区</w:t>
            </w:r>
          </w:p>
        </w:tc>
        <w:tc>
          <w:tcPr>
            <w:tcW w:w="1104" w:type="dxa"/>
            <w:tcBorders>
              <w:top w:val="single" w:color="auto" w:sz="4" w:space="0"/>
            </w:tcBorders>
            <w:vAlign w:val="center"/>
          </w:tcPr>
          <w:p w14:paraId="47D24705">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2"/>
                <w:highlight w:val="none"/>
              </w:rPr>
              <w:t>居民</w:t>
            </w:r>
          </w:p>
        </w:tc>
        <w:tc>
          <w:tcPr>
            <w:tcW w:w="680" w:type="dxa"/>
            <w:vMerge w:val="restart"/>
            <w:tcBorders>
              <w:top w:val="single" w:color="auto" w:sz="4" w:space="0"/>
            </w:tcBorders>
            <w:vAlign w:val="center"/>
          </w:tcPr>
          <w:p w14:paraId="79D50A0C">
            <w:pPr>
              <w:pStyle w:val="35"/>
              <w:keepNext w:val="0"/>
              <w:keepLines w:val="0"/>
              <w:pageBreakBefore w:val="0"/>
              <w:widowControl/>
              <w:kinsoku/>
              <w:wordWrap w:val="0"/>
              <w:overflowPunct/>
              <w:topLinePunct/>
              <w:autoSpaceDE/>
              <w:autoSpaceDN/>
              <w:bidi w:val="0"/>
              <w:adjustRightInd w:val="0"/>
              <w:snapToGrid w:val="0"/>
              <w:spacing w:line="240" w:lineRule="auto"/>
              <w:textAlignment w:val="baseline"/>
              <w:rPr>
                <w:rFonts w:hint="default" w:ascii="Times New Roman" w:hAnsi="Times New Roman" w:eastAsia="宋体" w:cs="Times New Roman"/>
                <w:color w:val="auto"/>
                <w:highlight w:val="none"/>
              </w:rPr>
            </w:pPr>
            <w:r>
              <w:rPr>
                <w:rFonts w:hint="default" w:ascii="Times New Roman" w:hAnsi="Times New Roman" w:cs="Times New Roman"/>
                <w:snapToGrid w:val="0"/>
                <w:color w:val="auto"/>
                <w:szCs w:val="21"/>
                <w:lang w:eastAsia="zh-CN"/>
              </w:rPr>
              <w:t>二类区</w:t>
            </w:r>
          </w:p>
        </w:tc>
        <w:tc>
          <w:tcPr>
            <w:tcW w:w="554" w:type="dxa"/>
            <w:vAlign w:val="center"/>
          </w:tcPr>
          <w:p w14:paraId="5BB6F46C">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N</w:t>
            </w:r>
          </w:p>
        </w:tc>
        <w:tc>
          <w:tcPr>
            <w:tcW w:w="987" w:type="dxa"/>
            <w:vAlign w:val="center"/>
          </w:tcPr>
          <w:p w14:paraId="182DB512">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720</w:t>
            </w:r>
          </w:p>
        </w:tc>
        <w:tc>
          <w:tcPr>
            <w:tcW w:w="822" w:type="dxa"/>
            <w:tcBorders>
              <w:right w:val="nil"/>
            </w:tcBorders>
            <w:vAlign w:val="center"/>
          </w:tcPr>
          <w:p w14:paraId="70567340">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1600</w:t>
            </w:r>
          </w:p>
        </w:tc>
      </w:tr>
      <w:tr w14:paraId="5E8F71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486" w:type="dxa"/>
            <w:tcBorders>
              <w:left w:val="nil"/>
            </w:tcBorders>
            <w:vAlign w:val="center"/>
          </w:tcPr>
          <w:p w14:paraId="00D6615F">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w:t>
            </w:r>
          </w:p>
        </w:tc>
        <w:tc>
          <w:tcPr>
            <w:tcW w:w="848" w:type="dxa"/>
            <w:vAlign w:val="center"/>
          </w:tcPr>
          <w:p w14:paraId="2639996D">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spacing w:val="-1"/>
                <w:highlight w:val="none"/>
                <w:lang w:val="en-US" w:eastAsia="zh-CN"/>
              </w:rPr>
            </w:pPr>
            <w:r>
              <w:rPr>
                <w:rFonts w:hint="default" w:ascii="Times New Roman" w:hAnsi="Times New Roman" w:eastAsia="宋体" w:cs="Times New Roman"/>
                <w:color w:val="auto"/>
                <w:spacing w:val="-1"/>
                <w:highlight w:val="none"/>
                <w:lang w:val="en-US" w:eastAsia="zh-CN"/>
              </w:rPr>
              <w:t>永富村</w:t>
            </w:r>
          </w:p>
        </w:tc>
        <w:tc>
          <w:tcPr>
            <w:tcW w:w="1342" w:type="dxa"/>
            <w:vAlign w:val="center"/>
          </w:tcPr>
          <w:p w14:paraId="1393DEC0">
            <w:pPr>
              <w:keepNext w:val="0"/>
              <w:keepLines w:val="0"/>
              <w:pageBreakBefore w:val="0"/>
              <w:widowControl/>
              <w:kinsoku/>
              <w:wordWrap w:val="0"/>
              <w:overflowPunct/>
              <w:topLinePunct/>
              <w:autoSpaceDE/>
              <w:autoSpaceDN/>
              <w:bidi w:val="0"/>
              <w:adjustRightInd w:val="0"/>
              <w:snapToGrid w:val="0"/>
              <w:spacing w:line="240" w:lineRule="auto"/>
              <w:ind w:left="19"/>
              <w:jc w:val="center"/>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131.19478718</w:t>
            </w:r>
          </w:p>
        </w:tc>
        <w:tc>
          <w:tcPr>
            <w:tcW w:w="1177" w:type="dxa"/>
            <w:vAlign w:val="center"/>
          </w:tcPr>
          <w:p w14:paraId="69C734F0">
            <w:pPr>
              <w:keepNext w:val="0"/>
              <w:keepLines w:val="0"/>
              <w:pageBreakBefore w:val="0"/>
              <w:widowControl/>
              <w:kinsoku/>
              <w:wordWrap w:val="0"/>
              <w:overflowPunct/>
              <w:topLinePunct/>
              <w:autoSpaceDE/>
              <w:autoSpaceDN/>
              <w:bidi w:val="0"/>
              <w:adjustRightInd w:val="0"/>
              <w:snapToGrid w:val="0"/>
              <w:spacing w:line="240" w:lineRule="auto"/>
              <w:ind w:left="1"/>
              <w:jc w:val="center"/>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46.78827433</w:t>
            </w:r>
          </w:p>
        </w:tc>
        <w:tc>
          <w:tcPr>
            <w:tcW w:w="1085" w:type="dxa"/>
            <w:shd w:val="clear" w:color="auto" w:fill="auto"/>
            <w:vAlign w:val="center"/>
          </w:tcPr>
          <w:p w14:paraId="5F246F3E">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pacing w:val="-2"/>
                <w:highlight w:val="none"/>
              </w:rPr>
              <w:t>居住区</w:t>
            </w:r>
          </w:p>
        </w:tc>
        <w:tc>
          <w:tcPr>
            <w:tcW w:w="1104" w:type="dxa"/>
            <w:shd w:val="clear" w:color="auto" w:fill="auto"/>
            <w:vAlign w:val="center"/>
          </w:tcPr>
          <w:p w14:paraId="07ABC004">
            <w:pPr>
              <w:pStyle w:val="35"/>
              <w:keepNext w:val="0"/>
              <w:keepLines w:val="0"/>
              <w:pageBreakBefore w:val="0"/>
              <w:widowControl/>
              <w:kinsoku/>
              <w:wordWrap w:val="0"/>
              <w:overflowPunct/>
              <w:topLinePunct/>
              <w:autoSpaceDE/>
              <w:autoSpaceDN/>
              <w:bidi w:val="0"/>
              <w:adjustRightInd w:val="0"/>
              <w:snapToGrid w:val="0"/>
              <w:spacing w:line="240" w:lineRule="auto"/>
              <w:ind w:left="340" w:leftChars="0"/>
              <w:jc w:val="both"/>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pacing w:val="-2"/>
                <w:highlight w:val="none"/>
              </w:rPr>
              <w:t>居民</w:t>
            </w:r>
          </w:p>
        </w:tc>
        <w:tc>
          <w:tcPr>
            <w:tcW w:w="680" w:type="dxa"/>
            <w:vMerge w:val="continue"/>
            <w:vAlign w:val="center"/>
          </w:tcPr>
          <w:p w14:paraId="2E15FC93">
            <w:pPr>
              <w:pStyle w:val="35"/>
              <w:keepNext w:val="0"/>
              <w:keepLines w:val="0"/>
              <w:pageBreakBefore w:val="0"/>
              <w:widowControl/>
              <w:kinsoku/>
              <w:wordWrap w:val="0"/>
              <w:overflowPunct/>
              <w:topLinePunct/>
              <w:autoSpaceDE/>
              <w:autoSpaceDN/>
              <w:bidi w:val="0"/>
              <w:adjustRightInd w:val="0"/>
              <w:snapToGrid w:val="0"/>
              <w:spacing w:line="240" w:lineRule="auto"/>
              <w:ind w:left="30"/>
              <w:textAlignment w:val="baseline"/>
              <w:rPr>
                <w:rFonts w:hint="default" w:ascii="Times New Roman" w:hAnsi="Times New Roman" w:eastAsia="宋体" w:cs="Times New Roman"/>
                <w:color w:val="auto"/>
                <w:highlight w:val="none"/>
              </w:rPr>
            </w:pPr>
          </w:p>
        </w:tc>
        <w:tc>
          <w:tcPr>
            <w:tcW w:w="554" w:type="dxa"/>
            <w:vAlign w:val="center"/>
          </w:tcPr>
          <w:p w14:paraId="712951B4">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SE</w:t>
            </w:r>
          </w:p>
        </w:tc>
        <w:tc>
          <w:tcPr>
            <w:tcW w:w="987" w:type="dxa"/>
            <w:vAlign w:val="center"/>
          </w:tcPr>
          <w:p w14:paraId="14C0598F">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1890</w:t>
            </w:r>
          </w:p>
        </w:tc>
        <w:tc>
          <w:tcPr>
            <w:tcW w:w="822" w:type="dxa"/>
            <w:tcBorders>
              <w:right w:val="nil"/>
            </w:tcBorders>
            <w:vAlign w:val="center"/>
          </w:tcPr>
          <w:p w14:paraId="3CC905CB">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2500</w:t>
            </w:r>
          </w:p>
        </w:tc>
      </w:tr>
    </w:tbl>
    <w:p w14:paraId="4C691EDD">
      <w:pPr>
        <w:keepNext w:val="0"/>
        <w:keepLines w:val="0"/>
        <w:pageBreakBefore w:val="0"/>
        <w:widowControl/>
        <w:kinsoku/>
        <w:wordWrap w:val="0"/>
        <w:overflowPunct/>
        <w:topLinePunct/>
        <w:autoSpaceDE/>
        <w:autoSpaceDN/>
        <w:bidi w:val="0"/>
        <w:adjustRightInd w:val="0"/>
        <w:snapToGrid w:val="0"/>
        <w:spacing w:before="0" w:beforeLines="100"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144" w:name="_Toc6755"/>
      <w:bookmarkStart w:id="145" w:name="_Toc8813"/>
      <w:bookmarkStart w:id="146" w:name="_Toc44"/>
      <w:bookmarkStart w:id="147" w:name="_Toc32418"/>
      <w:bookmarkStart w:id="148" w:name="_Toc7086"/>
      <w:r>
        <w:rPr>
          <w:rFonts w:hint="default" w:ascii="Times New Roman" w:hAnsi="Times New Roman" w:eastAsia="Times New Roman" w:cs="Times New Roman"/>
          <w:b/>
          <w:bCs/>
          <w:color w:val="auto"/>
          <w:spacing w:val="-5"/>
          <w:sz w:val="28"/>
          <w:szCs w:val="28"/>
          <w:highlight w:val="none"/>
        </w:rPr>
        <w:t>4.3环境质量现状调查与评价</w:t>
      </w:r>
      <w:bookmarkEnd w:id="144"/>
      <w:bookmarkEnd w:id="145"/>
      <w:bookmarkEnd w:id="146"/>
    </w:p>
    <w:p w14:paraId="1EFF443F">
      <w:pPr>
        <w:keepNext w:val="0"/>
        <w:keepLines w:val="0"/>
        <w:pageBreakBefore w:val="0"/>
        <w:widowControl/>
        <w:kinsoku/>
        <w:wordWrap w:val="0"/>
        <w:overflowPunct/>
        <w:topLinePunct/>
        <w:autoSpaceDE/>
        <w:autoSpaceDN/>
        <w:bidi w:val="0"/>
        <w:adjustRightInd w:val="0"/>
        <w:snapToGrid w:val="0"/>
        <w:spacing w:line="360" w:lineRule="auto"/>
        <w:ind w:firstLine="472" w:firstLineChars="200"/>
        <w:textAlignment w:val="baseline"/>
        <w:rPr>
          <w:rFonts w:hint="default" w:ascii="Times New Roman" w:hAnsi="Times New Roman" w:eastAsia="宋体" w:cs="Times New Roman"/>
          <w:color w:val="auto"/>
          <w:spacing w:val="-2"/>
          <w:sz w:val="24"/>
          <w:szCs w:val="24"/>
          <w:highlight w:val="none"/>
        </w:rPr>
      </w:pPr>
      <w:r>
        <w:rPr>
          <w:rFonts w:hint="default" w:ascii="Times New Roman" w:hAnsi="Times New Roman" w:eastAsia="宋体" w:cs="Times New Roman"/>
          <w:color w:val="auto"/>
          <w:spacing w:val="-2"/>
          <w:sz w:val="24"/>
          <w:szCs w:val="24"/>
          <w:highlight w:val="none"/>
        </w:rPr>
        <w:t>项目现状补充监测由建设单位委托黑龙江中邺检测技术有限公司对项目所在区域大气、地下水、噪声和土壤环境要素进行补充监测。</w:t>
      </w:r>
    </w:p>
    <w:p w14:paraId="7C49800A">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49" w:name="_Toc32273"/>
      <w:r>
        <w:rPr>
          <w:rFonts w:hint="default" w:ascii="Times New Roman" w:hAnsi="Times New Roman" w:eastAsia="宋体" w:cs="Times New Roman"/>
          <w:b/>
          <w:bCs/>
          <w:color w:val="auto"/>
          <w:spacing w:val="-2"/>
          <w:sz w:val="24"/>
          <w:szCs w:val="24"/>
          <w:highlight w:val="none"/>
          <w:lang w:val="en-US" w:eastAsia="zh-CN"/>
        </w:rPr>
        <w:t>4.3.1地表水环境现状</w:t>
      </w:r>
      <w:bookmarkEnd w:id="149"/>
    </w:p>
    <w:p w14:paraId="5A78701D">
      <w:pPr>
        <w:keepNext w:val="0"/>
        <w:keepLines w:val="0"/>
        <w:pageBreakBefore w:val="0"/>
        <w:widowControl/>
        <w:kinsoku/>
        <w:wordWrap w:val="0"/>
        <w:overflowPunct/>
        <w:topLinePunct/>
        <w:autoSpaceDE/>
        <w:autoSpaceDN/>
        <w:bidi w:val="0"/>
        <w:adjustRightInd w:val="0"/>
        <w:snapToGrid w:val="0"/>
        <w:spacing w:line="360" w:lineRule="auto"/>
        <w:ind w:left="0" w:right="0" w:firstLine="48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根据《环境影响评价技术导则地表水环境》</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z w:val="24"/>
          <w:szCs w:val="24"/>
          <w:highlight w:val="none"/>
        </w:rPr>
        <w:t>HJ</w:t>
      </w:r>
      <w:r>
        <w:rPr>
          <w:rFonts w:hint="default" w:ascii="Times New Roman" w:hAnsi="Times New Roman" w:eastAsia="Times New Roman" w:cs="Times New Roman"/>
          <w:color w:val="auto"/>
          <w:spacing w:val="1"/>
          <w:sz w:val="24"/>
          <w:szCs w:val="24"/>
          <w:highlight w:val="none"/>
        </w:rPr>
        <w:t>2.3-2018</w:t>
      </w:r>
      <w:r>
        <w:rPr>
          <w:rFonts w:hint="default" w:ascii="Times New Roman" w:hAnsi="Times New Roman" w:eastAsia="宋体" w:cs="Times New Roman"/>
          <w:color w:val="auto"/>
          <w:spacing w:val="1"/>
          <w:sz w:val="24"/>
          <w:szCs w:val="24"/>
          <w:highlight w:val="none"/>
        </w:rPr>
        <w:t>），本项目为水污染</w:t>
      </w:r>
      <w:r>
        <w:rPr>
          <w:rFonts w:hint="default" w:ascii="Times New Roman" w:hAnsi="Times New Roman" w:eastAsia="宋体" w:cs="Times New Roman"/>
          <w:color w:val="auto"/>
          <w:spacing w:val="-2"/>
          <w:sz w:val="24"/>
          <w:szCs w:val="24"/>
          <w:highlight w:val="none"/>
        </w:rPr>
        <w:t>影响型建设项目，排放方式为间接排放，评价等级为三级</w:t>
      </w:r>
      <w:r>
        <w:rPr>
          <w:rFonts w:hint="default" w:ascii="Times New Roman" w:hAnsi="Times New Roman" w:eastAsia="Times New Roman" w:cs="Times New Roman"/>
          <w:color w:val="auto"/>
          <w:spacing w:val="-2"/>
          <w:sz w:val="24"/>
          <w:szCs w:val="24"/>
          <w:highlight w:val="none"/>
        </w:rPr>
        <w:t>B</w:t>
      </w:r>
      <w:r>
        <w:rPr>
          <w:rFonts w:hint="default" w:ascii="Times New Roman" w:hAnsi="Times New Roman" w:eastAsia="宋体" w:cs="Times New Roman"/>
          <w:color w:val="auto"/>
          <w:spacing w:val="-2"/>
          <w:sz w:val="24"/>
          <w:szCs w:val="24"/>
          <w:highlight w:val="none"/>
        </w:rPr>
        <w:t>，三级</w:t>
      </w:r>
      <w:r>
        <w:rPr>
          <w:rFonts w:hint="default" w:ascii="Times New Roman" w:hAnsi="Times New Roman" w:eastAsia="Times New Roman" w:cs="Times New Roman"/>
          <w:color w:val="auto"/>
          <w:spacing w:val="-2"/>
          <w:sz w:val="24"/>
          <w:szCs w:val="24"/>
          <w:highlight w:val="none"/>
        </w:rPr>
        <w:t>B</w:t>
      </w:r>
      <w:r>
        <w:rPr>
          <w:rFonts w:hint="default" w:ascii="Times New Roman" w:hAnsi="Times New Roman" w:eastAsia="宋体" w:cs="Times New Roman"/>
          <w:color w:val="auto"/>
          <w:spacing w:val="-2"/>
          <w:sz w:val="24"/>
          <w:szCs w:val="24"/>
          <w:highlight w:val="none"/>
        </w:rPr>
        <w:t>评价可不考虑</w:t>
      </w:r>
      <w:r>
        <w:rPr>
          <w:rFonts w:hint="default" w:ascii="Times New Roman" w:hAnsi="Times New Roman" w:eastAsia="宋体" w:cs="Times New Roman"/>
          <w:color w:val="auto"/>
          <w:spacing w:val="-7"/>
          <w:sz w:val="24"/>
          <w:szCs w:val="24"/>
          <w:highlight w:val="none"/>
        </w:rPr>
        <w:t>评价时期。</w:t>
      </w:r>
    </w:p>
    <w:p w14:paraId="18BF6E18">
      <w:pPr>
        <w:keepNext w:val="0"/>
        <w:keepLines w:val="0"/>
        <w:pageBreakBefore w:val="0"/>
        <w:widowControl/>
        <w:suppressLineNumbers w:val="0"/>
        <w:kinsoku/>
        <w:wordWrap w:val="0"/>
        <w:overflowPunct/>
        <w:topLinePunct/>
        <w:autoSpaceDE/>
        <w:autoSpaceDN/>
        <w:bidi w:val="0"/>
        <w:adjustRightInd/>
        <w:snapToGrid/>
        <w:spacing w:beforeAutospacing="0" w:after="0" w:afterAutospacing="0" w:line="360" w:lineRule="auto"/>
        <w:ind w:left="0" w:right="0" w:firstLine="464" w:firstLineChars="200"/>
        <w:jc w:val="left"/>
        <w:textAlignment w:val="auto"/>
        <w:rPr>
          <w:rFonts w:hint="default" w:ascii="Times New Roman" w:hAnsi="Times New Roman" w:eastAsia="宋体" w:cs="Times New Roman"/>
          <w:color w:val="auto"/>
          <w:spacing w:val="-4"/>
          <w:sz w:val="24"/>
          <w:szCs w:val="24"/>
          <w:highlight w:val="none"/>
        </w:rPr>
      </w:pPr>
      <w:r>
        <w:rPr>
          <w:rFonts w:hint="default" w:ascii="Times New Roman" w:hAnsi="Times New Roman" w:eastAsia="宋体" w:cs="Times New Roman"/>
          <w:color w:val="auto"/>
          <w:spacing w:val="-4"/>
          <w:sz w:val="24"/>
          <w:szCs w:val="24"/>
          <w:highlight w:val="none"/>
        </w:rPr>
        <w:t>本项目所在区域地表水体主要为安邦河，安邦河为松花江右岸支流，根据《全国重要江河湖泊水功能区划(2011-2030)》确定该段水质目标为Ⅳ类水体。根据2022年双鸭山市水质环境质量报告(第一季度</w:t>
      </w:r>
      <w:r>
        <w:rPr>
          <w:rFonts w:hint="eastAsia" w:ascii="Times New Roman" w:hAnsi="Times New Roman" w:eastAsia="宋体" w:cs="Times New Roman"/>
          <w:color w:val="auto"/>
          <w:spacing w:val="-4"/>
          <w:sz w:val="24"/>
          <w:szCs w:val="24"/>
          <w:highlight w:val="none"/>
          <w:lang w:val="en-US" w:eastAsia="zh-CN"/>
        </w:rPr>
        <w:t>-</w:t>
      </w:r>
      <w:r>
        <w:rPr>
          <w:rFonts w:hint="default" w:ascii="Times New Roman" w:hAnsi="Times New Roman" w:eastAsia="宋体" w:cs="Times New Roman"/>
          <w:color w:val="auto"/>
          <w:spacing w:val="-4"/>
          <w:sz w:val="24"/>
          <w:szCs w:val="24"/>
          <w:highlight w:val="none"/>
        </w:rPr>
        <w:t>第四季度)，安邦河(兴农排灌站断面)2022年第一季度监测项目24项，水质满足Ⅳ类水质要求</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第二季度监测项目 10项，水质满足Ⅳ类水质要求</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第三季度监测项目 11项，水质满足Ⅳ类水质要求</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第四季度监测项目11项，水质满足Ⅳ类水质要求。因此根据202</w:t>
      </w:r>
      <w:r>
        <w:rPr>
          <w:rFonts w:hint="default" w:ascii="Times New Roman" w:hAnsi="Times New Roman" w:eastAsia="宋体" w:cs="Times New Roman"/>
          <w:color w:val="auto"/>
          <w:spacing w:val="-4"/>
          <w:sz w:val="24"/>
          <w:szCs w:val="24"/>
          <w:highlight w:val="none"/>
          <w:lang w:val="en-US" w:eastAsia="zh-CN"/>
        </w:rPr>
        <w:t>3</w:t>
      </w:r>
      <w:r>
        <w:rPr>
          <w:rFonts w:hint="default" w:ascii="Times New Roman" w:hAnsi="Times New Roman" w:eastAsia="宋体" w:cs="Times New Roman"/>
          <w:color w:val="auto"/>
          <w:spacing w:val="-4"/>
          <w:sz w:val="24"/>
          <w:szCs w:val="24"/>
          <w:highlight w:val="none"/>
        </w:rPr>
        <w:t>年双鸭山市水质环境质量报告可知安邦河满足《地表水环境质量标准》(GB3838-2002)Ⅳ类水环境功能区要求。</w:t>
      </w:r>
    </w:p>
    <w:p w14:paraId="2BB8FE14">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50" w:name="_Toc16885"/>
      <w:r>
        <w:rPr>
          <w:rFonts w:hint="default" w:ascii="Times New Roman" w:hAnsi="Times New Roman" w:eastAsia="宋体" w:cs="Times New Roman"/>
          <w:b/>
          <w:bCs/>
          <w:color w:val="auto"/>
          <w:spacing w:val="-2"/>
          <w:sz w:val="24"/>
          <w:szCs w:val="24"/>
          <w:highlight w:val="none"/>
          <w:lang w:val="en-US" w:eastAsia="zh-CN"/>
        </w:rPr>
        <w:t>4.3.2环境空气现状监测与评价</w:t>
      </w:r>
      <w:bookmarkEnd w:id="150"/>
    </w:p>
    <w:p w14:paraId="0718D4E2">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4.3.2.1区域环境空气质量现状</w:t>
      </w:r>
    </w:p>
    <w:p w14:paraId="26EF0B30">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按照</w:t>
      </w:r>
      <w:r>
        <w:rPr>
          <w:rFonts w:hint="default" w:ascii="Times New Roman" w:hAnsi="Times New Roman" w:eastAsia="Times New Roman" w:cs="Times New Roman"/>
          <w:color w:val="auto"/>
          <w:spacing w:val="0"/>
          <w:sz w:val="24"/>
          <w:szCs w:val="24"/>
          <w:highlight w:val="none"/>
        </w:rPr>
        <w:t>HJ663</w:t>
      </w:r>
      <w:r>
        <w:rPr>
          <w:rFonts w:hint="default" w:ascii="Times New Roman" w:hAnsi="Times New Roman" w:eastAsia="宋体" w:cs="Times New Roman"/>
          <w:color w:val="auto"/>
          <w:spacing w:val="0"/>
          <w:sz w:val="24"/>
          <w:szCs w:val="24"/>
          <w:highlight w:val="none"/>
        </w:rPr>
        <w:t>中各评价项目的年评价指标和保证率日平均质量浓度评价指标对双鸭山市</w:t>
      </w:r>
      <w:r>
        <w:rPr>
          <w:rFonts w:hint="default" w:ascii="Times New Roman" w:hAnsi="Times New Roman" w:eastAsia="Times New Roman" w:cs="Times New Roman"/>
          <w:color w:val="auto"/>
          <w:spacing w:val="0"/>
          <w:sz w:val="24"/>
          <w:szCs w:val="24"/>
          <w:highlight w:val="none"/>
        </w:rPr>
        <w:t>202</w:t>
      </w:r>
      <w:r>
        <w:rPr>
          <w:rFonts w:hint="default" w:ascii="Times New Roman" w:hAnsi="Times New Roman" w:eastAsia="宋体" w:cs="Times New Roman"/>
          <w:color w:val="auto"/>
          <w:spacing w:val="0"/>
          <w:sz w:val="24"/>
          <w:szCs w:val="24"/>
          <w:highlight w:val="none"/>
          <w:lang w:val="en-US" w:eastAsia="zh-CN"/>
        </w:rPr>
        <w:t>4</w:t>
      </w:r>
      <w:r>
        <w:rPr>
          <w:rFonts w:hint="default" w:ascii="Times New Roman" w:hAnsi="Times New Roman" w:eastAsia="宋体" w:cs="Times New Roman"/>
          <w:color w:val="auto"/>
          <w:spacing w:val="0"/>
          <w:sz w:val="24"/>
          <w:szCs w:val="24"/>
          <w:highlight w:val="none"/>
        </w:rPr>
        <w:t>年空气质量监测数据进行判定。</w:t>
      </w:r>
    </w:p>
    <w:p w14:paraId="1BD90F75">
      <w:pPr>
        <w:pageBreakBefore w:val="0"/>
        <w:kinsoku/>
        <w:wordWrap w:val="0"/>
        <w:overflowPunct/>
        <w:topLinePunct/>
        <w:autoSpaceDE/>
        <w:autoSpaceDN/>
        <w:bidi w:val="0"/>
        <w:adjustRightInd w:val="0"/>
        <w:snapToGrid w:val="0"/>
        <w:spacing w:after="0" w:line="360" w:lineRule="auto"/>
        <w:ind w:firstLine="480" w:firstLineChars="200"/>
        <w:rPr>
          <w:rFonts w:hint="default" w:ascii="Times New Roman" w:hAnsi="Times New Roman" w:eastAsia="宋体" w:cs="Times New Roman"/>
          <w:snapToGrid w:val="0"/>
          <w:color w:val="auto"/>
          <w:kern w:val="0"/>
          <w:sz w:val="24"/>
          <w:szCs w:val="24"/>
          <w:highlight w:val="none"/>
          <w:u w:val="none"/>
          <w:lang w:val="en-US" w:eastAsia="zh-CN"/>
        </w:rPr>
      </w:pPr>
      <w:r>
        <w:rPr>
          <w:rFonts w:hint="default" w:ascii="Times New Roman" w:hAnsi="Times New Roman" w:eastAsia="宋体" w:cs="Times New Roman"/>
          <w:snapToGrid w:val="0"/>
          <w:color w:val="auto"/>
          <w:kern w:val="0"/>
          <w:sz w:val="24"/>
          <w:szCs w:val="24"/>
          <w:highlight w:val="none"/>
          <w:u w:val="none"/>
          <w:lang w:val="en-US" w:eastAsia="zh-CN"/>
        </w:rPr>
        <w:t>根据《环境空气质量标准》（GB3095-2012）中功能区划，本项目所在地环境空气质量功能为二类区，区域环境空气质量执行国家二级标准。</w:t>
      </w:r>
    </w:p>
    <w:p w14:paraId="3BC57939">
      <w:pPr>
        <w:pageBreakBefore w:val="0"/>
        <w:kinsoku/>
        <w:wordWrap w:val="0"/>
        <w:overflowPunct/>
        <w:topLinePunct/>
        <w:autoSpaceDE/>
        <w:autoSpaceDN/>
        <w:bidi w:val="0"/>
        <w:adjustRightInd w:val="0"/>
        <w:snapToGrid w:val="0"/>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根据《202</w:t>
      </w:r>
      <w:r>
        <w:rPr>
          <w:rFonts w:hint="default" w:ascii="Times New Roman" w:hAnsi="Times New Roman" w:cs="Times New Roman"/>
          <w:color w:val="auto"/>
          <w:sz w:val="24"/>
          <w:szCs w:val="24"/>
          <w:highlight w:val="none"/>
          <w:lang w:val="en-US" w:eastAsia="zh-CN"/>
        </w:rPr>
        <w:t>4</w:t>
      </w:r>
      <w:r>
        <w:rPr>
          <w:rFonts w:hint="default" w:ascii="Times New Roman" w:hAnsi="Times New Roman" w:cs="Times New Roman"/>
          <w:color w:val="auto"/>
          <w:sz w:val="24"/>
          <w:szCs w:val="24"/>
          <w:highlight w:val="none"/>
        </w:rPr>
        <w:t>年双鸭山市环境空气质量状况》中公布的数据，</w:t>
      </w:r>
      <w:r>
        <w:rPr>
          <w:rFonts w:hint="default" w:ascii="Times New Roman" w:hAnsi="Times New Roman" w:cs="Times New Roman"/>
          <w:color w:val="auto"/>
          <w:sz w:val="24"/>
          <w:szCs w:val="24"/>
          <w:highlight w:val="none"/>
          <w:lang w:val="en-US" w:eastAsia="zh-CN"/>
        </w:rPr>
        <w:t>2024</w:t>
      </w:r>
      <w:r>
        <w:rPr>
          <w:rFonts w:hint="default" w:ascii="Times New Roman" w:hAnsi="Times New Roman" w:cs="Times New Roman"/>
          <w:color w:val="auto"/>
          <w:sz w:val="24"/>
          <w:szCs w:val="24"/>
          <w:highlight w:val="none"/>
        </w:rPr>
        <w:t>年</w:t>
      </w:r>
      <w:r>
        <w:rPr>
          <w:rFonts w:hint="default" w:ascii="Times New Roman" w:hAnsi="Times New Roman" w:cs="Times New Roman"/>
          <w:color w:val="auto"/>
          <w:sz w:val="24"/>
          <w:szCs w:val="24"/>
          <w:highlight w:val="none"/>
          <w:lang w:eastAsia="zh-CN"/>
        </w:rPr>
        <w:t>双鸭山</w:t>
      </w:r>
      <w:r>
        <w:rPr>
          <w:rFonts w:hint="default" w:ascii="Times New Roman" w:hAnsi="Times New Roman" w:cs="Times New Roman"/>
          <w:color w:val="auto"/>
          <w:sz w:val="24"/>
          <w:szCs w:val="24"/>
          <w:highlight w:val="none"/>
        </w:rPr>
        <w:t>市各项污染物年均浓度综合情况如下表。</w:t>
      </w:r>
    </w:p>
    <w:p w14:paraId="7A0FA150">
      <w:pPr>
        <w:pStyle w:val="36"/>
        <w:keepNext w:val="0"/>
        <w:keepLines w:val="0"/>
        <w:pageBreakBefore w:val="0"/>
        <w:widowControl/>
        <w:kinsoku/>
        <w:wordWrap w:val="0"/>
        <w:overflowPunct/>
        <w:topLinePunct/>
        <w:autoSpaceDE/>
        <w:autoSpaceDN/>
        <w:bidi w:val="0"/>
        <w:adjustRightInd w:val="0"/>
        <w:snapToGrid w:val="0"/>
        <w:spacing w:after="0" w:line="240" w:lineRule="auto"/>
        <w:ind w:left="0" w:firstLine="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表</w:t>
      </w:r>
      <w:r>
        <w:rPr>
          <w:rFonts w:hint="default" w:ascii="Times New Roman" w:hAnsi="Times New Roman" w:cs="Times New Roman"/>
          <w:color w:val="auto"/>
          <w:sz w:val="24"/>
          <w:szCs w:val="24"/>
          <w:highlight w:val="none"/>
          <w:lang w:val="en-US" w:eastAsia="zh-CN"/>
        </w:rPr>
        <w:t xml:space="preserve">4.3-1 </w:t>
      </w:r>
      <w:r>
        <w:rPr>
          <w:rFonts w:hint="default" w:ascii="Times New Roman" w:hAnsi="Times New Roman" w:eastAsia="宋体" w:cs="Times New Roman"/>
          <w:color w:val="auto"/>
          <w:sz w:val="24"/>
          <w:szCs w:val="24"/>
          <w:highlight w:val="none"/>
        </w:rPr>
        <w:t>环境空气质量统计表   单位：μg/m</w:t>
      </w:r>
      <w:r>
        <w:rPr>
          <w:rFonts w:hint="default" w:ascii="Times New Roman" w:hAnsi="Times New Roman" w:eastAsia="宋体" w:cs="Times New Roman"/>
          <w:color w:val="auto"/>
          <w:sz w:val="24"/>
          <w:szCs w:val="24"/>
          <w:highlight w:val="none"/>
          <w:vertAlign w:val="superscript"/>
        </w:rPr>
        <w:t>3</w:t>
      </w:r>
    </w:p>
    <w:tbl>
      <w:tblPr>
        <w:tblStyle w:val="26"/>
        <w:tblW w:w="8035"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3690"/>
        <w:gridCol w:w="720"/>
        <w:gridCol w:w="667"/>
        <w:gridCol w:w="940"/>
        <w:gridCol w:w="1190"/>
      </w:tblGrid>
      <w:tr w14:paraId="7D120D9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noWrap w:val="0"/>
            <w:vAlign w:val="center"/>
          </w:tcPr>
          <w:p w14:paraId="4E891440">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w:t>
            </w:r>
          </w:p>
        </w:tc>
        <w:tc>
          <w:tcPr>
            <w:tcW w:w="3690" w:type="dxa"/>
            <w:tcBorders>
              <w:tl2br w:val="nil"/>
              <w:tr2bl w:val="nil"/>
            </w:tcBorders>
            <w:noWrap w:val="0"/>
            <w:vAlign w:val="center"/>
          </w:tcPr>
          <w:p w14:paraId="5B2C9351">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年评价指标</w:t>
            </w:r>
          </w:p>
        </w:tc>
        <w:tc>
          <w:tcPr>
            <w:tcW w:w="720" w:type="dxa"/>
            <w:tcBorders>
              <w:tl2br w:val="nil"/>
              <w:tr2bl w:val="nil"/>
            </w:tcBorders>
            <w:noWrap w:val="0"/>
            <w:vAlign w:val="center"/>
          </w:tcPr>
          <w:p w14:paraId="506FCF6B">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现状浓度</w:t>
            </w:r>
          </w:p>
        </w:tc>
        <w:tc>
          <w:tcPr>
            <w:tcW w:w="667" w:type="dxa"/>
            <w:tcBorders>
              <w:tl2br w:val="nil"/>
              <w:tr2bl w:val="nil"/>
            </w:tcBorders>
            <w:noWrap w:val="0"/>
            <w:vAlign w:val="center"/>
          </w:tcPr>
          <w:p w14:paraId="042C7335">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标准值</w:t>
            </w:r>
          </w:p>
        </w:tc>
        <w:tc>
          <w:tcPr>
            <w:tcW w:w="940" w:type="dxa"/>
            <w:tcBorders>
              <w:tl2br w:val="nil"/>
              <w:tr2bl w:val="nil"/>
            </w:tcBorders>
            <w:noWrap w:val="0"/>
            <w:vAlign w:val="center"/>
          </w:tcPr>
          <w:p w14:paraId="0631501C">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占标率%</w:t>
            </w:r>
          </w:p>
        </w:tc>
        <w:tc>
          <w:tcPr>
            <w:tcW w:w="1190" w:type="dxa"/>
            <w:tcBorders>
              <w:tl2br w:val="nil"/>
              <w:tr2bl w:val="nil"/>
            </w:tcBorders>
            <w:noWrap w:val="0"/>
            <w:vAlign w:val="center"/>
          </w:tcPr>
          <w:p w14:paraId="0B010A4D">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达标情况</w:t>
            </w:r>
          </w:p>
        </w:tc>
      </w:tr>
      <w:tr w14:paraId="733FADB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noWrap w:val="0"/>
            <w:vAlign w:val="center"/>
          </w:tcPr>
          <w:p w14:paraId="7EA51F0B">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PM</w:t>
            </w:r>
            <w:r>
              <w:rPr>
                <w:rFonts w:hint="default" w:ascii="Times New Roman" w:hAnsi="Times New Roman" w:eastAsia="宋体" w:cs="Times New Roman"/>
                <w:color w:val="auto"/>
                <w:sz w:val="21"/>
                <w:szCs w:val="21"/>
                <w:highlight w:val="none"/>
                <w:vertAlign w:val="subscript"/>
              </w:rPr>
              <w:t>2.5</w:t>
            </w:r>
          </w:p>
        </w:tc>
        <w:tc>
          <w:tcPr>
            <w:tcW w:w="3690" w:type="dxa"/>
            <w:tcBorders>
              <w:tl2br w:val="nil"/>
              <w:tr2bl w:val="nil"/>
            </w:tcBorders>
            <w:noWrap w:val="0"/>
            <w:vAlign w:val="center"/>
          </w:tcPr>
          <w:p w14:paraId="7E19217D">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年平均质量浓度</w:t>
            </w:r>
          </w:p>
        </w:tc>
        <w:tc>
          <w:tcPr>
            <w:tcW w:w="720" w:type="dxa"/>
            <w:tcBorders>
              <w:tl2br w:val="nil"/>
              <w:tr2bl w:val="nil"/>
            </w:tcBorders>
            <w:noWrap w:val="0"/>
            <w:vAlign w:val="center"/>
          </w:tcPr>
          <w:p w14:paraId="0E065697">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w:t>
            </w:r>
          </w:p>
        </w:tc>
        <w:tc>
          <w:tcPr>
            <w:tcW w:w="667" w:type="dxa"/>
            <w:tcBorders>
              <w:tl2br w:val="nil"/>
              <w:tr2bl w:val="nil"/>
            </w:tcBorders>
            <w:noWrap w:val="0"/>
            <w:vAlign w:val="center"/>
          </w:tcPr>
          <w:p w14:paraId="0F2A0BC0">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35</w:t>
            </w:r>
          </w:p>
        </w:tc>
        <w:tc>
          <w:tcPr>
            <w:tcW w:w="940" w:type="dxa"/>
            <w:tcBorders>
              <w:tl2br w:val="nil"/>
              <w:tr2bl w:val="nil"/>
            </w:tcBorders>
            <w:noWrap w:val="0"/>
            <w:vAlign w:val="center"/>
          </w:tcPr>
          <w:p w14:paraId="33C9F0F9">
            <w:pPr>
              <w:keepNext w:val="0"/>
              <w:keepLines w:val="0"/>
              <w:pageBreakBefore w:val="0"/>
              <w:widowControl/>
              <w:suppressLineNumbers w:val="0"/>
              <w:kinsoku/>
              <w:wordWrap w:val="0"/>
              <w:overflowPunct/>
              <w:topLinePunct/>
              <w:autoSpaceDE/>
              <w:autoSpaceDN/>
              <w:bidi w:val="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77.14</w:t>
            </w:r>
          </w:p>
        </w:tc>
        <w:tc>
          <w:tcPr>
            <w:tcW w:w="1190" w:type="dxa"/>
            <w:tcBorders>
              <w:tl2br w:val="nil"/>
              <w:tr2bl w:val="nil"/>
            </w:tcBorders>
            <w:noWrap w:val="0"/>
            <w:vAlign w:val="center"/>
          </w:tcPr>
          <w:p w14:paraId="0ABBBDA8">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w:t>
            </w:r>
          </w:p>
        </w:tc>
      </w:tr>
      <w:tr w14:paraId="1102B3D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noWrap w:val="0"/>
            <w:vAlign w:val="center"/>
          </w:tcPr>
          <w:p w14:paraId="541C83D0">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PM</w:t>
            </w:r>
            <w:r>
              <w:rPr>
                <w:rFonts w:hint="default" w:ascii="Times New Roman" w:hAnsi="Times New Roman" w:eastAsia="宋体" w:cs="Times New Roman"/>
                <w:color w:val="auto"/>
                <w:sz w:val="21"/>
                <w:szCs w:val="21"/>
                <w:highlight w:val="none"/>
                <w:vertAlign w:val="subscript"/>
              </w:rPr>
              <w:t>10</w:t>
            </w:r>
          </w:p>
        </w:tc>
        <w:tc>
          <w:tcPr>
            <w:tcW w:w="3690" w:type="dxa"/>
            <w:tcBorders>
              <w:tl2br w:val="nil"/>
              <w:tr2bl w:val="nil"/>
            </w:tcBorders>
            <w:noWrap w:val="0"/>
            <w:vAlign w:val="center"/>
          </w:tcPr>
          <w:p w14:paraId="28312E3F">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年平均质量浓度</w:t>
            </w:r>
          </w:p>
        </w:tc>
        <w:tc>
          <w:tcPr>
            <w:tcW w:w="720" w:type="dxa"/>
            <w:tcBorders>
              <w:tl2br w:val="nil"/>
              <w:tr2bl w:val="nil"/>
            </w:tcBorders>
            <w:noWrap w:val="0"/>
            <w:vAlign w:val="center"/>
          </w:tcPr>
          <w:p w14:paraId="797EB32D">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43</w:t>
            </w:r>
          </w:p>
        </w:tc>
        <w:tc>
          <w:tcPr>
            <w:tcW w:w="667" w:type="dxa"/>
            <w:tcBorders>
              <w:tl2br w:val="nil"/>
              <w:tr2bl w:val="nil"/>
            </w:tcBorders>
            <w:noWrap w:val="0"/>
            <w:vAlign w:val="center"/>
          </w:tcPr>
          <w:p w14:paraId="1103298A">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70</w:t>
            </w:r>
          </w:p>
        </w:tc>
        <w:tc>
          <w:tcPr>
            <w:tcW w:w="940" w:type="dxa"/>
            <w:tcBorders>
              <w:tl2br w:val="nil"/>
              <w:tr2bl w:val="nil"/>
            </w:tcBorders>
            <w:noWrap w:val="0"/>
            <w:vAlign w:val="center"/>
          </w:tcPr>
          <w:p w14:paraId="431B0F00">
            <w:pPr>
              <w:keepNext w:val="0"/>
              <w:keepLines w:val="0"/>
              <w:pageBreakBefore w:val="0"/>
              <w:widowControl/>
              <w:suppressLineNumbers w:val="0"/>
              <w:kinsoku/>
              <w:wordWrap w:val="0"/>
              <w:overflowPunct/>
              <w:topLinePunct/>
              <w:autoSpaceDE/>
              <w:autoSpaceDN/>
              <w:bidi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61.43</w:t>
            </w:r>
          </w:p>
        </w:tc>
        <w:tc>
          <w:tcPr>
            <w:tcW w:w="1190" w:type="dxa"/>
            <w:tcBorders>
              <w:tl2br w:val="nil"/>
              <w:tr2bl w:val="nil"/>
            </w:tcBorders>
            <w:noWrap w:val="0"/>
            <w:vAlign w:val="center"/>
          </w:tcPr>
          <w:p w14:paraId="2E3FD915">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w:t>
            </w:r>
          </w:p>
        </w:tc>
      </w:tr>
      <w:tr w14:paraId="1DCC80B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noWrap w:val="0"/>
            <w:vAlign w:val="center"/>
          </w:tcPr>
          <w:p w14:paraId="1E05739C">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NO</w:t>
            </w:r>
            <w:r>
              <w:rPr>
                <w:rFonts w:hint="default" w:ascii="Times New Roman" w:hAnsi="Times New Roman" w:eastAsia="宋体" w:cs="Times New Roman"/>
                <w:color w:val="auto"/>
                <w:sz w:val="21"/>
                <w:szCs w:val="21"/>
                <w:highlight w:val="none"/>
                <w:vertAlign w:val="subscript"/>
              </w:rPr>
              <w:t>2</w:t>
            </w:r>
          </w:p>
        </w:tc>
        <w:tc>
          <w:tcPr>
            <w:tcW w:w="3690" w:type="dxa"/>
            <w:tcBorders>
              <w:tl2br w:val="nil"/>
              <w:tr2bl w:val="nil"/>
            </w:tcBorders>
            <w:noWrap w:val="0"/>
            <w:vAlign w:val="center"/>
          </w:tcPr>
          <w:p w14:paraId="4BDC046A">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年平均质量浓度</w:t>
            </w:r>
          </w:p>
        </w:tc>
        <w:tc>
          <w:tcPr>
            <w:tcW w:w="720" w:type="dxa"/>
            <w:tcBorders>
              <w:tl2br w:val="nil"/>
              <w:tr2bl w:val="nil"/>
            </w:tcBorders>
            <w:noWrap w:val="0"/>
            <w:vAlign w:val="center"/>
          </w:tcPr>
          <w:p w14:paraId="6CEDC281">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15</w:t>
            </w:r>
          </w:p>
        </w:tc>
        <w:tc>
          <w:tcPr>
            <w:tcW w:w="667" w:type="dxa"/>
            <w:tcBorders>
              <w:tl2br w:val="nil"/>
              <w:tr2bl w:val="nil"/>
            </w:tcBorders>
            <w:noWrap w:val="0"/>
            <w:vAlign w:val="center"/>
          </w:tcPr>
          <w:p w14:paraId="7AB392B8">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40</w:t>
            </w:r>
          </w:p>
        </w:tc>
        <w:tc>
          <w:tcPr>
            <w:tcW w:w="940" w:type="dxa"/>
            <w:tcBorders>
              <w:tl2br w:val="nil"/>
              <w:tr2bl w:val="nil"/>
            </w:tcBorders>
            <w:noWrap w:val="0"/>
            <w:vAlign w:val="center"/>
          </w:tcPr>
          <w:p w14:paraId="14D1E343">
            <w:pPr>
              <w:keepNext w:val="0"/>
              <w:keepLines w:val="0"/>
              <w:pageBreakBefore w:val="0"/>
              <w:widowControl/>
              <w:suppressLineNumbers w:val="0"/>
              <w:kinsoku/>
              <w:wordWrap w:val="0"/>
              <w:overflowPunct/>
              <w:topLinePunct/>
              <w:autoSpaceDE/>
              <w:autoSpaceDN/>
              <w:bidi w:val="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37.50</w:t>
            </w:r>
          </w:p>
        </w:tc>
        <w:tc>
          <w:tcPr>
            <w:tcW w:w="1190" w:type="dxa"/>
            <w:tcBorders>
              <w:tl2br w:val="nil"/>
              <w:tr2bl w:val="nil"/>
            </w:tcBorders>
            <w:noWrap w:val="0"/>
            <w:vAlign w:val="center"/>
          </w:tcPr>
          <w:p w14:paraId="52632958">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w:t>
            </w:r>
          </w:p>
        </w:tc>
      </w:tr>
      <w:tr w14:paraId="3CB192F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noWrap w:val="0"/>
            <w:vAlign w:val="center"/>
          </w:tcPr>
          <w:p w14:paraId="23BD55F2">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SO</w:t>
            </w:r>
            <w:r>
              <w:rPr>
                <w:rFonts w:hint="default" w:ascii="Times New Roman" w:hAnsi="Times New Roman" w:eastAsia="宋体" w:cs="Times New Roman"/>
                <w:color w:val="auto"/>
                <w:sz w:val="21"/>
                <w:szCs w:val="21"/>
                <w:highlight w:val="none"/>
                <w:vertAlign w:val="subscript"/>
              </w:rPr>
              <w:t>2</w:t>
            </w:r>
          </w:p>
        </w:tc>
        <w:tc>
          <w:tcPr>
            <w:tcW w:w="3690" w:type="dxa"/>
            <w:tcBorders>
              <w:tl2br w:val="nil"/>
              <w:tr2bl w:val="nil"/>
            </w:tcBorders>
            <w:noWrap w:val="0"/>
            <w:vAlign w:val="center"/>
          </w:tcPr>
          <w:p w14:paraId="3126C34E">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年平均质量浓度</w:t>
            </w:r>
          </w:p>
        </w:tc>
        <w:tc>
          <w:tcPr>
            <w:tcW w:w="720" w:type="dxa"/>
            <w:tcBorders>
              <w:tl2br w:val="nil"/>
              <w:tr2bl w:val="nil"/>
            </w:tcBorders>
            <w:noWrap w:val="0"/>
            <w:vAlign w:val="center"/>
          </w:tcPr>
          <w:p w14:paraId="554BFA03">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11</w:t>
            </w:r>
          </w:p>
        </w:tc>
        <w:tc>
          <w:tcPr>
            <w:tcW w:w="667" w:type="dxa"/>
            <w:tcBorders>
              <w:tl2br w:val="nil"/>
              <w:tr2bl w:val="nil"/>
            </w:tcBorders>
            <w:noWrap w:val="0"/>
            <w:vAlign w:val="center"/>
          </w:tcPr>
          <w:p w14:paraId="63C64945">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60</w:t>
            </w:r>
          </w:p>
        </w:tc>
        <w:tc>
          <w:tcPr>
            <w:tcW w:w="940" w:type="dxa"/>
            <w:tcBorders>
              <w:tl2br w:val="nil"/>
              <w:tr2bl w:val="nil"/>
            </w:tcBorders>
            <w:noWrap w:val="0"/>
            <w:vAlign w:val="center"/>
          </w:tcPr>
          <w:p w14:paraId="1D19A9BF">
            <w:pPr>
              <w:keepNext w:val="0"/>
              <w:keepLines w:val="0"/>
              <w:pageBreakBefore w:val="0"/>
              <w:widowControl/>
              <w:suppressLineNumbers w:val="0"/>
              <w:kinsoku/>
              <w:wordWrap w:val="0"/>
              <w:overflowPunct/>
              <w:topLinePunct/>
              <w:autoSpaceDE/>
              <w:autoSpaceDN/>
              <w:bidi w:val="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18.33</w:t>
            </w:r>
          </w:p>
        </w:tc>
        <w:tc>
          <w:tcPr>
            <w:tcW w:w="1190" w:type="dxa"/>
            <w:tcBorders>
              <w:tl2br w:val="nil"/>
              <w:tr2bl w:val="nil"/>
            </w:tcBorders>
            <w:noWrap w:val="0"/>
            <w:vAlign w:val="center"/>
          </w:tcPr>
          <w:p w14:paraId="718CE24A">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w:t>
            </w:r>
          </w:p>
        </w:tc>
      </w:tr>
      <w:tr w14:paraId="243CE35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noWrap w:val="0"/>
            <w:vAlign w:val="center"/>
          </w:tcPr>
          <w:p w14:paraId="433B0BB0">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CO</w:t>
            </w:r>
          </w:p>
        </w:tc>
        <w:tc>
          <w:tcPr>
            <w:tcW w:w="3690" w:type="dxa"/>
            <w:tcBorders>
              <w:tl2br w:val="nil"/>
              <w:tr2bl w:val="nil"/>
            </w:tcBorders>
            <w:noWrap w:val="0"/>
            <w:vAlign w:val="center"/>
          </w:tcPr>
          <w:p w14:paraId="5CBF74C2">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第95百分位数日平均浓度（mg/m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w:t>
            </w:r>
          </w:p>
        </w:tc>
        <w:tc>
          <w:tcPr>
            <w:tcW w:w="720" w:type="dxa"/>
            <w:tcBorders>
              <w:tl2br w:val="nil"/>
              <w:tr2bl w:val="nil"/>
            </w:tcBorders>
            <w:noWrap w:val="0"/>
            <w:vAlign w:val="center"/>
          </w:tcPr>
          <w:p w14:paraId="1B68CC2B">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0.9</w:t>
            </w:r>
          </w:p>
        </w:tc>
        <w:tc>
          <w:tcPr>
            <w:tcW w:w="667" w:type="dxa"/>
            <w:tcBorders>
              <w:tl2br w:val="nil"/>
              <w:tr2bl w:val="nil"/>
            </w:tcBorders>
            <w:noWrap w:val="0"/>
            <w:vAlign w:val="center"/>
          </w:tcPr>
          <w:p w14:paraId="3D8AD686">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4</w:t>
            </w:r>
          </w:p>
        </w:tc>
        <w:tc>
          <w:tcPr>
            <w:tcW w:w="940" w:type="dxa"/>
            <w:tcBorders>
              <w:tl2br w:val="nil"/>
              <w:tr2bl w:val="nil"/>
            </w:tcBorders>
            <w:noWrap w:val="0"/>
            <w:vAlign w:val="center"/>
          </w:tcPr>
          <w:p w14:paraId="79491922">
            <w:pPr>
              <w:keepNext w:val="0"/>
              <w:keepLines w:val="0"/>
              <w:pageBreakBefore w:val="0"/>
              <w:widowControl/>
              <w:suppressLineNumbers w:val="0"/>
              <w:kinsoku/>
              <w:wordWrap w:val="0"/>
              <w:overflowPunct/>
              <w:topLinePunct/>
              <w:autoSpaceDE/>
              <w:autoSpaceDN/>
              <w:bidi w:val="0"/>
              <w:jc w:val="center"/>
              <w:textAlignment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i w:val="0"/>
                <w:iCs w:val="0"/>
                <w:color w:val="auto"/>
                <w:kern w:val="0"/>
                <w:sz w:val="21"/>
                <w:szCs w:val="21"/>
                <w:highlight w:val="none"/>
                <w:u w:val="none"/>
                <w:lang w:val="en-US" w:eastAsia="zh-CN" w:bidi="ar"/>
              </w:rPr>
              <w:t>22.50</w:t>
            </w:r>
          </w:p>
        </w:tc>
        <w:tc>
          <w:tcPr>
            <w:tcW w:w="1190" w:type="dxa"/>
            <w:tcBorders>
              <w:tl2br w:val="nil"/>
              <w:tr2bl w:val="nil"/>
            </w:tcBorders>
            <w:noWrap w:val="0"/>
            <w:vAlign w:val="center"/>
          </w:tcPr>
          <w:p w14:paraId="308CE26A">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w:t>
            </w:r>
          </w:p>
        </w:tc>
      </w:tr>
      <w:tr w14:paraId="25DB6D0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noWrap w:val="0"/>
            <w:vAlign w:val="center"/>
          </w:tcPr>
          <w:p w14:paraId="30F93ABD">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O</w:t>
            </w:r>
            <w:r>
              <w:rPr>
                <w:rFonts w:hint="default" w:ascii="Times New Roman" w:hAnsi="Times New Roman" w:eastAsia="宋体" w:cs="Times New Roman"/>
                <w:color w:val="auto"/>
                <w:sz w:val="21"/>
                <w:szCs w:val="21"/>
                <w:highlight w:val="none"/>
                <w:vertAlign w:val="subscript"/>
              </w:rPr>
              <w:t>3</w:t>
            </w:r>
          </w:p>
        </w:tc>
        <w:tc>
          <w:tcPr>
            <w:tcW w:w="3690" w:type="dxa"/>
            <w:tcBorders>
              <w:tl2br w:val="nil"/>
              <w:tr2bl w:val="nil"/>
            </w:tcBorders>
            <w:noWrap w:val="0"/>
            <w:vAlign w:val="center"/>
          </w:tcPr>
          <w:p w14:paraId="54FFDF82">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第90百分位数8h平均质量浓度</w:t>
            </w:r>
          </w:p>
        </w:tc>
        <w:tc>
          <w:tcPr>
            <w:tcW w:w="720" w:type="dxa"/>
            <w:tcBorders>
              <w:tl2br w:val="nil"/>
              <w:tr2bl w:val="nil"/>
            </w:tcBorders>
            <w:noWrap w:val="0"/>
            <w:vAlign w:val="center"/>
          </w:tcPr>
          <w:p w14:paraId="6B812362">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105</w:t>
            </w:r>
          </w:p>
        </w:tc>
        <w:tc>
          <w:tcPr>
            <w:tcW w:w="667" w:type="dxa"/>
            <w:tcBorders>
              <w:tl2br w:val="nil"/>
              <w:tr2bl w:val="nil"/>
            </w:tcBorders>
            <w:noWrap w:val="0"/>
            <w:vAlign w:val="center"/>
          </w:tcPr>
          <w:p w14:paraId="6513E3A7">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160</w:t>
            </w:r>
          </w:p>
        </w:tc>
        <w:tc>
          <w:tcPr>
            <w:tcW w:w="940" w:type="dxa"/>
            <w:tcBorders>
              <w:tl2br w:val="nil"/>
              <w:tr2bl w:val="nil"/>
            </w:tcBorders>
            <w:noWrap w:val="0"/>
            <w:vAlign w:val="center"/>
          </w:tcPr>
          <w:p w14:paraId="139401D7">
            <w:pPr>
              <w:keepNext w:val="0"/>
              <w:keepLines w:val="0"/>
              <w:pageBreakBefore w:val="0"/>
              <w:widowControl/>
              <w:suppressLineNumbers w:val="0"/>
              <w:kinsoku/>
              <w:wordWrap w:val="0"/>
              <w:overflowPunct/>
              <w:topLinePunct/>
              <w:autoSpaceDE/>
              <w:autoSpaceDN/>
              <w:bidi w:val="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65.63</w:t>
            </w:r>
          </w:p>
        </w:tc>
        <w:tc>
          <w:tcPr>
            <w:tcW w:w="1190" w:type="dxa"/>
            <w:tcBorders>
              <w:tl2br w:val="nil"/>
              <w:tr2bl w:val="nil"/>
            </w:tcBorders>
            <w:noWrap w:val="0"/>
            <w:vAlign w:val="center"/>
          </w:tcPr>
          <w:p w14:paraId="5CC1DFB8">
            <w:pPr>
              <w:pageBreakBefore w:val="0"/>
              <w:kinsoku/>
              <w:wordWrap w:val="0"/>
              <w:overflowPunct/>
              <w:topLinePunct/>
              <w:autoSpaceDE/>
              <w:autoSpaceDN/>
              <w:bidi w:val="0"/>
              <w:adjustRightInd w:val="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w:t>
            </w:r>
          </w:p>
        </w:tc>
      </w:tr>
    </w:tbl>
    <w:p w14:paraId="3CB8DE4D">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sz w:val="24"/>
          <w:szCs w:val="24"/>
          <w:highlight w:val="none"/>
        </w:rPr>
        <w:t>由表3-1可知，</w:t>
      </w:r>
      <w:r>
        <w:rPr>
          <w:rFonts w:hint="default" w:ascii="Times New Roman" w:hAnsi="Times New Roman" w:cs="Times New Roman"/>
          <w:color w:val="auto"/>
          <w:sz w:val="24"/>
          <w:szCs w:val="24"/>
          <w:highlight w:val="none"/>
          <w:lang w:val="en-US" w:eastAsia="zh-CN"/>
        </w:rPr>
        <w:t>2024</w:t>
      </w:r>
      <w:r>
        <w:rPr>
          <w:rFonts w:hint="default" w:ascii="Times New Roman" w:hAnsi="Times New Roman" w:cs="Times New Roman"/>
          <w:color w:val="auto"/>
          <w:sz w:val="24"/>
          <w:szCs w:val="24"/>
          <w:highlight w:val="none"/>
        </w:rPr>
        <w:t>年</w:t>
      </w:r>
      <w:r>
        <w:rPr>
          <w:rFonts w:hint="default" w:ascii="Times New Roman" w:hAnsi="Times New Roman" w:cs="Times New Roman"/>
          <w:color w:val="auto"/>
          <w:sz w:val="24"/>
          <w:szCs w:val="24"/>
          <w:highlight w:val="none"/>
          <w:lang w:eastAsia="zh-CN"/>
        </w:rPr>
        <w:t>双鸭山</w:t>
      </w:r>
      <w:r>
        <w:rPr>
          <w:rFonts w:hint="default" w:ascii="Times New Roman" w:hAnsi="Times New Roman" w:cs="Times New Roman"/>
          <w:color w:val="auto"/>
          <w:sz w:val="24"/>
          <w:szCs w:val="24"/>
          <w:highlight w:val="none"/>
        </w:rPr>
        <w:t>市空气基本污染物中PM</w:t>
      </w:r>
      <w:r>
        <w:rPr>
          <w:rFonts w:hint="default" w:ascii="Times New Roman" w:hAnsi="Times New Roman" w:cs="Times New Roman"/>
          <w:color w:val="auto"/>
          <w:sz w:val="24"/>
          <w:szCs w:val="24"/>
          <w:highlight w:val="none"/>
          <w:vertAlign w:val="subscript"/>
        </w:rPr>
        <w:t>2.5</w:t>
      </w:r>
      <w:r>
        <w:rPr>
          <w:rFonts w:hint="default" w:ascii="Times New Roman" w:hAnsi="Times New Roman" w:cs="Times New Roman"/>
          <w:color w:val="auto"/>
          <w:sz w:val="24"/>
          <w:szCs w:val="24"/>
          <w:highlight w:val="none"/>
        </w:rPr>
        <w:t>、PM</w:t>
      </w:r>
      <w:r>
        <w:rPr>
          <w:rFonts w:hint="default" w:ascii="Times New Roman" w:hAnsi="Times New Roman" w:cs="Times New Roman"/>
          <w:color w:val="auto"/>
          <w:sz w:val="24"/>
          <w:szCs w:val="24"/>
          <w:highlight w:val="none"/>
          <w:vertAlign w:val="subscript"/>
        </w:rPr>
        <w:t>10</w:t>
      </w:r>
      <w:r>
        <w:rPr>
          <w:rFonts w:hint="default" w:ascii="Times New Roman" w:hAnsi="Times New Roman" w:cs="Times New Roman"/>
          <w:color w:val="auto"/>
          <w:sz w:val="24"/>
          <w:szCs w:val="24"/>
          <w:highlight w:val="none"/>
        </w:rPr>
        <w:t>、SO</w:t>
      </w:r>
      <w:r>
        <w:rPr>
          <w:rFonts w:hint="default" w:ascii="Times New Roman" w:hAnsi="Times New Roman" w:cs="Times New Roman"/>
          <w:color w:val="auto"/>
          <w:sz w:val="24"/>
          <w:szCs w:val="24"/>
          <w:highlight w:val="none"/>
          <w:vertAlign w:val="subscript"/>
        </w:rPr>
        <w:t>2</w:t>
      </w:r>
      <w:r>
        <w:rPr>
          <w:rFonts w:hint="default" w:ascii="Times New Roman" w:hAnsi="Times New Roman" w:cs="Times New Roman"/>
          <w:color w:val="auto"/>
          <w:sz w:val="24"/>
          <w:szCs w:val="24"/>
          <w:highlight w:val="none"/>
        </w:rPr>
        <w:t>、NO</w:t>
      </w:r>
      <w:r>
        <w:rPr>
          <w:rFonts w:hint="default" w:ascii="Times New Roman" w:hAnsi="Times New Roman" w:cs="Times New Roman"/>
          <w:color w:val="auto"/>
          <w:sz w:val="24"/>
          <w:szCs w:val="24"/>
          <w:highlight w:val="none"/>
          <w:vertAlign w:val="subscript"/>
        </w:rPr>
        <w:t>2</w:t>
      </w:r>
      <w:r>
        <w:rPr>
          <w:rFonts w:hint="default" w:ascii="Times New Roman" w:hAnsi="Times New Roman" w:cs="Times New Roman"/>
          <w:color w:val="auto"/>
          <w:sz w:val="24"/>
          <w:szCs w:val="24"/>
          <w:highlight w:val="none"/>
        </w:rPr>
        <w:t>年平均质量浓度及CO第95百分位数日平均浓度、O</w:t>
      </w:r>
      <w:r>
        <w:rPr>
          <w:rFonts w:hint="default" w:ascii="Times New Roman" w:hAnsi="Times New Roman" w:cs="Times New Roman"/>
          <w:color w:val="auto"/>
          <w:sz w:val="24"/>
          <w:szCs w:val="24"/>
          <w:highlight w:val="none"/>
          <w:vertAlign w:val="subscript"/>
        </w:rPr>
        <w:t>3</w:t>
      </w:r>
      <w:r>
        <w:rPr>
          <w:rFonts w:hint="default" w:ascii="Times New Roman" w:hAnsi="Times New Roman" w:cs="Times New Roman"/>
          <w:color w:val="auto"/>
          <w:sz w:val="24"/>
          <w:szCs w:val="24"/>
          <w:highlight w:val="none"/>
        </w:rPr>
        <w:t>第90百分位数8h平均质量浓度均满足</w:t>
      </w:r>
      <w:r>
        <w:rPr>
          <w:rFonts w:hint="default" w:ascii="Times New Roman" w:hAnsi="Times New Roman" w:cs="Times New Roman"/>
          <w:color w:val="auto"/>
          <w:kern w:val="0"/>
          <w:sz w:val="24"/>
          <w:szCs w:val="24"/>
          <w:highlight w:val="none"/>
        </w:rPr>
        <w:t>《环境空气质量标准》（GB3095-2012）中的二级标准，因此，判定本项目区域环境空气质量为达标区。</w:t>
      </w:r>
    </w:p>
    <w:p w14:paraId="75E43C71">
      <w:pPr>
        <w:keepNext w:val="0"/>
        <w:keepLines w:val="0"/>
        <w:pageBreakBefore w:val="0"/>
        <w:widowControl/>
        <w:tabs>
          <w:tab w:val="left" w:pos="452"/>
        </w:tabs>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4.3.2.2其他特征污染物补充监测基本情况</w:t>
      </w:r>
    </w:p>
    <w:p w14:paraId="57BE2560">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1</w:t>
      </w:r>
      <w:r>
        <w:rPr>
          <w:rFonts w:hint="default" w:ascii="Times New Roman" w:hAnsi="Times New Roman" w:eastAsia="宋体" w:cs="Times New Roman"/>
          <w:color w:val="auto"/>
          <w:spacing w:val="-5"/>
          <w:sz w:val="24"/>
          <w:szCs w:val="24"/>
          <w:highlight w:val="none"/>
        </w:rPr>
        <w:t>）监测点位与监测项目</w:t>
      </w:r>
    </w:p>
    <w:p w14:paraId="4A337388">
      <w:pPr>
        <w:keepNext w:val="0"/>
        <w:keepLines w:val="0"/>
        <w:pageBreakBefore w:val="0"/>
        <w:widowControl/>
        <w:kinsoku/>
        <w:wordWrap w:val="0"/>
        <w:overflowPunct/>
        <w:topLinePunct/>
        <w:autoSpaceDE/>
        <w:autoSpaceDN/>
        <w:bidi w:val="0"/>
        <w:adjustRightInd w:val="0"/>
        <w:snapToGrid w:val="0"/>
        <w:spacing w:line="360" w:lineRule="auto"/>
        <w:ind w:left="0" w:right="0" w:firstLine="477"/>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根据《环境影响评价技术导则大气环境》（</w:t>
      </w:r>
      <w:r>
        <w:rPr>
          <w:rFonts w:hint="default" w:ascii="Times New Roman" w:hAnsi="Times New Roman" w:eastAsia="Times New Roman" w:cs="Times New Roman"/>
          <w:color w:val="auto"/>
          <w:sz w:val="24"/>
          <w:szCs w:val="24"/>
          <w:highlight w:val="none"/>
        </w:rPr>
        <w:t>HJ</w:t>
      </w:r>
      <w:r>
        <w:rPr>
          <w:rFonts w:hint="default" w:ascii="Times New Roman" w:hAnsi="Times New Roman" w:eastAsia="Times New Roman" w:cs="Times New Roman"/>
          <w:color w:val="auto"/>
          <w:spacing w:val="1"/>
          <w:sz w:val="24"/>
          <w:szCs w:val="24"/>
          <w:highlight w:val="none"/>
        </w:rPr>
        <w:t>2.2-201</w:t>
      </w:r>
      <w:r>
        <w:rPr>
          <w:rFonts w:hint="default" w:ascii="Times New Roman" w:hAnsi="Times New Roman" w:eastAsia="Times New Roman" w:cs="Times New Roman"/>
          <w:color w:val="auto"/>
          <w:sz w:val="24"/>
          <w:szCs w:val="24"/>
          <w:highlight w:val="none"/>
        </w:rPr>
        <w:t>8</w:t>
      </w: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z w:val="24"/>
          <w:szCs w:val="24"/>
          <w:highlight w:val="none"/>
        </w:rPr>
        <w:t>评价范围为以项目</w:t>
      </w:r>
      <w:r>
        <w:rPr>
          <w:rFonts w:hint="default" w:ascii="Times New Roman" w:hAnsi="Times New Roman" w:eastAsia="宋体" w:cs="Times New Roman"/>
          <w:color w:val="auto"/>
          <w:spacing w:val="-8"/>
          <w:sz w:val="24"/>
          <w:szCs w:val="24"/>
          <w:highlight w:val="none"/>
        </w:rPr>
        <w:t>厂址外延，边长为</w:t>
      </w:r>
      <w:r>
        <w:rPr>
          <w:rFonts w:hint="default" w:ascii="Times New Roman" w:hAnsi="Times New Roman" w:eastAsia="Times New Roman" w:cs="Times New Roman"/>
          <w:color w:val="auto"/>
          <w:spacing w:val="-8"/>
          <w:sz w:val="24"/>
          <w:szCs w:val="24"/>
          <w:highlight w:val="none"/>
        </w:rPr>
        <w:t>5km</w:t>
      </w:r>
      <w:r>
        <w:rPr>
          <w:rFonts w:hint="default" w:ascii="Times New Roman" w:hAnsi="Times New Roman" w:eastAsia="宋体" w:cs="Times New Roman"/>
          <w:color w:val="auto"/>
          <w:spacing w:val="-8"/>
          <w:sz w:val="24"/>
          <w:szCs w:val="24"/>
          <w:highlight w:val="none"/>
        </w:rPr>
        <w:t>的矩形区域。按项目所在区域的常年主导风向，</w:t>
      </w:r>
      <w:r>
        <w:rPr>
          <w:rFonts w:hint="default" w:ascii="Times New Roman" w:hAnsi="Times New Roman" w:eastAsia="宋体" w:cs="Times New Roman"/>
          <w:color w:val="auto"/>
          <w:spacing w:val="-1"/>
          <w:sz w:val="24"/>
          <w:szCs w:val="24"/>
          <w:highlight w:val="none"/>
        </w:rPr>
        <w:t>结合环境功能分区，在评价范围内共设</w:t>
      </w:r>
      <w:r>
        <w:rPr>
          <w:rFonts w:hint="default" w:ascii="Times New Roman" w:hAnsi="Times New Roman" w:eastAsia="Times New Roman" w:cs="Times New Roman"/>
          <w:color w:val="auto"/>
          <w:spacing w:val="-1"/>
          <w:sz w:val="24"/>
          <w:szCs w:val="24"/>
          <w:highlight w:val="none"/>
        </w:rPr>
        <w:t>2</w:t>
      </w:r>
      <w:r>
        <w:rPr>
          <w:rFonts w:hint="default" w:ascii="Times New Roman" w:hAnsi="Times New Roman" w:eastAsia="宋体" w:cs="Times New Roman"/>
          <w:color w:val="auto"/>
          <w:spacing w:val="-1"/>
          <w:sz w:val="24"/>
          <w:szCs w:val="24"/>
          <w:highlight w:val="none"/>
        </w:rPr>
        <w:t>个监</w:t>
      </w:r>
      <w:r>
        <w:rPr>
          <w:rFonts w:hint="default" w:ascii="Times New Roman" w:hAnsi="Times New Roman" w:eastAsia="宋体" w:cs="Times New Roman"/>
          <w:color w:val="auto"/>
          <w:spacing w:val="-2"/>
          <w:sz w:val="24"/>
          <w:szCs w:val="24"/>
          <w:highlight w:val="none"/>
        </w:rPr>
        <w:t>测点，为厂址处和厂界下风向。</w:t>
      </w:r>
    </w:p>
    <w:p w14:paraId="5F4A0B71">
      <w:pPr>
        <w:keepNext w:val="0"/>
        <w:keepLines w:val="0"/>
        <w:pageBreakBefore w:val="0"/>
        <w:widowControl/>
        <w:kinsoku/>
        <w:wordWrap w:val="0"/>
        <w:overflowPunct/>
        <w:topLinePunct/>
        <w:autoSpaceDE/>
        <w:autoSpaceDN/>
        <w:bidi w:val="0"/>
        <w:adjustRightInd w:val="0"/>
        <w:snapToGrid w:val="0"/>
        <w:spacing w:line="360" w:lineRule="auto"/>
        <w:ind w:left="0" w:right="0" w:firstLine="4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监测及分析方法按国家颁发的《环境空气质量标准》（</w:t>
      </w:r>
      <w:r>
        <w:rPr>
          <w:rFonts w:hint="default" w:ascii="Times New Roman" w:hAnsi="Times New Roman" w:eastAsia="Times New Roman" w:cs="Times New Roman"/>
          <w:color w:val="auto"/>
          <w:sz w:val="24"/>
          <w:szCs w:val="24"/>
          <w:highlight w:val="none"/>
        </w:rPr>
        <w:t>GB3095-2012</w:t>
      </w:r>
      <w:r>
        <w:rPr>
          <w:rFonts w:hint="default" w:ascii="Times New Roman" w:hAnsi="Times New Roman" w:eastAsia="宋体" w:cs="Times New Roman"/>
          <w:color w:val="auto"/>
          <w:sz w:val="24"/>
          <w:szCs w:val="24"/>
          <w:highlight w:val="none"/>
        </w:rPr>
        <w:t>）和《环境</w:t>
      </w:r>
      <w:r>
        <w:rPr>
          <w:rFonts w:hint="default" w:ascii="Times New Roman" w:hAnsi="Times New Roman" w:eastAsia="宋体" w:cs="Times New Roman"/>
          <w:color w:val="auto"/>
          <w:spacing w:val="-3"/>
          <w:sz w:val="24"/>
          <w:szCs w:val="24"/>
          <w:highlight w:val="none"/>
        </w:rPr>
        <w:t>监测技术规范》中的有关规定和要求进行。</w:t>
      </w:r>
    </w:p>
    <w:p w14:paraId="6739F927">
      <w:pPr>
        <w:keepNext w:val="0"/>
        <w:keepLines w:val="0"/>
        <w:pageBreakBefore w:val="0"/>
        <w:kinsoku/>
        <w:wordWrap w:val="0"/>
        <w:overflowPunct/>
        <w:topLinePunct/>
        <w:autoSpaceDE/>
        <w:autoSpaceDN/>
        <w:bidi w:val="0"/>
        <w:adjustRightInd w:val="0"/>
        <w:snapToGrid w:val="0"/>
        <w:spacing w:before="108"/>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410200" cy="3624580"/>
            <wp:effectExtent l="0" t="0" r="0" b="1397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77"/>
                    <a:stretch>
                      <a:fillRect/>
                    </a:stretch>
                  </pic:blipFill>
                  <pic:spPr>
                    <a:xfrm>
                      <a:off x="0" y="0"/>
                      <a:ext cx="5410200" cy="3624580"/>
                    </a:xfrm>
                    <a:prstGeom prst="rect">
                      <a:avLst/>
                    </a:prstGeom>
                    <a:noFill/>
                    <a:ln>
                      <a:noFill/>
                    </a:ln>
                  </pic:spPr>
                </pic:pic>
              </a:graphicData>
            </a:graphic>
          </wp:inline>
        </w:drawing>
      </w:r>
    </w:p>
    <w:p w14:paraId="380FF8B1">
      <w:pPr>
        <w:keepNext w:val="0"/>
        <w:keepLines w:val="0"/>
        <w:pageBreakBefore w:val="0"/>
        <w:kinsoku/>
        <w:wordWrap w:val="0"/>
        <w:overflowPunct/>
        <w:topLinePunct/>
        <w:autoSpaceDE/>
        <w:autoSpaceDN/>
        <w:bidi w:val="0"/>
        <w:adjustRightInd w:val="0"/>
        <w:snapToGrid w:val="0"/>
        <w:spacing w:before="78" w:line="235" w:lineRule="auto"/>
        <w:ind w:left="3140"/>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3"/>
          <w:sz w:val="24"/>
          <w:szCs w:val="24"/>
          <w:highlight w:val="none"/>
        </w:rPr>
        <w:t>图</w:t>
      </w:r>
      <w:r>
        <w:rPr>
          <w:rFonts w:hint="default" w:ascii="Times New Roman" w:hAnsi="Times New Roman" w:eastAsia="Times New Roman" w:cs="Times New Roman"/>
          <w:b/>
          <w:bCs/>
          <w:color w:val="auto"/>
          <w:spacing w:val="-3"/>
          <w:sz w:val="24"/>
          <w:szCs w:val="24"/>
          <w:highlight w:val="none"/>
        </w:rPr>
        <w:t>4.3-1</w:t>
      </w:r>
      <w:r>
        <w:rPr>
          <w:rFonts w:hint="default" w:ascii="Times New Roman" w:hAnsi="Times New Roman" w:eastAsia="宋体" w:cs="Times New Roman"/>
          <w:b/>
          <w:bCs/>
          <w:color w:val="auto"/>
          <w:spacing w:val="-3"/>
          <w:sz w:val="24"/>
          <w:szCs w:val="24"/>
          <w:highlight w:val="none"/>
        </w:rPr>
        <w:t>监测点位示意图</w:t>
      </w:r>
    </w:p>
    <w:p w14:paraId="0798D09A">
      <w:pPr>
        <w:keepNext w:val="0"/>
        <w:keepLines w:val="0"/>
        <w:pageBreakBefore w:val="0"/>
        <w:widowControl/>
        <w:kinsoku/>
        <w:wordWrap w:val="0"/>
        <w:overflowPunct/>
        <w:topLinePunct/>
        <w:autoSpaceDE/>
        <w:autoSpaceDN/>
        <w:bidi w:val="0"/>
        <w:adjustRightInd w:val="0"/>
        <w:snapToGrid w:val="0"/>
        <w:spacing w:line="360" w:lineRule="auto"/>
        <w:ind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）监测时间和频次</w:t>
      </w:r>
    </w:p>
    <w:p w14:paraId="7DA49A06">
      <w:pPr>
        <w:pStyle w:val="11"/>
        <w:keepNext w:val="0"/>
        <w:keepLines w:val="0"/>
        <w:pageBreakBefore w:val="0"/>
        <w:widowControl/>
        <w:kinsoku/>
        <w:wordWrap w:val="0"/>
        <w:overflowPunct/>
        <w:topLinePunct/>
        <w:autoSpaceDE/>
        <w:autoSpaceDN/>
        <w:bidi w:val="0"/>
        <w:adjustRightInd w:val="0"/>
        <w:snapToGrid w:val="0"/>
        <w:spacing w:line="360" w:lineRule="auto"/>
        <w:ind w:firstLine="484" w:firstLineChars="200"/>
        <w:textAlignment w:val="baseline"/>
        <w:rPr>
          <w:rFonts w:hint="default" w:ascii="Times New Roman" w:hAnsi="Times New Roman" w:cs="Times New Roman"/>
          <w:color w:val="auto"/>
          <w:highlight w:val="none"/>
        </w:rPr>
      </w:pPr>
      <w:r>
        <w:rPr>
          <w:rFonts w:hint="default" w:ascii="Times New Roman" w:hAnsi="Times New Roman" w:eastAsia="宋体" w:cs="Times New Roman"/>
          <w:snapToGrid w:val="0"/>
          <w:color w:val="auto"/>
          <w:spacing w:val="1"/>
          <w:kern w:val="0"/>
          <w:sz w:val="24"/>
          <w:szCs w:val="24"/>
          <w:highlight w:val="none"/>
          <w:lang w:val="en-US" w:eastAsia="en-US" w:bidi="ar-SA"/>
        </w:rPr>
        <w:t>采样方法按《环境监测技术规范》（大气部分）执行，分析方法按《环境空气质量标准》（GB3095-2012）及其修改单（2018年）中的要求进行。常规监测连续采样7天，监测时间及监测频率见表4.3-</w:t>
      </w:r>
      <w:r>
        <w:rPr>
          <w:rFonts w:hint="default" w:ascii="Times New Roman" w:hAnsi="Times New Roman" w:eastAsia="宋体" w:cs="Times New Roman"/>
          <w:snapToGrid w:val="0"/>
          <w:color w:val="auto"/>
          <w:spacing w:val="1"/>
          <w:kern w:val="0"/>
          <w:sz w:val="24"/>
          <w:szCs w:val="24"/>
          <w:highlight w:val="none"/>
          <w:lang w:val="en-US" w:eastAsia="zh-CN" w:bidi="ar-SA"/>
        </w:rPr>
        <w:t>2</w:t>
      </w:r>
      <w:r>
        <w:rPr>
          <w:rFonts w:hint="default" w:ascii="Times New Roman" w:hAnsi="Times New Roman" w:eastAsia="宋体" w:cs="Times New Roman"/>
          <w:snapToGrid w:val="0"/>
          <w:color w:val="auto"/>
          <w:spacing w:val="1"/>
          <w:kern w:val="0"/>
          <w:sz w:val="24"/>
          <w:szCs w:val="24"/>
          <w:highlight w:val="none"/>
          <w:lang w:val="en-US" w:eastAsia="en-US" w:bidi="ar-SA"/>
        </w:rPr>
        <w:t>。监测期间同步进行地面风向、风速、气温等气象要素观测</w:t>
      </w:r>
      <w:r>
        <w:rPr>
          <w:rFonts w:hint="default" w:ascii="Times New Roman" w:hAnsi="Times New Roman" w:eastAsia="宋体" w:cs="Times New Roman"/>
          <w:color w:val="auto"/>
          <w:spacing w:val="-5"/>
          <w:sz w:val="24"/>
          <w:szCs w:val="24"/>
          <w:highlight w:val="none"/>
        </w:rPr>
        <w:t>。</w:t>
      </w:r>
    </w:p>
    <w:p w14:paraId="39976D14">
      <w:pPr>
        <w:keepNext w:val="0"/>
        <w:keepLines w:val="0"/>
        <w:pageBreakBefore w:val="0"/>
        <w:kinsoku/>
        <w:wordWrap w:val="0"/>
        <w:overflowPunct/>
        <w:topLinePunct/>
        <w:autoSpaceDE/>
        <w:autoSpaceDN/>
        <w:bidi w:val="0"/>
        <w:adjustRightInd w:val="0"/>
        <w:snapToGrid w:val="0"/>
        <w:spacing w:before="78" w:line="214" w:lineRule="auto"/>
        <w:ind w:left="2929"/>
        <w:textAlignment w:val="baseline"/>
        <w:rPr>
          <w:rFonts w:hint="default" w:ascii="Times New Roman" w:hAnsi="Times New Roman" w:eastAsia="宋体" w:cs="Times New Roman"/>
          <w:b/>
          <w:bCs/>
          <w:color w:val="auto"/>
          <w:sz w:val="24"/>
          <w:szCs w:val="24"/>
          <w:highlight w:val="yellow"/>
        </w:rPr>
      </w:pPr>
      <w:r>
        <w:rPr>
          <w:rFonts w:hint="default" w:ascii="Times New Roman" w:hAnsi="Times New Roman" w:eastAsia="宋体" w:cs="Times New Roman"/>
          <w:b/>
          <w:bCs/>
          <w:color w:val="auto"/>
          <w:spacing w:val="-1"/>
          <w:sz w:val="24"/>
          <w:szCs w:val="24"/>
          <w:highlight w:val="yellow"/>
        </w:rPr>
        <w:t>表</w:t>
      </w:r>
      <w:r>
        <w:rPr>
          <w:rFonts w:hint="default" w:ascii="Times New Roman" w:hAnsi="Times New Roman" w:eastAsia="Times New Roman" w:cs="Times New Roman"/>
          <w:b/>
          <w:bCs/>
          <w:color w:val="auto"/>
          <w:spacing w:val="-1"/>
          <w:sz w:val="24"/>
          <w:szCs w:val="24"/>
          <w:highlight w:val="yellow"/>
        </w:rPr>
        <w:t>4.</w:t>
      </w:r>
      <w:r>
        <w:rPr>
          <w:rFonts w:hint="default" w:ascii="Times New Roman" w:hAnsi="Times New Roman" w:eastAsia="宋体" w:cs="Times New Roman"/>
          <w:b/>
          <w:bCs/>
          <w:color w:val="auto"/>
          <w:spacing w:val="-1"/>
          <w:sz w:val="24"/>
          <w:szCs w:val="24"/>
          <w:highlight w:val="yellow"/>
          <w:lang w:val="en-US" w:eastAsia="zh-CN"/>
        </w:rPr>
        <w:t>3-2</w:t>
      </w:r>
      <w:r>
        <w:rPr>
          <w:rFonts w:hint="default" w:ascii="Times New Roman" w:hAnsi="Times New Roman" w:eastAsia="宋体" w:cs="Times New Roman"/>
          <w:b/>
          <w:bCs/>
          <w:color w:val="auto"/>
          <w:spacing w:val="-1"/>
          <w:sz w:val="24"/>
          <w:szCs w:val="24"/>
          <w:highlight w:val="yellow"/>
        </w:rPr>
        <w:t>监测时间及监测频率表</w:t>
      </w:r>
    </w:p>
    <w:tbl>
      <w:tblPr>
        <w:tblStyle w:val="34"/>
        <w:tblW w:w="8417" w:type="dxa"/>
        <w:tblInd w:w="6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2098"/>
        <w:gridCol w:w="1547"/>
        <w:gridCol w:w="1113"/>
        <w:gridCol w:w="1435"/>
        <w:gridCol w:w="2224"/>
      </w:tblGrid>
      <w:tr w14:paraId="6A11AFC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2098" w:type="dxa"/>
            <w:tcBorders>
              <w:tl2br w:val="nil"/>
              <w:tr2bl w:val="nil"/>
            </w:tcBorders>
            <w:vAlign w:val="top"/>
          </w:tcPr>
          <w:p w14:paraId="641A8D61">
            <w:pPr>
              <w:pStyle w:val="35"/>
              <w:keepNext w:val="0"/>
              <w:keepLines w:val="0"/>
              <w:pageBreakBefore w:val="0"/>
              <w:kinsoku/>
              <w:wordWrap w:val="0"/>
              <w:overflowPunct/>
              <w:topLinePunct/>
              <w:autoSpaceDE/>
              <w:autoSpaceDN/>
              <w:bidi w:val="0"/>
              <w:adjustRightInd w:val="0"/>
              <w:snapToGrid w:val="0"/>
              <w:spacing w:before="33" w:line="209" w:lineRule="auto"/>
              <w:ind w:left="635"/>
              <w:textAlignment w:val="baseline"/>
              <w:rPr>
                <w:rFonts w:hint="default" w:ascii="Times New Roman" w:hAnsi="Times New Roman" w:cs="Times New Roman"/>
                <w:color w:val="auto"/>
                <w:highlight w:val="yellow"/>
              </w:rPr>
            </w:pPr>
            <w:r>
              <w:rPr>
                <w:rFonts w:hint="default" w:ascii="Times New Roman" w:hAnsi="Times New Roman" w:cs="Times New Roman"/>
                <w:b/>
                <w:bCs/>
                <w:color w:val="auto"/>
                <w:spacing w:val="-4"/>
                <w:highlight w:val="yellow"/>
              </w:rPr>
              <w:t>监测项目</w:t>
            </w:r>
          </w:p>
        </w:tc>
        <w:tc>
          <w:tcPr>
            <w:tcW w:w="1547" w:type="dxa"/>
            <w:tcBorders>
              <w:tl2br w:val="nil"/>
              <w:tr2bl w:val="nil"/>
            </w:tcBorders>
            <w:vAlign w:val="top"/>
          </w:tcPr>
          <w:p w14:paraId="2E7750AB">
            <w:pPr>
              <w:pStyle w:val="35"/>
              <w:keepNext w:val="0"/>
              <w:keepLines w:val="0"/>
              <w:pageBreakBefore w:val="0"/>
              <w:kinsoku/>
              <w:wordWrap w:val="0"/>
              <w:overflowPunct/>
              <w:topLinePunct/>
              <w:autoSpaceDE/>
              <w:autoSpaceDN/>
              <w:bidi w:val="0"/>
              <w:adjustRightInd w:val="0"/>
              <w:snapToGrid w:val="0"/>
              <w:spacing w:before="33" w:line="209" w:lineRule="auto"/>
              <w:jc w:val="center"/>
              <w:textAlignment w:val="baseline"/>
              <w:rPr>
                <w:rFonts w:hint="default" w:ascii="Times New Roman" w:hAnsi="Times New Roman" w:cs="Times New Roman"/>
                <w:color w:val="auto"/>
                <w:highlight w:val="yellow"/>
              </w:rPr>
            </w:pPr>
            <w:r>
              <w:rPr>
                <w:rFonts w:hint="default" w:ascii="Times New Roman" w:hAnsi="Times New Roman" w:cs="Times New Roman"/>
                <w:b/>
                <w:bCs/>
                <w:color w:val="auto"/>
                <w:spacing w:val="-4"/>
                <w:highlight w:val="yellow"/>
              </w:rPr>
              <w:t>取值时间</w:t>
            </w:r>
          </w:p>
        </w:tc>
        <w:tc>
          <w:tcPr>
            <w:tcW w:w="1113" w:type="dxa"/>
            <w:tcBorders>
              <w:tl2br w:val="nil"/>
              <w:tr2bl w:val="nil"/>
            </w:tcBorders>
            <w:vAlign w:val="top"/>
          </w:tcPr>
          <w:p w14:paraId="30AFEBD6">
            <w:pPr>
              <w:pStyle w:val="35"/>
              <w:keepNext w:val="0"/>
              <w:keepLines w:val="0"/>
              <w:pageBreakBefore w:val="0"/>
              <w:kinsoku/>
              <w:wordWrap w:val="0"/>
              <w:overflowPunct/>
              <w:topLinePunct/>
              <w:autoSpaceDE/>
              <w:autoSpaceDN/>
              <w:bidi w:val="0"/>
              <w:adjustRightInd w:val="0"/>
              <w:snapToGrid w:val="0"/>
              <w:spacing w:before="33" w:line="209" w:lineRule="auto"/>
              <w:jc w:val="center"/>
              <w:textAlignment w:val="baseline"/>
              <w:rPr>
                <w:rFonts w:hint="default" w:ascii="Times New Roman" w:hAnsi="Times New Roman" w:cs="Times New Roman"/>
                <w:color w:val="auto"/>
                <w:highlight w:val="yellow"/>
              </w:rPr>
            </w:pPr>
            <w:r>
              <w:rPr>
                <w:rFonts w:hint="default" w:ascii="Times New Roman" w:hAnsi="Times New Roman" w:cs="Times New Roman"/>
                <w:b/>
                <w:bCs/>
                <w:color w:val="auto"/>
                <w:spacing w:val="-3"/>
                <w:highlight w:val="yellow"/>
              </w:rPr>
              <w:t>采样天数</w:t>
            </w:r>
          </w:p>
        </w:tc>
        <w:tc>
          <w:tcPr>
            <w:tcW w:w="1435" w:type="dxa"/>
            <w:tcBorders>
              <w:tl2br w:val="nil"/>
              <w:tr2bl w:val="nil"/>
            </w:tcBorders>
            <w:vAlign w:val="top"/>
          </w:tcPr>
          <w:p w14:paraId="39A2DA82">
            <w:pPr>
              <w:pStyle w:val="35"/>
              <w:keepNext w:val="0"/>
              <w:keepLines w:val="0"/>
              <w:pageBreakBefore w:val="0"/>
              <w:kinsoku/>
              <w:wordWrap w:val="0"/>
              <w:overflowPunct/>
              <w:topLinePunct/>
              <w:autoSpaceDE/>
              <w:autoSpaceDN/>
              <w:bidi w:val="0"/>
              <w:adjustRightInd w:val="0"/>
              <w:snapToGrid w:val="0"/>
              <w:spacing w:before="33" w:line="209" w:lineRule="auto"/>
              <w:ind w:left="247"/>
              <w:textAlignment w:val="baseline"/>
              <w:rPr>
                <w:rFonts w:hint="default" w:ascii="Times New Roman" w:hAnsi="Times New Roman" w:cs="Times New Roman"/>
                <w:color w:val="auto"/>
                <w:highlight w:val="yellow"/>
              </w:rPr>
            </w:pPr>
            <w:r>
              <w:rPr>
                <w:rFonts w:hint="default" w:ascii="Times New Roman" w:hAnsi="Times New Roman" w:cs="Times New Roman"/>
                <w:b/>
                <w:bCs/>
                <w:color w:val="auto"/>
                <w:spacing w:val="-4"/>
                <w:highlight w:val="yellow"/>
              </w:rPr>
              <w:t>监测频率</w:t>
            </w:r>
          </w:p>
        </w:tc>
        <w:tc>
          <w:tcPr>
            <w:tcW w:w="2224" w:type="dxa"/>
            <w:tcBorders>
              <w:tl2br w:val="nil"/>
              <w:tr2bl w:val="nil"/>
            </w:tcBorders>
            <w:vAlign w:val="top"/>
          </w:tcPr>
          <w:p w14:paraId="7E185C2B">
            <w:pPr>
              <w:pStyle w:val="35"/>
              <w:keepNext w:val="0"/>
              <w:keepLines w:val="0"/>
              <w:pageBreakBefore w:val="0"/>
              <w:kinsoku/>
              <w:wordWrap w:val="0"/>
              <w:overflowPunct/>
              <w:topLinePunct/>
              <w:autoSpaceDE/>
              <w:autoSpaceDN/>
              <w:bidi w:val="0"/>
              <w:adjustRightInd w:val="0"/>
              <w:snapToGrid w:val="0"/>
              <w:spacing w:before="33" w:line="209" w:lineRule="auto"/>
              <w:ind w:left="417"/>
              <w:textAlignment w:val="baseline"/>
              <w:rPr>
                <w:rFonts w:hint="default" w:ascii="Times New Roman" w:hAnsi="Times New Roman" w:cs="Times New Roman"/>
                <w:color w:val="auto"/>
                <w:highlight w:val="yellow"/>
              </w:rPr>
            </w:pPr>
            <w:r>
              <w:rPr>
                <w:rFonts w:hint="default" w:ascii="Times New Roman" w:hAnsi="Times New Roman" w:cs="Times New Roman"/>
                <w:b/>
                <w:bCs/>
                <w:color w:val="auto"/>
                <w:spacing w:val="-3"/>
                <w:highlight w:val="yellow"/>
              </w:rPr>
              <w:t>数据有效性规定</w:t>
            </w:r>
          </w:p>
        </w:tc>
      </w:tr>
      <w:tr w14:paraId="2B6A4A7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2098" w:type="dxa"/>
            <w:tcBorders>
              <w:tl2br w:val="nil"/>
              <w:tr2bl w:val="nil"/>
            </w:tcBorders>
            <w:vAlign w:val="top"/>
          </w:tcPr>
          <w:p w14:paraId="70123D6B">
            <w:pPr>
              <w:pStyle w:val="35"/>
              <w:keepNext w:val="0"/>
              <w:keepLines w:val="0"/>
              <w:pageBreakBefore w:val="0"/>
              <w:kinsoku/>
              <w:wordWrap w:val="0"/>
              <w:overflowPunct/>
              <w:topLinePunct/>
              <w:autoSpaceDE/>
              <w:autoSpaceDN/>
              <w:bidi w:val="0"/>
              <w:adjustRightInd w:val="0"/>
              <w:snapToGrid w:val="0"/>
              <w:spacing w:before="30" w:line="206" w:lineRule="auto"/>
              <w:ind w:left="948"/>
              <w:textAlignment w:val="baseline"/>
              <w:rPr>
                <w:rFonts w:hint="default" w:ascii="Times New Roman" w:hAnsi="Times New Roman" w:cs="Times New Roman"/>
                <w:color w:val="auto"/>
                <w:highlight w:val="yellow"/>
              </w:rPr>
            </w:pPr>
            <w:r>
              <w:rPr>
                <w:rFonts w:hint="default" w:ascii="Times New Roman" w:hAnsi="Times New Roman" w:cs="Times New Roman"/>
                <w:color w:val="auto"/>
                <w:highlight w:val="yellow"/>
              </w:rPr>
              <w:t>氨</w:t>
            </w:r>
          </w:p>
        </w:tc>
        <w:tc>
          <w:tcPr>
            <w:tcW w:w="1547" w:type="dxa"/>
            <w:tcBorders>
              <w:tl2br w:val="nil"/>
              <w:tr2bl w:val="nil"/>
            </w:tcBorders>
            <w:vAlign w:val="top"/>
          </w:tcPr>
          <w:p w14:paraId="42A3AB96">
            <w:pPr>
              <w:pStyle w:val="35"/>
              <w:keepNext w:val="0"/>
              <w:keepLines w:val="0"/>
              <w:pageBreakBefore w:val="0"/>
              <w:kinsoku/>
              <w:wordWrap w:val="0"/>
              <w:overflowPunct/>
              <w:topLinePunct/>
              <w:autoSpaceDE/>
              <w:autoSpaceDN/>
              <w:bidi w:val="0"/>
              <w:adjustRightInd w:val="0"/>
              <w:snapToGrid w:val="0"/>
              <w:spacing w:before="30" w:line="206" w:lineRule="auto"/>
              <w:jc w:val="center"/>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3"/>
                <w:highlight w:val="yellow"/>
              </w:rPr>
              <w:t>小时值</w:t>
            </w:r>
          </w:p>
        </w:tc>
        <w:tc>
          <w:tcPr>
            <w:tcW w:w="1113" w:type="dxa"/>
            <w:tcBorders>
              <w:tl2br w:val="nil"/>
              <w:tr2bl w:val="nil"/>
            </w:tcBorders>
            <w:vAlign w:val="top"/>
          </w:tcPr>
          <w:p w14:paraId="1C09DD0B">
            <w:pPr>
              <w:pStyle w:val="35"/>
              <w:keepNext w:val="0"/>
              <w:keepLines w:val="0"/>
              <w:pageBreakBefore w:val="0"/>
              <w:kinsoku/>
              <w:wordWrap w:val="0"/>
              <w:overflowPunct/>
              <w:topLinePunct/>
              <w:autoSpaceDE/>
              <w:autoSpaceDN/>
              <w:bidi w:val="0"/>
              <w:adjustRightInd w:val="0"/>
              <w:snapToGrid w:val="0"/>
              <w:spacing w:before="30" w:line="206" w:lineRule="auto"/>
              <w:jc w:val="center"/>
              <w:textAlignment w:val="baseline"/>
              <w:rPr>
                <w:rFonts w:hint="default" w:ascii="Times New Roman" w:hAnsi="Times New Roman" w:cs="Times New Roman"/>
                <w:color w:val="auto"/>
                <w:highlight w:val="yellow"/>
              </w:rPr>
            </w:pPr>
            <w:r>
              <w:rPr>
                <w:rFonts w:hint="default" w:ascii="Times New Roman" w:hAnsi="Times New Roman" w:eastAsia="Times New Roman" w:cs="Times New Roman"/>
                <w:color w:val="auto"/>
                <w:spacing w:val="-4"/>
                <w:highlight w:val="yellow"/>
              </w:rPr>
              <w:t>7</w:t>
            </w:r>
            <w:r>
              <w:rPr>
                <w:rFonts w:hint="default" w:ascii="Times New Roman" w:hAnsi="Times New Roman" w:cs="Times New Roman"/>
                <w:color w:val="auto"/>
                <w:spacing w:val="-4"/>
                <w:highlight w:val="yellow"/>
              </w:rPr>
              <w:t>天</w:t>
            </w:r>
          </w:p>
        </w:tc>
        <w:tc>
          <w:tcPr>
            <w:tcW w:w="1435" w:type="dxa"/>
            <w:tcBorders>
              <w:tl2br w:val="nil"/>
              <w:tr2bl w:val="nil"/>
            </w:tcBorders>
            <w:vAlign w:val="top"/>
          </w:tcPr>
          <w:p w14:paraId="3106334A">
            <w:pPr>
              <w:pStyle w:val="35"/>
              <w:keepNext w:val="0"/>
              <w:keepLines w:val="0"/>
              <w:pageBreakBefore w:val="0"/>
              <w:kinsoku/>
              <w:wordWrap w:val="0"/>
              <w:overflowPunct/>
              <w:topLinePunct/>
              <w:autoSpaceDE/>
              <w:autoSpaceDN/>
              <w:bidi w:val="0"/>
              <w:adjustRightInd w:val="0"/>
              <w:snapToGrid w:val="0"/>
              <w:spacing w:before="30" w:line="206" w:lineRule="auto"/>
              <w:ind w:left="247"/>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3"/>
                <w:highlight w:val="yellow"/>
              </w:rPr>
              <w:t>每日</w:t>
            </w:r>
            <w:r>
              <w:rPr>
                <w:rFonts w:hint="default" w:ascii="Times New Roman" w:hAnsi="Times New Roman" w:eastAsia="Times New Roman" w:cs="Times New Roman"/>
                <w:color w:val="auto"/>
                <w:spacing w:val="-3"/>
                <w:highlight w:val="yellow"/>
              </w:rPr>
              <w:t>4</w:t>
            </w:r>
            <w:r>
              <w:rPr>
                <w:rFonts w:hint="default" w:ascii="Times New Roman" w:hAnsi="Times New Roman" w:cs="Times New Roman"/>
                <w:color w:val="auto"/>
                <w:spacing w:val="-3"/>
                <w:highlight w:val="yellow"/>
              </w:rPr>
              <w:t>次</w:t>
            </w:r>
          </w:p>
        </w:tc>
        <w:tc>
          <w:tcPr>
            <w:tcW w:w="2224" w:type="dxa"/>
            <w:tcBorders>
              <w:tl2br w:val="nil"/>
              <w:tr2bl w:val="nil"/>
            </w:tcBorders>
            <w:vAlign w:val="top"/>
          </w:tcPr>
          <w:p w14:paraId="205D14BA">
            <w:pPr>
              <w:pStyle w:val="35"/>
              <w:keepNext w:val="0"/>
              <w:keepLines w:val="0"/>
              <w:pageBreakBefore w:val="0"/>
              <w:kinsoku/>
              <w:wordWrap w:val="0"/>
              <w:overflowPunct/>
              <w:topLinePunct/>
              <w:autoSpaceDE/>
              <w:autoSpaceDN/>
              <w:bidi w:val="0"/>
              <w:adjustRightInd w:val="0"/>
              <w:snapToGrid w:val="0"/>
              <w:spacing w:before="30" w:line="206" w:lineRule="auto"/>
              <w:ind w:left="157"/>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1"/>
                <w:highlight w:val="yellow"/>
              </w:rPr>
              <w:t>每次连续采样</w:t>
            </w:r>
            <w:r>
              <w:rPr>
                <w:rFonts w:hint="default" w:ascii="Times New Roman" w:hAnsi="Times New Roman" w:cs="Times New Roman"/>
                <w:color w:val="auto"/>
                <w:spacing w:val="-1"/>
                <w:highlight w:val="yellow"/>
                <w:lang w:val="en-US" w:eastAsia="zh-CN"/>
              </w:rPr>
              <w:t>45</w:t>
            </w:r>
            <w:r>
              <w:rPr>
                <w:rFonts w:hint="default" w:ascii="Times New Roman" w:hAnsi="Times New Roman" w:cs="Times New Roman"/>
                <w:color w:val="auto"/>
                <w:spacing w:val="-1"/>
                <w:highlight w:val="yellow"/>
              </w:rPr>
              <w:t>分钟</w:t>
            </w:r>
          </w:p>
        </w:tc>
      </w:tr>
      <w:tr w14:paraId="7D8F8CA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2098" w:type="dxa"/>
            <w:tcBorders>
              <w:tl2br w:val="nil"/>
              <w:tr2bl w:val="nil"/>
            </w:tcBorders>
            <w:vAlign w:val="top"/>
          </w:tcPr>
          <w:p w14:paraId="72105BDA">
            <w:pPr>
              <w:pStyle w:val="35"/>
              <w:keepNext w:val="0"/>
              <w:keepLines w:val="0"/>
              <w:pageBreakBefore w:val="0"/>
              <w:kinsoku/>
              <w:wordWrap w:val="0"/>
              <w:overflowPunct/>
              <w:topLinePunct/>
              <w:autoSpaceDE/>
              <w:autoSpaceDN/>
              <w:bidi w:val="0"/>
              <w:adjustRightInd w:val="0"/>
              <w:snapToGrid w:val="0"/>
              <w:spacing w:before="31" w:line="207" w:lineRule="auto"/>
              <w:ind w:left="739"/>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1"/>
                <w:highlight w:val="yellow"/>
              </w:rPr>
              <w:t>硫化氢</w:t>
            </w:r>
          </w:p>
        </w:tc>
        <w:tc>
          <w:tcPr>
            <w:tcW w:w="1547" w:type="dxa"/>
            <w:tcBorders>
              <w:tl2br w:val="nil"/>
              <w:tr2bl w:val="nil"/>
            </w:tcBorders>
            <w:vAlign w:val="top"/>
          </w:tcPr>
          <w:p w14:paraId="60710AA5">
            <w:pPr>
              <w:pStyle w:val="35"/>
              <w:keepNext w:val="0"/>
              <w:keepLines w:val="0"/>
              <w:pageBreakBefore w:val="0"/>
              <w:kinsoku/>
              <w:wordWrap w:val="0"/>
              <w:overflowPunct/>
              <w:topLinePunct/>
              <w:autoSpaceDE/>
              <w:autoSpaceDN/>
              <w:bidi w:val="0"/>
              <w:adjustRightInd w:val="0"/>
              <w:snapToGrid w:val="0"/>
              <w:spacing w:before="31" w:line="207" w:lineRule="auto"/>
              <w:jc w:val="center"/>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3"/>
                <w:highlight w:val="yellow"/>
              </w:rPr>
              <w:t>小时值</w:t>
            </w:r>
          </w:p>
        </w:tc>
        <w:tc>
          <w:tcPr>
            <w:tcW w:w="1113" w:type="dxa"/>
            <w:tcBorders>
              <w:tl2br w:val="nil"/>
              <w:tr2bl w:val="nil"/>
            </w:tcBorders>
            <w:vAlign w:val="top"/>
          </w:tcPr>
          <w:p w14:paraId="6C3906FD">
            <w:pPr>
              <w:pStyle w:val="35"/>
              <w:keepNext w:val="0"/>
              <w:keepLines w:val="0"/>
              <w:pageBreakBefore w:val="0"/>
              <w:kinsoku/>
              <w:wordWrap w:val="0"/>
              <w:overflowPunct/>
              <w:topLinePunct/>
              <w:autoSpaceDE/>
              <w:autoSpaceDN/>
              <w:bidi w:val="0"/>
              <w:adjustRightInd w:val="0"/>
              <w:snapToGrid w:val="0"/>
              <w:spacing w:before="31" w:line="207" w:lineRule="auto"/>
              <w:jc w:val="center"/>
              <w:textAlignment w:val="baseline"/>
              <w:rPr>
                <w:rFonts w:hint="default" w:ascii="Times New Roman" w:hAnsi="Times New Roman" w:cs="Times New Roman"/>
                <w:color w:val="auto"/>
                <w:highlight w:val="yellow"/>
              </w:rPr>
            </w:pPr>
            <w:r>
              <w:rPr>
                <w:rFonts w:hint="default" w:ascii="Times New Roman" w:hAnsi="Times New Roman" w:eastAsia="Times New Roman" w:cs="Times New Roman"/>
                <w:color w:val="auto"/>
                <w:spacing w:val="-4"/>
                <w:highlight w:val="yellow"/>
              </w:rPr>
              <w:t>7</w:t>
            </w:r>
            <w:r>
              <w:rPr>
                <w:rFonts w:hint="default" w:ascii="Times New Roman" w:hAnsi="Times New Roman" w:cs="Times New Roman"/>
                <w:color w:val="auto"/>
                <w:spacing w:val="-4"/>
                <w:highlight w:val="yellow"/>
              </w:rPr>
              <w:t>天</w:t>
            </w:r>
          </w:p>
        </w:tc>
        <w:tc>
          <w:tcPr>
            <w:tcW w:w="1435" w:type="dxa"/>
            <w:tcBorders>
              <w:tl2br w:val="nil"/>
              <w:tr2bl w:val="nil"/>
            </w:tcBorders>
            <w:vAlign w:val="top"/>
          </w:tcPr>
          <w:p w14:paraId="421D7A13">
            <w:pPr>
              <w:pStyle w:val="35"/>
              <w:keepNext w:val="0"/>
              <w:keepLines w:val="0"/>
              <w:pageBreakBefore w:val="0"/>
              <w:kinsoku/>
              <w:wordWrap w:val="0"/>
              <w:overflowPunct/>
              <w:topLinePunct/>
              <w:autoSpaceDE/>
              <w:autoSpaceDN/>
              <w:bidi w:val="0"/>
              <w:adjustRightInd w:val="0"/>
              <w:snapToGrid w:val="0"/>
              <w:spacing w:before="31" w:line="207" w:lineRule="auto"/>
              <w:ind w:left="247"/>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3"/>
                <w:highlight w:val="yellow"/>
              </w:rPr>
              <w:t>每日</w:t>
            </w:r>
            <w:r>
              <w:rPr>
                <w:rFonts w:hint="default" w:ascii="Times New Roman" w:hAnsi="Times New Roman" w:eastAsia="Times New Roman" w:cs="Times New Roman"/>
                <w:color w:val="auto"/>
                <w:spacing w:val="-3"/>
                <w:highlight w:val="yellow"/>
              </w:rPr>
              <w:t>4</w:t>
            </w:r>
            <w:r>
              <w:rPr>
                <w:rFonts w:hint="default" w:ascii="Times New Roman" w:hAnsi="Times New Roman" w:cs="Times New Roman"/>
                <w:color w:val="auto"/>
                <w:spacing w:val="-3"/>
                <w:highlight w:val="yellow"/>
              </w:rPr>
              <w:t>次</w:t>
            </w:r>
          </w:p>
        </w:tc>
        <w:tc>
          <w:tcPr>
            <w:tcW w:w="2224" w:type="dxa"/>
            <w:tcBorders>
              <w:tl2br w:val="nil"/>
              <w:tr2bl w:val="nil"/>
            </w:tcBorders>
            <w:vAlign w:val="top"/>
          </w:tcPr>
          <w:p w14:paraId="64271639">
            <w:pPr>
              <w:pStyle w:val="35"/>
              <w:keepNext w:val="0"/>
              <w:keepLines w:val="0"/>
              <w:pageBreakBefore w:val="0"/>
              <w:kinsoku/>
              <w:wordWrap w:val="0"/>
              <w:overflowPunct/>
              <w:topLinePunct/>
              <w:autoSpaceDE/>
              <w:autoSpaceDN/>
              <w:bidi w:val="0"/>
              <w:adjustRightInd w:val="0"/>
              <w:snapToGrid w:val="0"/>
              <w:spacing w:before="31" w:line="207" w:lineRule="auto"/>
              <w:ind w:left="157"/>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1"/>
                <w:highlight w:val="yellow"/>
              </w:rPr>
              <w:t>每次连续采样</w:t>
            </w:r>
            <w:r>
              <w:rPr>
                <w:rFonts w:hint="default" w:ascii="Times New Roman" w:hAnsi="Times New Roman" w:cs="Times New Roman"/>
                <w:color w:val="auto"/>
                <w:spacing w:val="-1"/>
                <w:highlight w:val="yellow"/>
                <w:lang w:val="en-US" w:eastAsia="zh-CN"/>
              </w:rPr>
              <w:t>45</w:t>
            </w:r>
            <w:r>
              <w:rPr>
                <w:rFonts w:hint="default" w:ascii="Times New Roman" w:hAnsi="Times New Roman" w:cs="Times New Roman"/>
                <w:color w:val="auto"/>
                <w:spacing w:val="-1"/>
                <w:highlight w:val="yellow"/>
              </w:rPr>
              <w:t>分钟</w:t>
            </w:r>
          </w:p>
        </w:tc>
      </w:tr>
      <w:tr w14:paraId="59D4C76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2098" w:type="dxa"/>
            <w:tcBorders>
              <w:tl2br w:val="nil"/>
              <w:tr2bl w:val="nil"/>
            </w:tcBorders>
            <w:vAlign w:val="top"/>
          </w:tcPr>
          <w:p w14:paraId="5C0BE5FB">
            <w:pPr>
              <w:pStyle w:val="35"/>
              <w:keepNext w:val="0"/>
              <w:keepLines w:val="0"/>
              <w:pageBreakBefore w:val="0"/>
              <w:kinsoku/>
              <w:wordWrap w:val="0"/>
              <w:overflowPunct/>
              <w:topLinePunct/>
              <w:autoSpaceDE/>
              <w:autoSpaceDN/>
              <w:bidi w:val="0"/>
              <w:adjustRightInd w:val="0"/>
              <w:snapToGrid w:val="0"/>
              <w:spacing w:before="32" w:line="206" w:lineRule="auto"/>
              <w:ind w:left="428"/>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2"/>
                <w:highlight w:val="yellow"/>
              </w:rPr>
              <w:t>总悬浮颗粒物</w:t>
            </w:r>
          </w:p>
        </w:tc>
        <w:tc>
          <w:tcPr>
            <w:tcW w:w="1547" w:type="dxa"/>
            <w:tcBorders>
              <w:tl2br w:val="nil"/>
              <w:tr2bl w:val="nil"/>
            </w:tcBorders>
            <w:vAlign w:val="top"/>
          </w:tcPr>
          <w:p w14:paraId="13F56437">
            <w:pPr>
              <w:pStyle w:val="35"/>
              <w:keepNext w:val="0"/>
              <w:keepLines w:val="0"/>
              <w:pageBreakBefore w:val="0"/>
              <w:kinsoku/>
              <w:wordWrap w:val="0"/>
              <w:overflowPunct/>
              <w:topLinePunct/>
              <w:autoSpaceDE/>
              <w:autoSpaceDN/>
              <w:bidi w:val="0"/>
              <w:adjustRightInd w:val="0"/>
              <w:snapToGrid w:val="0"/>
              <w:spacing w:before="32" w:line="206" w:lineRule="auto"/>
              <w:jc w:val="center"/>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10"/>
                <w:highlight w:val="yellow"/>
              </w:rPr>
              <w:t>日均值</w:t>
            </w:r>
          </w:p>
        </w:tc>
        <w:tc>
          <w:tcPr>
            <w:tcW w:w="1113" w:type="dxa"/>
            <w:tcBorders>
              <w:tl2br w:val="nil"/>
              <w:tr2bl w:val="nil"/>
            </w:tcBorders>
            <w:vAlign w:val="top"/>
          </w:tcPr>
          <w:p w14:paraId="05BB9BC9">
            <w:pPr>
              <w:pStyle w:val="35"/>
              <w:keepNext w:val="0"/>
              <w:keepLines w:val="0"/>
              <w:pageBreakBefore w:val="0"/>
              <w:kinsoku/>
              <w:wordWrap w:val="0"/>
              <w:overflowPunct/>
              <w:topLinePunct/>
              <w:autoSpaceDE/>
              <w:autoSpaceDN/>
              <w:bidi w:val="0"/>
              <w:adjustRightInd w:val="0"/>
              <w:snapToGrid w:val="0"/>
              <w:spacing w:before="32" w:line="206" w:lineRule="auto"/>
              <w:jc w:val="center"/>
              <w:textAlignment w:val="baseline"/>
              <w:rPr>
                <w:rFonts w:hint="default" w:ascii="Times New Roman" w:hAnsi="Times New Roman" w:cs="Times New Roman"/>
                <w:color w:val="auto"/>
                <w:highlight w:val="yellow"/>
              </w:rPr>
            </w:pPr>
            <w:r>
              <w:rPr>
                <w:rFonts w:hint="default" w:ascii="Times New Roman" w:hAnsi="Times New Roman" w:eastAsia="Times New Roman" w:cs="Times New Roman"/>
                <w:color w:val="auto"/>
                <w:spacing w:val="-4"/>
                <w:highlight w:val="yellow"/>
              </w:rPr>
              <w:t>7</w:t>
            </w:r>
            <w:r>
              <w:rPr>
                <w:rFonts w:hint="default" w:ascii="Times New Roman" w:hAnsi="Times New Roman" w:cs="Times New Roman"/>
                <w:color w:val="auto"/>
                <w:spacing w:val="-4"/>
                <w:highlight w:val="yellow"/>
              </w:rPr>
              <w:t>天</w:t>
            </w:r>
          </w:p>
        </w:tc>
        <w:tc>
          <w:tcPr>
            <w:tcW w:w="1435" w:type="dxa"/>
            <w:tcBorders>
              <w:tl2br w:val="nil"/>
              <w:tr2bl w:val="nil"/>
            </w:tcBorders>
            <w:vAlign w:val="top"/>
          </w:tcPr>
          <w:p w14:paraId="72245D8A">
            <w:pPr>
              <w:pStyle w:val="35"/>
              <w:keepNext w:val="0"/>
              <w:keepLines w:val="0"/>
              <w:pageBreakBefore w:val="0"/>
              <w:kinsoku/>
              <w:wordWrap w:val="0"/>
              <w:overflowPunct/>
              <w:topLinePunct/>
              <w:autoSpaceDE/>
              <w:autoSpaceDN/>
              <w:bidi w:val="0"/>
              <w:adjustRightInd w:val="0"/>
              <w:snapToGrid w:val="0"/>
              <w:spacing w:before="32" w:line="206" w:lineRule="auto"/>
              <w:ind w:left="247"/>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8"/>
                <w:highlight w:val="yellow"/>
              </w:rPr>
              <w:t>每日</w:t>
            </w:r>
            <w:r>
              <w:rPr>
                <w:rFonts w:hint="default" w:ascii="Times New Roman" w:hAnsi="Times New Roman" w:eastAsia="Times New Roman" w:cs="Times New Roman"/>
                <w:color w:val="auto"/>
                <w:spacing w:val="-8"/>
                <w:highlight w:val="yellow"/>
              </w:rPr>
              <w:t>1</w:t>
            </w:r>
            <w:r>
              <w:rPr>
                <w:rFonts w:hint="default" w:ascii="Times New Roman" w:hAnsi="Times New Roman" w:cs="Times New Roman"/>
                <w:color w:val="auto"/>
                <w:spacing w:val="-8"/>
                <w:highlight w:val="yellow"/>
              </w:rPr>
              <w:t>次</w:t>
            </w:r>
          </w:p>
        </w:tc>
        <w:tc>
          <w:tcPr>
            <w:tcW w:w="2224" w:type="dxa"/>
            <w:tcBorders>
              <w:tl2br w:val="nil"/>
              <w:tr2bl w:val="nil"/>
            </w:tcBorders>
            <w:vAlign w:val="top"/>
          </w:tcPr>
          <w:p w14:paraId="1BFBFBC6">
            <w:pPr>
              <w:keepNext w:val="0"/>
              <w:keepLines w:val="0"/>
              <w:pageBreakBefore w:val="0"/>
              <w:kinsoku/>
              <w:wordWrap w:val="0"/>
              <w:overflowPunct/>
              <w:topLinePunct/>
              <w:autoSpaceDE/>
              <w:autoSpaceDN/>
              <w:bidi w:val="0"/>
              <w:adjustRightInd w:val="0"/>
              <w:snapToGrid w:val="0"/>
              <w:spacing w:before="62" w:line="203" w:lineRule="auto"/>
              <w:ind w:left="1116"/>
              <w:textAlignment w:val="baseline"/>
              <w:rPr>
                <w:rFonts w:hint="default" w:ascii="Times New Roman" w:hAnsi="Times New Roman" w:eastAsia="Times New Roman" w:cs="Times New Roman"/>
                <w:color w:val="auto"/>
                <w:sz w:val="21"/>
                <w:szCs w:val="21"/>
                <w:highlight w:val="yellow"/>
              </w:rPr>
            </w:pPr>
            <w:r>
              <w:rPr>
                <w:rFonts w:hint="default" w:ascii="Times New Roman" w:hAnsi="Times New Roman" w:eastAsia="Times New Roman" w:cs="Times New Roman"/>
                <w:color w:val="auto"/>
                <w:sz w:val="21"/>
                <w:szCs w:val="21"/>
                <w:highlight w:val="yellow"/>
              </w:rPr>
              <w:t>/</w:t>
            </w:r>
          </w:p>
        </w:tc>
      </w:tr>
      <w:tr w14:paraId="644834F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0" w:hRule="atLeast"/>
        </w:trPr>
        <w:tc>
          <w:tcPr>
            <w:tcW w:w="2098" w:type="dxa"/>
            <w:tcBorders>
              <w:tl2br w:val="nil"/>
              <w:tr2bl w:val="nil"/>
            </w:tcBorders>
            <w:vAlign w:val="top"/>
          </w:tcPr>
          <w:p w14:paraId="5D34E024">
            <w:pPr>
              <w:pStyle w:val="35"/>
              <w:keepNext w:val="0"/>
              <w:keepLines w:val="0"/>
              <w:pageBreakBefore w:val="0"/>
              <w:kinsoku/>
              <w:wordWrap w:val="0"/>
              <w:overflowPunct/>
              <w:topLinePunct/>
              <w:autoSpaceDE/>
              <w:autoSpaceDN/>
              <w:bidi w:val="0"/>
              <w:adjustRightInd w:val="0"/>
              <w:snapToGrid w:val="0"/>
              <w:spacing w:before="34" w:line="207" w:lineRule="auto"/>
              <w:ind w:left="116"/>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2"/>
                <w:highlight w:val="yellow"/>
              </w:rPr>
              <w:t>臭气浓度（无量纲）</w:t>
            </w:r>
          </w:p>
        </w:tc>
        <w:tc>
          <w:tcPr>
            <w:tcW w:w="1547" w:type="dxa"/>
            <w:tcBorders>
              <w:tl2br w:val="nil"/>
              <w:tr2bl w:val="nil"/>
            </w:tcBorders>
            <w:vAlign w:val="top"/>
          </w:tcPr>
          <w:p w14:paraId="003B8AD3">
            <w:pPr>
              <w:pStyle w:val="35"/>
              <w:keepNext w:val="0"/>
              <w:keepLines w:val="0"/>
              <w:pageBreakBefore w:val="0"/>
              <w:kinsoku/>
              <w:wordWrap w:val="0"/>
              <w:overflowPunct/>
              <w:topLinePunct/>
              <w:autoSpaceDE/>
              <w:autoSpaceDN/>
              <w:bidi w:val="0"/>
              <w:adjustRightInd w:val="0"/>
              <w:snapToGrid w:val="0"/>
              <w:spacing w:before="34" w:line="207" w:lineRule="auto"/>
              <w:jc w:val="center"/>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3"/>
                <w:highlight w:val="yellow"/>
              </w:rPr>
              <w:t>一次值</w:t>
            </w:r>
          </w:p>
        </w:tc>
        <w:tc>
          <w:tcPr>
            <w:tcW w:w="1113" w:type="dxa"/>
            <w:tcBorders>
              <w:tl2br w:val="nil"/>
              <w:tr2bl w:val="nil"/>
            </w:tcBorders>
            <w:vAlign w:val="top"/>
          </w:tcPr>
          <w:p w14:paraId="647D31BB">
            <w:pPr>
              <w:pStyle w:val="35"/>
              <w:keepNext w:val="0"/>
              <w:keepLines w:val="0"/>
              <w:pageBreakBefore w:val="0"/>
              <w:kinsoku/>
              <w:wordWrap w:val="0"/>
              <w:overflowPunct/>
              <w:topLinePunct/>
              <w:autoSpaceDE/>
              <w:autoSpaceDN/>
              <w:bidi w:val="0"/>
              <w:adjustRightInd w:val="0"/>
              <w:snapToGrid w:val="0"/>
              <w:spacing w:before="34" w:line="207" w:lineRule="auto"/>
              <w:jc w:val="center"/>
              <w:textAlignment w:val="baseline"/>
              <w:rPr>
                <w:rFonts w:hint="default" w:ascii="Times New Roman" w:hAnsi="Times New Roman" w:cs="Times New Roman"/>
                <w:color w:val="auto"/>
                <w:highlight w:val="yellow"/>
              </w:rPr>
            </w:pPr>
            <w:r>
              <w:rPr>
                <w:rFonts w:hint="default" w:ascii="Times New Roman" w:hAnsi="Times New Roman" w:eastAsia="Times New Roman" w:cs="Times New Roman"/>
                <w:color w:val="auto"/>
                <w:spacing w:val="-4"/>
                <w:highlight w:val="yellow"/>
              </w:rPr>
              <w:t>7</w:t>
            </w:r>
            <w:r>
              <w:rPr>
                <w:rFonts w:hint="default" w:ascii="Times New Roman" w:hAnsi="Times New Roman" w:cs="Times New Roman"/>
                <w:color w:val="auto"/>
                <w:spacing w:val="-4"/>
                <w:highlight w:val="yellow"/>
              </w:rPr>
              <w:t>天</w:t>
            </w:r>
          </w:p>
        </w:tc>
        <w:tc>
          <w:tcPr>
            <w:tcW w:w="1435" w:type="dxa"/>
            <w:tcBorders>
              <w:tl2br w:val="nil"/>
              <w:tr2bl w:val="nil"/>
            </w:tcBorders>
            <w:vAlign w:val="top"/>
          </w:tcPr>
          <w:p w14:paraId="4BC62A21">
            <w:pPr>
              <w:pStyle w:val="35"/>
              <w:keepNext w:val="0"/>
              <w:keepLines w:val="0"/>
              <w:pageBreakBefore w:val="0"/>
              <w:kinsoku/>
              <w:wordWrap w:val="0"/>
              <w:overflowPunct/>
              <w:topLinePunct/>
              <w:autoSpaceDE/>
              <w:autoSpaceDN/>
              <w:bidi w:val="0"/>
              <w:adjustRightInd w:val="0"/>
              <w:snapToGrid w:val="0"/>
              <w:spacing w:before="34" w:line="207" w:lineRule="auto"/>
              <w:ind w:left="247"/>
              <w:textAlignment w:val="baseline"/>
              <w:rPr>
                <w:rFonts w:hint="default" w:ascii="Times New Roman" w:hAnsi="Times New Roman" w:cs="Times New Roman"/>
                <w:color w:val="auto"/>
                <w:highlight w:val="yellow"/>
              </w:rPr>
            </w:pPr>
            <w:r>
              <w:rPr>
                <w:rFonts w:hint="default" w:ascii="Times New Roman" w:hAnsi="Times New Roman" w:cs="Times New Roman"/>
                <w:color w:val="auto"/>
                <w:spacing w:val="-3"/>
                <w:highlight w:val="yellow"/>
              </w:rPr>
              <w:t>每日</w:t>
            </w:r>
            <w:r>
              <w:rPr>
                <w:rFonts w:hint="default" w:ascii="Times New Roman" w:hAnsi="Times New Roman" w:eastAsia="Times New Roman" w:cs="Times New Roman"/>
                <w:color w:val="auto"/>
                <w:spacing w:val="-3"/>
                <w:highlight w:val="yellow"/>
              </w:rPr>
              <w:t>4</w:t>
            </w:r>
            <w:r>
              <w:rPr>
                <w:rFonts w:hint="default" w:ascii="Times New Roman" w:hAnsi="Times New Roman" w:cs="Times New Roman"/>
                <w:color w:val="auto"/>
                <w:spacing w:val="-3"/>
                <w:highlight w:val="yellow"/>
              </w:rPr>
              <w:t>次</w:t>
            </w:r>
          </w:p>
        </w:tc>
        <w:tc>
          <w:tcPr>
            <w:tcW w:w="2224" w:type="dxa"/>
            <w:tcBorders>
              <w:tl2br w:val="nil"/>
              <w:tr2bl w:val="nil"/>
            </w:tcBorders>
            <w:vAlign w:val="top"/>
          </w:tcPr>
          <w:p w14:paraId="3964B565">
            <w:pPr>
              <w:keepNext w:val="0"/>
              <w:keepLines w:val="0"/>
              <w:pageBreakBefore w:val="0"/>
              <w:kinsoku/>
              <w:wordWrap w:val="0"/>
              <w:overflowPunct/>
              <w:topLinePunct/>
              <w:autoSpaceDE/>
              <w:autoSpaceDN/>
              <w:bidi w:val="0"/>
              <w:adjustRightInd w:val="0"/>
              <w:snapToGrid w:val="0"/>
              <w:spacing w:before="61" w:line="207" w:lineRule="auto"/>
              <w:ind w:left="1116"/>
              <w:textAlignment w:val="baseline"/>
              <w:rPr>
                <w:rFonts w:hint="default" w:ascii="Times New Roman" w:hAnsi="Times New Roman" w:eastAsia="Times New Roman" w:cs="Times New Roman"/>
                <w:color w:val="auto"/>
                <w:sz w:val="21"/>
                <w:szCs w:val="21"/>
                <w:highlight w:val="yellow"/>
              </w:rPr>
            </w:pPr>
            <w:r>
              <w:rPr>
                <w:rFonts w:hint="default" w:ascii="Times New Roman" w:hAnsi="Times New Roman" w:eastAsia="Times New Roman" w:cs="Times New Roman"/>
                <w:color w:val="auto"/>
                <w:sz w:val="21"/>
                <w:szCs w:val="21"/>
                <w:highlight w:val="yellow"/>
              </w:rPr>
              <w:t>/</w:t>
            </w:r>
          </w:p>
        </w:tc>
      </w:tr>
      <w:tr w14:paraId="108F93B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0" w:hRule="atLeast"/>
        </w:trPr>
        <w:tc>
          <w:tcPr>
            <w:tcW w:w="8417" w:type="dxa"/>
            <w:gridSpan w:val="5"/>
            <w:tcBorders>
              <w:tl2br w:val="nil"/>
              <w:tr2bl w:val="nil"/>
            </w:tcBorders>
            <w:vAlign w:val="top"/>
          </w:tcPr>
          <w:p w14:paraId="639E7067">
            <w:pPr>
              <w:keepNext w:val="0"/>
              <w:keepLines w:val="0"/>
              <w:pageBreakBefore w:val="0"/>
              <w:kinsoku/>
              <w:wordWrap w:val="0"/>
              <w:overflowPunct/>
              <w:topLinePunct/>
              <w:autoSpaceDE/>
              <w:autoSpaceDN/>
              <w:bidi w:val="0"/>
              <w:adjustRightInd w:val="0"/>
              <w:snapToGrid w:val="0"/>
              <w:spacing w:before="30" w:line="214" w:lineRule="auto"/>
              <w:textAlignment w:val="baseline"/>
              <w:rPr>
                <w:rFonts w:hint="default" w:ascii="Times New Roman" w:hAnsi="Times New Roman" w:eastAsia="Times New Roman" w:cs="Times New Roman"/>
                <w:color w:val="auto"/>
                <w:sz w:val="21"/>
                <w:szCs w:val="21"/>
                <w:highlight w:val="yellow"/>
              </w:rPr>
            </w:pPr>
            <w:r>
              <w:rPr>
                <w:rFonts w:hint="default" w:ascii="Times New Roman" w:hAnsi="Times New Roman" w:eastAsia="宋体" w:cs="Times New Roman"/>
                <w:color w:val="auto"/>
                <w:sz w:val="21"/>
                <w:szCs w:val="21"/>
                <w:highlight w:val="yellow"/>
              </w:rPr>
              <w:t>监测期间需同步记录气象条件，至少包括气温、气压、风速</w:t>
            </w:r>
            <w:r>
              <w:rPr>
                <w:rFonts w:hint="default" w:ascii="Times New Roman" w:hAnsi="Times New Roman" w:eastAsia="宋体" w:cs="Times New Roman"/>
                <w:color w:val="auto"/>
                <w:spacing w:val="-1"/>
                <w:sz w:val="21"/>
                <w:szCs w:val="21"/>
                <w:highlight w:val="yellow"/>
              </w:rPr>
              <w:t>和风向。</w:t>
            </w:r>
          </w:p>
        </w:tc>
      </w:tr>
    </w:tbl>
    <w:p w14:paraId="2CB9B1C9">
      <w:pPr>
        <w:keepNext w:val="0"/>
        <w:keepLines w:val="0"/>
        <w:pageBreakBefore w:val="0"/>
        <w:kinsoku/>
        <w:wordWrap w:val="0"/>
        <w:overflowPunct/>
        <w:topLinePunct/>
        <w:autoSpaceDE/>
        <w:autoSpaceDN/>
        <w:bidi w:val="0"/>
        <w:adjustRightInd w:val="0"/>
        <w:snapToGrid w:val="0"/>
        <w:spacing w:line="28" w:lineRule="exact"/>
        <w:ind w:firstLine="45"/>
        <w:textAlignment w:val="baseline"/>
        <w:rPr>
          <w:rFonts w:hint="default" w:ascii="Times New Roman" w:hAnsi="Times New Roman" w:cs="Times New Roman"/>
          <w:color w:val="auto"/>
          <w:highlight w:val="none"/>
        </w:rPr>
      </w:pPr>
    </w:p>
    <w:p w14:paraId="57A8C619">
      <w:pPr>
        <w:keepNext w:val="0"/>
        <w:keepLines w:val="0"/>
        <w:pageBreakBefore w:val="0"/>
        <w:kinsoku/>
        <w:wordWrap w:val="0"/>
        <w:overflowPunct/>
        <w:topLinePunct/>
        <w:autoSpaceDE/>
        <w:autoSpaceDN/>
        <w:bidi w:val="0"/>
        <w:adjustRightInd w:val="0"/>
        <w:snapToGrid w:val="0"/>
        <w:spacing w:before="33" w:line="234" w:lineRule="auto"/>
        <w:ind w:left="663"/>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3</w:t>
      </w:r>
      <w:r>
        <w:rPr>
          <w:rFonts w:hint="default" w:ascii="Times New Roman" w:hAnsi="Times New Roman" w:eastAsia="宋体" w:cs="Times New Roman"/>
          <w:color w:val="auto"/>
          <w:spacing w:val="-3"/>
          <w:sz w:val="24"/>
          <w:szCs w:val="24"/>
          <w:highlight w:val="none"/>
        </w:rPr>
        <w:t>）监测分析方法</w:t>
      </w:r>
    </w:p>
    <w:p w14:paraId="51840EE6">
      <w:pPr>
        <w:keepNext w:val="0"/>
        <w:keepLines w:val="0"/>
        <w:pageBreakBefore w:val="0"/>
        <w:kinsoku/>
        <w:wordWrap w:val="0"/>
        <w:overflowPunct/>
        <w:topLinePunct/>
        <w:autoSpaceDE/>
        <w:autoSpaceDN/>
        <w:bidi w:val="0"/>
        <w:adjustRightInd w:val="0"/>
        <w:snapToGrid w:val="0"/>
        <w:spacing w:before="161" w:line="360" w:lineRule="auto"/>
        <w:ind w:left="178" w:right="155" w:firstLine="481"/>
        <w:textAlignment w:val="baseline"/>
        <w:rPr>
          <w:rFonts w:hint="default" w:ascii="Times New Roman" w:hAnsi="Times New Roman" w:eastAsia="宋体" w:cs="Times New Roman"/>
          <w:color w:val="auto"/>
          <w:spacing w:val="-1"/>
          <w:sz w:val="24"/>
          <w:szCs w:val="24"/>
          <w:highlight w:val="none"/>
        </w:rPr>
      </w:pPr>
      <w:r>
        <w:rPr>
          <w:rFonts w:hint="default" w:ascii="Times New Roman" w:hAnsi="Times New Roman" w:eastAsia="宋体" w:cs="Times New Roman"/>
          <w:color w:val="auto"/>
          <w:spacing w:val="-4"/>
          <w:sz w:val="24"/>
          <w:szCs w:val="24"/>
          <w:highlight w:val="none"/>
        </w:rPr>
        <w:t>大气污染物的采样方法按照《空气和废气监测分析方法》</w:t>
      </w:r>
      <w:r>
        <w:rPr>
          <w:rFonts w:hint="default" w:ascii="Times New Roman" w:hAnsi="Times New Roman" w:eastAsia="宋体" w:cs="Times New Roman"/>
          <w:color w:val="auto"/>
          <w:spacing w:val="-4"/>
          <w:sz w:val="24"/>
          <w:szCs w:val="24"/>
          <w:highlight w:val="none"/>
          <w:lang w:val="en-US" w:eastAsia="zh-CN"/>
        </w:rPr>
        <w:t>和《环境监测技术规范》（大气部分）要求进行</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lang w:val="en-US" w:eastAsia="zh-CN"/>
        </w:rPr>
        <w:t>分析方法见下表</w:t>
      </w:r>
      <w:r>
        <w:rPr>
          <w:rFonts w:hint="default" w:ascii="Times New Roman" w:hAnsi="Times New Roman" w:eastAsia="宋体" w:cs="Times New Roman"/>
          <w:color w:val="auto"/>
          <w:spacing w:val="-1"/>
          <w:sz w:val="24"/>
          <w:szCs w:val="24"/>
          <w:highlight w:val="none"/>
        </w:rPr>
        <w:t>。</w:t>
      </w:r>
    </w:p>
    <w:p w14:paraId="2E9015BD">
      <w:pPr>
        <w:keepNext w:val="0"/>
        <w:keepLines w:val="0"/>
        <w:pageBreakBefore w:val="0"/>
        <w:kinsoku/>
        <w:wordWrap w:val="0"/>
        <w:overflowPunct/>
        <w:topLinePunct/>
        <w:autoSpaceDE/>
        <w:autoSpaceDN/>
        <w:bidi w:val="0"/>
        <w:adjustRightInd w:val="0"/>
        <w:snapToGrid w:val="0"/>
        <w:spacing w:before="1" w:line="212" w:lineRule="auto"/>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4.3-</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宋体" w:cs="Times New Roman"/>
          <w:b/>
          <w:bCs/>
          <w:color w:val="auto"/>
          <w:spacing w:val="-1"/>
          <w:sz w:val="24"/>
          <w:szCs w:val="24"/>
          <w:highlight w:val="none"/>
        </w:rPr>
        <w:t>环境空气检测方法及仪器</w:t>
      </w:r>
    </w:p>
    <w:tbl>
      <w:tblPr>
        <w:tblStyle w:val="34"/>
        <w:tblW w:w="8622"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623"/>
        <w:gridCol w:w="547"/>
        <w:gridCol w:w="3854"/>
        <w:gridCol w:w="3598"/>
      </w:tblGrid>
      <w:tr w14:paraId="1C0D29B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170" w:type="dxa"/>
            <w:gridSpan w:val="2"/>
            <w:tcBorders>
              <w:tl2br w:val="nil"/>
              <w:tr2bl w:val="nil"/>
            </w:tcBorders>
            <w:vAlign w:val="center"/>
          </w:tcPr>
          <w:p w14:paraId="0ADD014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检测项目</w:t>
            </w:r>
          </w:p>
        </w:tc>
        <w:tc>
          <w:tcPr>
            <w:tcW w:w="3854" w:type="dxa"/>
            <w:tcBorders>
              <w:tl2br w:val="nil"/>
              <w:tr2bl w:val="nil"/>
            </w:tcBorders>
            <w:vAlign w:val="center"/>
          </w:tcPr>
          <w:p w14:paraId="4D3FB41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2"/>
                <w:highlight w:val="none"/>
              </w:rPr>
              <w:t>检测方法名称及标准号</w:t>
            </w:r>
          </w:p>
        </w:tc>
        <w:tc>
          <w:tcPr>
            <w:tcW w:w="3598" w:type="dxa"/>
            <w:tcBorders>
              <w:tl2br w:val="nil"/>
              <w:tr2bl w:val="nil"/>
            </w:tcBorders>
            <w:vAlign w:val="center"/>
          </w:tcPr>
          <w:p w14:paraId="7C3698A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2"/>
                <w:highlight w:val="none"/>
              </w:rPr>
              <w:t>仪器名称</w:t>
            </w:r>
            <w:r>
              <w:rPr>
                <w:rFonts w:hint="default" w:ascii="Times New Roman" w:hAnsi="Times New Roman" w:eastAsia="Times New Roman" w:cs="Times New Roman"/>
                <w:b/>
                <w:bCs/>
                <w:color w:val="auto"/>
                <w:spacing w:val="-2"/>
                <w:highlight w:val="none"/>
              </w:rPr>
              <w:t>/</w:t>
            </w:r>
            <w:r>
              <w:rPr>
                <w:rFonts w:hint="default" w:ascii="Times New Roman" w:hAnsi="Times New Roman" w:cs="Times New Roman"/>
                <w:b/>
                <w:bCs/>
                <w:color w:val="auto"/>
                <w:spacing w:val="-2"/>
                <w:highlight w:val="none"/>
              </w:rPr>
              <w:t>仪器型号</w:t>
            </w:r>
            <w:r>
              <w:rPr>
                <w:rFonts w:hint="default" w:ascii="Times New Roman" w:hAnsi="Times New Roman" w:eastAsia="Times New Roman" w:cs="Times New Roman"/>
                <w:b/>
                <w:bCs/>
                <w:color w:val="auto"/>
                <w:spacing w:val="-2"/>
                <w:highlight w:val="none"/>
              </w:rPr>
              <w:t>/</w:t>
            </w:r>
            <w:r>
              <w:rPr>
                <w:rFonts w:hint="default" w:ascii="Times New Roman" w:hAnsi="Times New Roman" w:cs="Times New Roman"/>
                <w:b/>
                <w:bCs/>
                <w:color w:val="auto"/>
                <w:spacing w:val="-2"/>
                <w:highlight w:val="none"/>
              </w:rPr>
              <w:t>仪器编号</w:t>
            </w:r>
          </w:p>
        </w:tc>
      </w:tr>
      <w:tr w14:paraId="22918EB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restart"/>
            <w:tcBorders>
              <w:tl2br w:val="nil"/>
              <w:tr2bl w:val="nil"/>
            </w:tcBorders>
            <w:vAlign w:val="center"/>
          </w:tcPr>
          <w:p w14:paraId="2B49246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547" w:type="dxa"/>
            <w:vMerge w:val="restart"/>
            <w:tcBorders>
              <w:tl2br w:val="nil"/>
              <w:tr2bl w:val="nil"/>
            </w:tcBorders>
            <w:vAlign w:val="center"/>
          </w:tcPr>
          <w:p w14:paraId="3571E99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氨</w:t>
            </w:r>
          </w:p>
        </w:tc>
        <w:tc>
          <w:tcPr>
            <w:tcW w:w="3854" w:type="dxa"/>
            <w:vMerge w:val="restart"/>
            <w:tcBorders>
              <w:tl2br w:val="nil"/>
              <w:tr2bl w:val="nil"/>
            </w:tcBorders>
            <w:vAlign w:val="center"/>
          </w:tcPr>
          <w:p w14:paraId="2772F80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环境空气和废气氨的测定纳氏试剂分</w:t>
            </w:r>
          </w:p>
          <w:p w14:paraId="78D75383">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
                <w:highlight w:val="none"/>
              </w:rPr>
              <w:t>光光度法</w:t>
            </w:r>
            <w:r>
              <w:rPr>
                <w:rFonts w:hint="default" w:ascii="Times New Roman" w:hAnsi="Times New Roman" w:eastAsia="Times New Roman" w:cs="Times New Roman"/>
                <w:color w:val="auto"/>
                <w:spacing w:val="-1"/>
                <w:highlight w:val="none"/>
              </w:rPr>
              <w:t>HJ533-2009</w:t>
            </w:r>
          </w:p>
        </w:tc>
        <w:tc>
          <w:tcPr>
            <w:tcW w:w="3598" w:type="dxa"/>
            <w:tcBorders>
              <w:tl2br w:val="nil"/>
              <w:tr2bl w:val="nil"/>
            </w:tcBorders>
            <w:vAlign w:val="center"/>
          </w:tcPr>
          <w:p w14:paraId="519E0DE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spacing w:val="-1"/>
                <w:highlight w:val="none"/>
              </w:rPr>
              <w:t>空气采样器</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ZR-3922</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ZYJC-YQ-122</w:t>
            </w:r>
          </w:p>
        </w:tc>
      </w:tr>
      <w:tr w14:paraId="0D0403A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continue"/>
            <w:tcBorders>
              <w:tl2br w:val="nil"/>
              <w:tr2bl w:val="nil"/>
            </w:tcBorders>
            <w:vAlign w:val="center"/>
          </w:tcPr>
          <w:p w14:paraId="0CB9FEA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547" w:type="dxa"/>
            <w:vMerge w:val="continue"/>
            <w:tcBorders>
              <w:tl2br w:val="nil"/>
              <w:tr2bl w:val="nil"/>
            </w:tcBorders>
            <w:vAlign w:val="center"/>
          </w:tcPr>
          <w:p w14:paraId="093EA36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854" w:type="dxa"/>
            <w:vMerge w:val="continue"/>
            <w:tcBorders>
              <w:tl2br w:val="nil"/>
              <w:tr2bl w:val="nil"/>
            </w:tcBorders>
            <w:vAlign w:val="center"/>
          </w:tcPr>
          <w:p w14:paraId="3A8B7FA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98" w:type="dxa"/>
            <w:tcBorders>
              <w:tl2br w:val="nil"/>
              <w:tr2bl w:val="nil"/>
            </w:tcBorders>
            <w:vAlign w:val="center"/>
          </w:tcPr>
          <w:p w14:paraId="28677F5F">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
                <w:highlight w:val="none"/>
              </w:rPr>
              <w:t>空气采样器</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ZR-3922</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ZYJC-YQ-123</w:t>
            </w:r>
          </w:p>
        </w:tc>
      </w:tr>
      <w:tr w14:paraId="073A063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continue"/>
            <w:tcBorders>
              <w:tl2br w:val="nil"/>
              <w:tr2bl w:val="nil"/>
            </w:tcBorders>
            <w:vAlign w:val="center"/>
          </w:tcPr>
          <w:p w14:paraId="2B8B5E6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547" w:type="dxa"/>
            <w:vMerge w:val="continue"/>
            <w:tcBorders>
              <w:tl2br w:val="nil"/>
              <w:tr2bl w:val="nil"/>
            </w:tcBorders>
            <w:vAlign w:val="center"/>
          </w:tcPr>
          <w:p w14:paraId="4336DBB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854" w:type="dxa"/>
            <w:vMerge w:val="continue"/>
            <w:tcBorders>
              <w:tl2br w:val="nil"/>
              <w:tr2bl w:val="nil"/>
            </w:tcBorders>
            <w:vAlign w:val="center"/>
          </w:tcPr>
          <w:p w14:paraId="6B58EBE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98" w:type="dxa"/>
            <w:tcBorders>
              <w:tl2br w:val="nil"/>
              <w:tr2bl w:val="nil"/>
            </w:tcBorders>
            <w:vAlign w:val="center"/>
          </w:tcPr>
          <w:p w14:paraId="49976B6C">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pacing w:val="-2"/>
                <w:highlight w:val="none"/>
                <w:lang w:val="en-US" w:eastAsia="zh-CN"/>
              </w:rPr>
            </w:pPr>
            <w:r>
              <w:rPr>
                <w:rFonts w:hint="default" w:ascii="Times New Roman" w:hAnsi="Times New Roman" w:cs="Times New Roman"/>
                <w:color w:val="auto"/>
                <w:spacing w:val="-2"/>
                <w:highlight w:val="none"/>
              </w:rPr>
              <w:t>紫外可见分光光度计</w:t>
            </w:r>
            <w:r>
              <w:rPr>
                <w:rFonts w:hint="default" w:ascii="Times New Roman" w:hAnsi="Times New Roman" w:eastAsia="Times New Roman" w:cs="Times New Roman"/>
                <w:color w:val="auto"/>
                <w:highlight w:val="none"/>
              </w:rPr>
              <w:t>/</w:t>
            </w:r>
            <w:r>
              <w:rPr>
                <w:rFonts w:hint="default" w:ascii="Times New Roman" w:hAnsi="Times New Roman" w:eastAsia="宋体" w:cs="Times New Roman"/>
                <w:color w:val="auto"/>
                <w:highlight w:val="none"/>
                <w:lang w:val="en-US" w:eastAsia="zh-CN"/>
              </w:rPr>
              <w:t>UV1800</w:t>
            </w:r>
            <w:r>
              <w:rPr>
                <w:rFonts w:hint="default" w:ascii="Times New Roman" w:hAnsi="Times New Roman" w:eastAsia="宋体" w:cs="Times New Roman"/>
                <w:color w:val="auto"/>
                <w:spacing w:val="-1"/>
                <w:highlight w:val="none"/>
                <w:lang w:val="en-US" w:eastAsia="zh-CN"/>
              </w:rPr>
              <w:t>/</w:t>
            </w:r>
            <w:r>
              <w:rPr>
                <w:rFonts w:hint="default" w:ascii="Times New Roman" w:hAnsi="Times New Roman" w:eastAsia="宋体" w:cs="Times New Roman"/>
                <w:color w:val="auto"/>
                <w:highlight w:val="none"/>
                <w:lang w:val="en-US" w:eastAsia="zh-CN"/>
              </w:rPr>
              <w:t>ZYJC-YQ-040</w:t>
            </w:r>
          </w:p>
        </w:tc>
      </w:tr>
      <w:tr w14:paraId="2BCD0EE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restart"/>
            <w:tcBorders>
              <w:tl2br w:val="nil"/>
              <w:tr2bl w:val="nil"/>
            </w:tcBorders>
            <w:vAlign w:val="center"/>
          </w:tcPr>
          <w:p w14:paraId="7C817D7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547" w:type="dxa"/>
            <w:vMerge w:val="restart"/>
            <w:tcBorders>
              <w:tl2br w:val="nil"/>
              <w:tr2bl w:val="nil"/>
            </w:tcBorders>
            <w:vAlign w:val="center"/>
          </w:tcPr>
          <w:p w14:paraId="06D6DF9E">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硫化氢</w:t>
            </w:r>
          </w:p>
        </w:tc>
        <w:tc>
          <w:tcPr>
            <w:tcW w:w="3854" w:type="dxa"/>
            <w:vMerge w:val="restart"/>
            <w:tcBorders>
              <w:tl2br w:val="nil"/>
              <w:tr2bl w:val="nil"/>
            </w:tcBorders>
            <w:vAlign w:val="center"/>
          </w:tcPr>
          <w:p w14:paraId="5ADEA52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环境空气硫化氢亚甲基蓝分光光度法</w:t>
            </w:r>
            <w:r>
              <w:rPr>
                <w:rFonts w:hint="default" w:ascii="Times New Roman" w:hAnsi="Times New Roman" w:cs="Times New Roman"/>
                <w:color w:val="auto"/>
                <w:spacing w:val="-9"/>
                <w:highlight w:val="none"/>
              </w:rPr>
              <w:t>《空气和废气监测分析方法》（第四版）</w:t>
            </w:r>
            <w:r>
              <w:rPr>
                <w:rFonts w:hint="default" w:ascii="Times New Roman" w:hAnsi="Times New Roman" w:cs="Times New Roman"/>
                <w:color w:val="auto"/>
                <w:highlight w:val="none"/>
              </w:rPr>
              <w:t>国家环境保护总局（</w:t>
            </w:r>
            <w:r>
              <w:rPr>
                <w:rFonts w:hint="default" w:ascii="Times New Roman" w:hAnsi="Times New Roman" w:eastAsia="Times New Roman" w:cs="Times New Roman"/>
                <w:color w:val="auto"/>
                <w:highlight w:val="none"/>
              </w:rPr>
              <w:t>2003</w:t>
            </w:r>
            <w:r>
              <w:rPr>
                <w:rFonts w:hint="default" w:ascii="Times New Roman" w:hAnsi="Times New Roman" w:cs="Times New Roman"/>
                <w:color w:val="auto"/>
                <w:highlight w:val="none"/>
              </w:rPr>
              <w:t>年）</w:t>
            </w:r>
          </w:p>
        </w:tc>
        <w:tc>
          <w:tcPr>
            <w:tcW w:w="3598" w:type="dxa"/>
            <w:tcBorders>
              <w:tl2br w:val="nil"/>
              <w:tr2bl w:val="nil"/>
            </w:tcBorders>
            <w:vAlign w:val="center"/>
          </w:tcPr>
          <w:p w14:paraId="7764F5E3">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spacing w:val="-1"/>
                <w:highlight w:val="none"/>
              </w:rPr>
              <w:t>空气采样器</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ZR-3922</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ZYJC-YQ-122</w:t>
            </w:r>
          </w:p>
        </w:tc>
      </w:tr>
      <w:tr w14:paraId="5808D95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continue"/>
            <w:tcBorders>
              <w:tl2br w:val="nil"/>
              <w:tr2bl w:val="nil"/>
            </w:tcBorders>
            <w:vAlign w:val="center"/>
          </w:tcPr>
          <w:p w14:paraId="41DCCA5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547" w:type="dxa"/>
            <w:vMerge w:val="continue"/>
            <w:tcBorders>
              <w:tl2br w:val="nil"/>
              <w:tr2bl w:val="nil"/>
            </w:tcBorders>
            <w:vAlign w:val="center"/>
          </w:tcPr>
          <w:p w14:paraId="34A4BCB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854" w:type="dxa"/>
            <w:vMerge w:val="continue"/>
            <w:tcBorders>
              <w:tl2br w:val="nil"/>
              <w:tr2bl w:val="nil"/>
            </w:tcBorders>
            <w:vAlign w:val="center"/>
          </w:tcPr>
          <w:p w14:paraId="1E18AC7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98" w:type="dxa"/>
            <w:tcBorders>
              <w:tl2br w:val="nil"/>
              <w:tr2bl w:val="nil"/>
            </w:tcBorders>
            <w:vAlign w:val="center"/>
          </w:tcPr>
          <w:p w14:paraId="6B5086F2">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1"/>
                <w:highlight w:val="none"/>
              </w:rPr>
              <w:t>空气采样器</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ZR-3922</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ZYJC-YQ-123</w:t>
            </w:r>
          </w:p>
        </w:tc>
      </w:tr>
      <w:tr w14:paraId="657013B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529" w:hRule="atLeast"/>
          <w:jc w:val="center"/>
        </w:trPr>
        <w:tc>
          <w:tcPr>
            <w:tcW w:w="623" w:type="dxa"/>
            <w:vMerge w:val="continue"/>
            <w:tcBorders>
              <w:tl2br w:val="nil"/>
              <w:tr2bl w:val="nil"/>
            </w:tcBorders>
            <w:vAlign w:val="center"/>
          </w:tcPr>
          <w:p w14:paraId="1F322FA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547" w:type="dxa"/>
            <w:vMerge w:val="continue"/>
            <w:tcBorders>
              <w:tl2br w:val="nil"/>
              <w:tr2bl w:val="nil"/>
            </w:tcBorders>
            <w:vAlign w:val="center"/>
          </w:tcPr>
          <w:p w14:paraId="59255CE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854" w:type="dxa"/>
            <w:vMerge w:val="continue"/>
            <w:tcBorders>
              <w:tl2br w:val="nil"/>
              <w:tr2bl w:val="nil"/>
            </w:tcBorders>
            <w:vAlign w:val="center"/>
          </w:tcPr>
          <w:p w14:paraId="78CEC26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98" w:type="dxa"/>
            <w:tcBorders>
              <w:tl2br w:val="nil"/>
              <w:tr2bl w:val="nil"/>
            </w:tcBorders>
            <w:vAlign w:val="center"/>
          </w:tcPr>
          <w:p w14:paraId="2F9D0BD1">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pacing w:val="-2"/>
                <w:highlight w:val="none"/>
                <w:lang w:val="en-US" w:eastAsia="zh-CN"/>
              </w:rPr>
            </w:pPr>
            <w:r>
              <w:rPr>
                <w:rFonts w:hint="default" w:ascii="Times New Roman" w:hAnsi="Times New Roman" w:cs="Times New Roman"/>
                <w:color w:val="auto"/>
                <w:spacing w:val="-2"/>
                <w:highlight w:val="none"/>
              </w:rPr>
              <w:t>紫外可见分光光度计</w:t>
            </w:r>
            <w:r>
              <w:rPr>
                <w:rFonts w:hint="default" w:ascii="Times New Roman" w:hAnsi="Times New Roman" w:eastAsia="Times New Roman" w:cs="Times New Roman"/>
                <w:color w:val="auto"/>
                <w:highlight w:val="none"/>
              </w:rPr>
              <w:t>/UV</w:t>
            </w:r>
            <w:r>
              <w:rPr>
                <w:rFonts w:hint="default" w:ascii="Times New Roman" w:hAnsi="Times New Roman" w:eastAsia="宋体" w:cs="Times New Roman"/>
                <w:color w:val="auto"/>
                <w:highlight w:val="none"/>
                <w:lang w:val="en-US" w:eastAsia="zh-CN"/>
              </w:rPr>
              <w:t>1800</w:t>
            </w:r>
            <w:r>
              <w:rPr>
                <w:rFonts w:hint="default" w:ascii="Times New Roman" w:hAnsi="Times New Roman" w:eastAsia="Times New Roman" w:cs="Times New Roman"/>
                <w:color w:val="auto"/>
                <w:highlight w:val="none"/>
              </w:rPr>
              <w:t>/</w:t>
            </w:r>
            <w:r>
              <w:rPr>
                <w:rFonts w:hint="default" w:ascii="Times New Roman" w:hAnsi="Times New Roman" w:eastAsia="宋体" w:cs="Times New Roman"/>
                <w:color w:val="auto"/>
                <w:highlight w:val="none"/>
                <w:lang w:val="en-US" w:eastAsia="zh-CN"/>
              </w:rPr>
              <w:t>ZYJC-YQ-123</w:t>
            </w:r>
          </w:p>
        </w:tc>
      </w:tr>
      <w:tr w14:paraId="17784A6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restart"/>
            <w:tcBorders>
              <w:tl2br w:val="nil"/>
              <w:tr2bl w:val="nil"/>
            </w:tcBorders>
            <w:vAlign w:val="center"/>
          </w:tcPr>
          <w:p w14:paraId="1A6F730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547" w:type="dxa"/>
            <w:vMerge w:val="restart"/>
            <w:tcBorders>
              <w:tl2br w:val="nil"/>
              <w:tr2bl w:val="nil"/>
            </w:tcBorders>
            <w:vAlign w:val="center"/>
          </w:tcPr>
          <w:p w14:paraId="065A35F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总悬浮颗粒</w:t>
            </w:r>
            <w:r>
              <w:rPr>
                <w:rFonts w:hint="default" w:ascii="Times New Roman" w:hAnsi="Times New Roman" w:cs="Times New Roman"/>
                <w:color w:val="auto"/>
                <w:highlight w:val="none"/>
              </w:rPr>
              <w:t>物</w:t>
            </w:r>
          </w:p>
        </w:tc>
        <w:tc>
          <w:tcPr>
            <w:tcW w:w="3854" w:type="dxa"/>
            <w:vMerge w:val="restart"/>
            <w:tcBorders>
              <w:tl2br w:val="nil"/>
              <w:tr2bl w:val="nil"/>
            </w:tcBorders>
            <w:vAlign w:val="center"/>
          </w:tcPr>
          <w:p w14:paraId="57F68A16">
            <w:pPr>
              <w:pStyle w:val="35"/>
              <w:keepNext w:val="0"/>
              <w:keepLines w:val="0"/>
              <w:pageBreakBefore w:val="0"/>
              <w:widowControl/>
              <w:kinsoku/>
              <w:wordWrap w:val="0"/>
              <w:overflowPunct/>
              <w:topLinePunct/>
              <w:autoSpaceDE/>
              <w:autoSpaceDN/>
              <w:bidi w:val="0"/>
              <w:adjustRightInd w:val="0"/>
              <w:snapToGrid w:val="0"/>
              <w:spacing w:line="240" w:lineRule="auto"/>
              <w:ind w:right="38"/>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lang w:eastAsia="zh-CN"/>
              </w:rPr>
              <w:t>《</w:t>
            </w:r>
            <w:r>
              <w:rPr>
                <w:rFonts w:hint="default" w:ascii="Times New Roman" w:hAnsi="Times New Roman" w:cs="Times New Roman"/>
                <w:color w:val="auto"/>
                <w:spacing w:val="-1"/>
                <w:highlight w:val="none"/>
              </w:rPr>
              <w:t>空气总悬浮颗粒物的测定重量法</w:t>
            </w:r>
            <w:r>
              <w:rPr>
                <w:rFonts w:hint="default" w:ascii="Times New Roman" w:hAnsi="Times New Roman" w:cs="Times New Roman"/>
                <w:color w:val="auto"/>
                <w:spacing w:val="-1"/>
                <w:highlight w:val="none"/>
                <w:lang w:eastAsia="zh-CN"/>
              </w:rPr>
              <w:t>》</w:t>
            </w:r>
            <w:r>
              <w:rPr>
                <w:rFonts w:hint="default" w:ascii="Times New Roman" w:hAnsi="Times New Roman" w:eastAsia="Times New Roman" w:cs="Times New Roman"/>
                <w:color w:val="auto"/>
                <w:spacing w:val="-1"/>
                <w:highlight w:val="none"/>
              </w:rPr>
              <w:t>GB/T15432-1995</w:t>
            </w:r>
            <w:r>
              <w:rPr>
                <w:rFonts w:hint="default" w:ascii="Times New Roman" w:hAnsi="Times New Roman" w:cs="Times New Roman"/>
                <w:color w:val="auto"/>
                <w:spacing w:val="-1"/>
                <w:highlight w:val="none"/>
              </w:rPr>
              <w:t>及修改单</w:t>
            </w:r>
          </w:p>
        </w:tc>
        <w:tc>
          <w:tcPr>
            <w:tcW w:w="3598" w:type="dxa"/>
            <w:tcBorders>
              <w:tl2br w:val="nil"/>
              <w:tr2bl w:val="nil"/>
            </w:tcBorders>
            <w:vAlign w:val="center"/>
          </w:tcPr>
          <w:p w14:paraId="00F8522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pacing w:val="-1"/>
                <w:highlight w:val="none"/>
              </w:rPr>
              <w:t>空气采样器</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ZR-3922</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ZYJC-YQ-124</w:t>
            </w:r>
          </w:p>
        </w:tc>
      </w:tr>
      <w:tr w14:paraId="3A68B4D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continue"/>
            <w:tcBorders>
              <w:tl2br w:val="nil"/>
              <w:tr2bl w:val="nil"/>
            </w:tcBorders>
            <w:vAlign w:val="center"/>
          </w:tcPr>
          <w:p w14:paraId="2DAA720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547" w:type="dxa"/>
            <w:vMerge w:val="continue"/>
            <w:tcBorders>
              <w:tl2br w:val="nil"/>
              <w:tr2bl w:val="nil"/>
            </w:tcBorders>
            <w:vAlign w:val="center"/>
          </w:tcPr>
          <w:p w14:paraId="1F9A792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854" w:type="dxa"/>
            <w:vMerge w:val="continue"/>
            <w:tcBorders>
              <w:tl2br w:val="nil"/>
              <w:tr2bl w:val="nil"/>
            </w:tcBorders>
            <w:vAlign w:val="center"/>
          </w:tcPr>
          <w:p w14:paraId="5914E0C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98" w:type="dxa"/>
            <w:tcBorders>
              <w:tl2br w:val="nil"/>
              <w:tr2bl w:val="nil"/>
            </w:tcBorders>
            <w:vAlign w:val="center"/>
          </w:tcPr>
          <w:p w14:paraId="4CC1EAB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highlight w:val="none"/>
                <w:lang w:val="en-US"/>
              </w:rPr>
            </w:pPr>
            <w:r>
              <w:rPr>
                <w:rFonts w:hint="default" w:ascii="Times New Roman" w:hAnsi="Times New Roman" w:cs="Times New Roman"/>
                <w:color w:val="auto"/>
                <w:spacing w:val="-1"/>
                <w:highlight w:val="none"/>
              </w:rPr>
              <w:t>空气采样器</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ZR-3922</w:t>
            </w:r>
            <w:r>
              <w:rPr>
                <w:rFonts w:hint="default" w:ascii="Times New Roman" w:hAnsi="Times New Roman" w:eastAsia="Times New Roman" w:cs="Times New Roman"/>
                <w:color w:val="auto"/>
                <w:spacing w:val="-1"/>
                <w:highlight w:val="none"/>
              </w:rPr>
              <w:t>/</w:t>
            </w:r>
            <w:r>
              <w:rPr>
                <w:rFonts w:hint="default" w:ascii="Times New Roman" w:hAnsi="Times New Roman" w:eastAsia="宋体" w:cs="Times New Roman"/>
                <w:color w:val="auto"/>
                <w:spacing w:val="-1"/>
                <w:highlight w:val="none"/>
                <w:lang w:val="en-US" w:eastAsia="zh-CN"/>
              </w:rPr>
              <w:t>ZYJC-YQ-125</w:t>
            </w:r>
          </w:p>
        </w:tc>
      </w:tr>
      <w:tr w14:paraId="451AA20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continue"/>
            <w:tcBorders>
              <w:tl2br w:val="nil"/>
              <w:tr2bl w:val="nil"/>
            </w:tcBorders>
            <w:vAlign w:val="center"/>
          </w:tcPr>
          <w:p w14:paraId="09AD48E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547" w:type="dxa"/>
            <w:vMerge w:val="continue"/>
            <w:tcBorders>
              <w:tl2br w:val="nil"/>
              <w:tr2bl w:val="nil"/>
            </w:tcBorders>
            <w:vAlign w:val="center"/>
          </w:tcPr>
          <w:p w14:paraId="503373E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854" w:type="dxa"/>
            <w:vMerge w:val="continue"/>
            <w:tcBorders>
              <w:tl2br w:val="nil"/>
              <w:tr2bl w:val="nil"/>
            </w:tcBorders>
            <w:vAlign w:val="center"/>
          </w:tcPr>
          <w:p w14:paraId="6E7BB68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98" w:type="dxa"/>
            <w:tcBorders>
              <w:tl2br w:val="nil"/>
              <w:tr2bl w:val="nil"/>
            </w:tcBorders>
            <w:vAlign w:val="center"/>
          </w:tcPr>
          <w:p w14:paraId="48C1339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电子分析天平/CEB01035/ZYJC-YQ-103</w:t>
            </w:r>
          </w:p>
        </w:tc>
      </w:tr>
      <w:tr w14:paraId="1386886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vMerge w:val="continue"/>
            <w:tcBorders>
              <w:tl2br w:val="nil"/>
              <w:tr2bl w:val="nil"/>
            </w:tcBorders>
            <w:vAlign w:val="center"/>
          </w:tcPr>
          <w:p w14:paraId="33F80B3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547" w:type="dxa"/>
            <w:vMerge w:val="continue"/>
            <w:tcBorders>
              <w:tl2br w:val="nil"/>
              <w:tr2bl w:val="nil"/>
            </w:tcBorders>
            <w:vAlign w:val="center"/>
          </w:tcPr>
          <w:p w14:paraId="49F3454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854" w:type="dxa"/>
            <w:vMerge w:val="continue"/>
            <w:tcBorders>
              <w:tl2br w:val="nil"/>
              <w:tr2bl w:val="nil"/>
            </w:tcBorders>
            <w:vAlign w:val="center"/>
          </w:tcPr>
          <w:p w14:paraId="0DC2246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highlight w:val="none"/>
              </w:rPr>
            </w:pPr>
          </w:p>
        </w:tc>
        <w:tc>
          <w:tcPr>
            <w:tcW w:w="3598" w:type="dxa"/>
            <w:tcBorders>
              <w:tl2br w:val="nil"/>
              <w:tr2bl w:val="nil"/>
            </w:tcBorders>
            <w:vAlign w:val="center"/>
          </w:tcPr>
          <w:p w14:paraId="75FE774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恒温恒湿称重系统/BSLT-HWS/ZYJX-YQ-033</w:t>
            </w:r>
          </w:p>
        </w:tc>
      </w:tr>
      <w:tr w14:paraId="0E4F751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23" w:type="dxa"/>
            <w:tcBorders>
              <w:tl2br w:val="nil"/>
              <w:tr2bl w:val="nil"/>
            </w:tcBorders>
            <w:vAlign w:val="center"/>
          </w:tcPr>
          <w:p w14:paraId="690484D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547" w:type="dxa"/>
            <w:tcBorders>
              <w:tl2br w:val="nil"/>
              <w:tr2bl w:val="nil"/>
            </w:tcBorders>
            <w:vAlign w:val="center"/>
          </w:tcPr>
          <w:p w14:paraId="3137625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臭气浓度</w:t>
            </w:r>
          </w:p>
        </w:tc>
        <w:tc>
          <w:tcPr>
            <w:tcW w:w="3854" w:type="dxa"/>
            <w:tcBorders>
              <w:tl2br w:val="nil"/>
              <w:tr2bl w:val="nil"/>
            </w:tcBorders>
            <w:vAlign w:val="center"/>
          </w:tcPr>
          <w:p w14:paraId="2A0E132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空气质量恶臭的测定三点比较式臭袋</w:t>
            </w:r>
          </w:p>
          <w:p w14:paraId="65C57D9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spacing w:val="-2"/>
                <w:highlight w:val="none"/>
              </w:rPr>
              <w:t>法</w:t>
            </w:r>
            <w:r>
              <w:rPr>
                <w:rFonts w:hint="default" w:ascii="Times New Roman" w:hAnsi="Times New Roman" w:cs="Times New Roman"/>
                <w:color w:val="auto"/>
                <w:spacing w:val="-2"/>
                <w:highlight w:val="none"/>
                <w:lang w:eastAsia="zh-CN"/>
              </w:rPr>
              <w:t>（</w:t>
            </w:r>
            <w:r>
              <w:rPr>
                <w:rFonts w:hint="default" w:ascii="Times New Roman" w:hAnsi="Times New Roman" w:cs="Times New Roman"/>
                <w:color w:val="auto"/>
                <w:spacing w:val="-2"/>
                <w:highlight w:val="none"/>
                <w:lang w:val="en-US" w:eastAsia="zh-CN"/>
              </w:rPr>
              <w:t>HJ-1262-2022)</w:t>
            </w:r>
          </w:p>
        </w:tc>
        <w:tc>
          <w:tcPr>
            <w:tcW w:w="3598" w:type="dxa"/>
            <w:tcBorders>
              <w:tl2br w:val="nil"/>
              <w:tr2bl w:val="nil"/>
            </w:tcBorders>
            <w:vAlign w:val="center"/>
          </w:tcPr>
          <w:p w14:paraId="7B5A1E7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气袋/3L</w:t>
            </w:r>
          </w:p>
        </w:tc>
      </w:tr>
    </w:tbl>
    <w:p w14:paraId="2E11F9F3">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4.3.2.3其他特征污染物现状评价</w:t>
      </w:r>
    </w:p>
    <w:p w14:paraId="01BADF20">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rPr>
        <w:t>）评价标准</w:t>
      </w:r>
    </w:p>
    <w:p w14:paraId="38502AEE">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snapToGrid w:val="0"/>
          <w:color w:val="000000"/>
          <w:kern w:val="0"/>
          <w:sz w:val="24"/>
          <w:szCs w:val="24"/>
          <w:lang w:val="en-US" w:eastAsia="zh-CN" w:bidi="ar"/>
        </w:rPr>
        <w:t xml:space="preserve">TSP </w:t>
      </w:r>
      <w:r>
        <w:rPr>
          <w:rFonts w:hint="eastAsia" w:ascii="宋体" w:hAnsi="宋体" w:eastAsia="宋体" w:cs="宋体"/>
          <w:snapToGrid w:val="0"/>
          <w:color w:val="000000"/>
          <w:kern w:val="0"/>
          <w:sz w:val="24"/>
          <w:szCs w:val="24"/>
          <w:lang w:val="en-US" w:eastAsia="zh-CN" w:bidi="ar"/>
        </w:rPr>
        <w:t>执行《环境空气质量标准</w:t>
      </w:r>
      <w:r>
        <w:rPr>
          <w:rFonts w:hint="default" w:ascii="Times New Roman" w:hAnsi="Times New Roman" w:eastAsia="宋体" w:cs="Times New Roman"/>
          <w:snapToGrid w:val="0"/>
          <w:color w:val="000000"/>
          <w:kern w:val="0"/>
          <w:sz w:val="24"/>
          <w:szCs w:val="24"/>
          <w:lang w:val="en-US" w:eastAsia="zh-CN" w:bidi="ar"/>
        </w:rPr>
        <w:t>(</w:t>
      </w:r>
      <w:r>
        <w:rPr>
          <w:rFonts w:hint="eastAsia" w:ascii="宋体" w:hAnsi="宋体" w:eastAsia="宋体" w:cs="宋体"/>
          <w:snapToGrid w:val="0"/>
          <w:color w:val="000000"/>
          <w:kern w:val="0"/>
          <w:sz w:val="24"/>
          <w:szCs w:val="24"/>
          <w:lang w:val="en-US" w:eastAsia="zh-CN" w:bidi="ar"/>
        </w:rPr>
        <w:t xml:space="preserve">含 </w:t>
      </w:r>
      <w:r>
        <w:rPr>
          <w:rFonts w:hint="default" w:ascii="Times New Roman" w:hAnsi="Times New Roman" w:eastAsia="宋体" w:cs="Times New Roman"/>
          <w:snapToGrid w:val="0"/>
          <w:color w:val="000000"/>
          <w:kern w:val="0"/>
          <w:sz w:val="24"/>
          <w:szCs w:val="24"/>
          <w:lang w:val="en-US" w:eastAsia="zh-CN" w:bidi="ar"/>
        </w:rPr>
        <w:t xml:space="preserve">2018 </w:t>
      </w:r>
      <w:r>
        <w:rPr>
          <w:rFonts w:hint="eastAsia" w:ascii="宋体" w:hAnsi="宋体" w:eastAsia="宋体" w:cs="宋体"/>
          <w:snapToGrid w:val="0"/>
          <w:color w:val="000000"/>
          <w:kern w:val="0"/>
          <w:sz w:val="24"/>
          <w:szCs w:val="24"/>
          <w:lang w:val="en-US" w:eastAsia="zh-CN" w:bidi="ar"/>
        </w:rPr>
        <w:t>年修改单</w:t>
      </w:r>
      <w:r>
        <w:rPr>
          <w:rFonts w:hint="default" w:ascii="Times New Roman" w:hAnsi="Times New Roman" w:eastAsia="宋体" w:cs="Times New Roman"/>
          <w:snapToGrid w:val="0"/>
          <w:color w:val="000000"/>
          <w:kern w:val="0"/>
          <w:sz w:val="24"/>
          <w:szCs w:val="24"/>
          <w:lang w:val="en-US" w:eastAsia="zh-CN" w:bidi="ar"/>
        </w:rPr>
        <w:t>)</w:t>
      </w: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表2环</w:t>
      </w:r>
      <w:r>
        <w:rPr>
          <w:rFonts w:hint="eastAsia" w:ascii="宋体" w:hAnsi="宋体" w:eastAsia="宋体" w:cs="宋体"/>
          <w:snapToGrid w:val="0"/>
          <w:color w:val="000000"/>
          <w:kern w:val="0"/>
          <w:sz w:val="24"/>
          <w:szCs w:val="24"/>
          <w:lang w:val="en-US" w:eastAsia="zh-CN" w:bidi="ar"/>
        </w:rPr>
        <w:t>境空气污染物其他项目浓度限值，</w:t>
      </w:r>
      <w:r>
        <w:rPr>
          <w:rFonts w:hint="default" w:ascii="Times New Roman" w:hAnsi="Times New Roman" w:eastAsia="宋体" w:cs="Times New Roman"/>
          <w:snapToGrid w:val="0"/>
          <w:color w:val="000000"/>
          <w:kern w:val="0"/>
          <w:sz w:val="24"/>
          <w:szCs w:val="24"/>
          <w:lang w:val="en-US" w:eastAsia="zh-CN" w:bidi="ar"/>
        </w:rPr>
        <w:t>NH</w:t>
      </w:r>
      <w:r>
        <w:rPr>
          <w:rFonts w:hint="default" w:ascii="Times New Roman" w:hAnsi="Times New Roman" w:eastAsia="宋体" w:cs="Times New Roman"/>
          <w:snapToGrid w:val="0"/>
          <w:color w:val="000000"/>
          <w:kern w:val="0"/>
          <w:sz w:val="15"/>
          <w:szCs w:val="15"/>
          <w:lang w:val="en-US" w:eastAsia="zh-CN" w:bidi="ar"/>
        </w:rPr>
        <w:t>3</w:t>
      </w: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H</w:t>
      </w:r>
      <w:r>
        <w:rPr>
          <w:rFonts w:hint="default" w:ascii="Times New Roman" w:hAnsi="Times New Roman" w:eastAsia="宋体" w:cs="Times New Roman"/>
          <w:snapToGrid w:val="0"/>
          <w:color w:val="000000"/>
          <w:kern w:val="0"/>
          <w:sz w:val="15"/>
          <w:szCs w:val="15"/>
          <w:lang w:val="en-US" w:eastAsia="zh-CN" w:bidi="ar"/>
        </w:rPr>
        <w:t>2</w:t>
      </w:r>
      <w:r>
        <w:rPr>
          <w:rFonts w:hint="default" w:ascii="Times New Roman" w:hAnsi="Times New Roman" w:eastAsia="宋体" w:cs="Times New Roman"/>
          <w:snapToGrid w:val="0"/>
          <w:color w:val="000000"/>
          <w:kern w:val="0"/>
          <w:sz w:val="24"/>
          <w:szCs w:val="24"/>
          <w:lang w:val="en-US" w:eastAsia="zh-CN" w:bidi="ar"/>
        </w:rPr>
        <w:t xml:space="preserve">S </w:t>
      </w:r>
      <w:r>
        <w:rPr>
          <w:rFonts w:hint="eastAsia" w:ascii="宋体" w:hAnsi="宋体" w:eastAsia="宋体" w:cs="宋体"/>
          <w:snapToGrid w:val="0"/>
          <w:color w:val="000000"/>
          <w:kern w:val="0"/>
          <w:sz w:val="24"/>
          <w:szCs w:val="24"/>
          <w:lang w:val="en-US" w:eastAsia="zh-CN" w:bidi="ar"/>
        </w:rPr>
        <w:t>执行《环境影响评价技术导则 大气环境》（</w:t>
      </w:r>
      <w:r>
        <w:rPr>
          <w:rFonts w:hint="default" w:ascii="Times New Roman" w:hAnsi="Times New Roman" w:eastAsia="宋体" w:cs="Times New Roman"/>
          <w:snapToGrid w:val="0"/>
          <w:color w:val="000000"/>
          <w:kern w:val="0"/>
          <w:sz w:val="24"/>
          <w:szCs w:val="24"/>
          <w:lang w:val="en-US" w:eastAsia="zh-CN" w:bidi="ar"/>
        </w:rPr>
        <w:t>HJ2.2-2018</w:t>
      </w:r>
      <w:r>
        <w:rPr>
          <w:rFonts w:hint="eastAsia" w:ascii="宋体" w:hAnsi="宋体" w:eastAsia="宋体" w:cs="宋体"/>
          <w:snapToGrid w:val="0"/>
          <w:color w:val="000000"/>
          <w:kern w:val="0"/>
          <w:sz w:val="24"/>
          <w:szCs w:val="24"/>
          <w:lang w:val="en-US" w:eastAsia="zh-CN" w:bidi="ar"/>
        </w:rPr>
        <w:t xml:space="preserve">）附录 </w:t>
      </w:r>
      <w:r>
        <w:rPr>
          <w:rFonts w:hint="default" w:ascii="Times New Roman" w:hAnsi="Times New Roman" w:eastAsia="宋体" w:cs="Times New Roman"/>
          <w:snapToGrid w:val="0"/>
          <w:color w:val="000000"/>
          <w:kern w:val="0"/>
          <w:sz w:val="24"/>
          <w:szCs w:val="24"/>
          <w:lang w:val="en-US" w:eastAsia="zh-CN" w:bidi="ar"/>
        </w:rPr>
        <w:t xml:space="preserve">D </w:t>
      </w:r>
      <w:r>
        <w:rPr>
          <w:rFonts w:hint="eastAsia" w:ascii="宋体" w:hAnsi="宋体" w:eastAsia="宋体" w:cs="宋体"/>
          <w:snapToGrid w:val="0"/>
          <w:color w:val="000000"/>
          <w:kern w:val="0"/>
          <w:sz w:val="24"/>
          <w:szCs w:val="24"/>
          <w:lang w:val="en-US" w:eastAsia="zh-CN" w:bidi="ar"/>
        </w:rPr>
        <w:t>中其他污染物质量浓度参考限值，臭气浓度此次检测结果留做本底值。</w:t>
      </w:r>
    </w:p>
    <w:p w14:paraId="6679C248">
      <w:pPr>
        <w:keepNext w:val="0"/>
        <w:keepLines w:val="0"/>
        <w:pageBreakBefore w:val="0"/>
        <w:kinsoku/>
        <w:wordWrap w:val="0"/>
        <w:overflowPunct/>
        <w:topLinePunct/>
        <w:autoSpaceDE/>
        <w:autoSpaceDN/>
        <w:bidi w:val="0"/>
        <w:adjustRightInd w:val="0"/>
        <w:snapToGrid w:val="0"/>
        <w:spacing w:before="2" w:line="212" w:lineRule="auto"/>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4.3-</w:t>
      </w:r>
      <w:r>
        <w:rPr>
          <w:rFonts w:hint="default"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宋体" w:cs="Times New Roman"/>
          <w:b/>
          <w:bCs/>
          <w:color w:val="auto"/>
          <w:spacing w:val="-1"/>
          <w:sz w:val="24"/>
          <w:szCs w:val="24"/>
          <w:highlight w:val="none"/>
        </w:rPr>
        <w:t>环境空气质量标准</w:t>
      </w:r>
    </w:p>
    <w:tbl>
      <w:tblPr>
        <w:tblStyle w:val="34"/>
        <w:tblW w:w="8434" w:type="dxa"/>
        <w:tblInd w:w="45"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1934"/>
        <w:gridCol w:w="2017"/>
        <w:gridCol w:w="4483"/>
      </w:tblGrid>
      <w:tr w14:paraId="494B27F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934" w:type="dxa"/>
            <w:tcBorders>
              <w:tl2br w:val="nil"/>
              <w:tr2bl w:val="nil"/>
            </w:tcBorders>
            <w:vAlign w:val="top"/>
          </w:tcPr>
          <w:p w14:paraId="3895CE31">
            <w:pPr>
              <w:pStyle w:val="35"/>
              <w:keepNext w:val="0"/>
              <w:keepLines w:val="0"/>
              <w:pageBreakBefore w:val="0"/>
              <w:kinsoku/>
              <w:wordWrap w:val="0"/>
              <w:overflowPunct/>
              <w:topLinePunct/>
              <w:autoSpaceDE/>
              <w:autoSpaceDN/>
              <w:bidi w:val="0"/>
              <w:adjustRightInd w:val="0"/>
              <w:snapToGrid w:val="0"/>
              <w:spacing w:before="36" w:line="203"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污染物名称</w:t>
            </w:r>
          </w:p>
        </w:tc>
        <w:tc>
          <w:tcPr>
            <w:tcW w:w="2017" w:type="dxa"/>
            <w:tcBorders>
              <w:tl2br w:val="nil"/>
              <w:tr2bl w:val="nil"/>
            </w:tcBorders>
            <w:vAlign w:val="top"/>
          </w:tcPr>
          <w:p w14:paraId="58613254">
            <w:pPr>
              <w:pStyle w:val="35"/>
              <w:keepNext w:val="0"/>
              <w:keepLines w:val="0"/>
              <w:pageBreakBefore w:val="0"/>
              <w:kinsoku/>
              <w:wordWrap w:val="0"/>
              <w:overflowPunct/>
              <w:topLinePunct/>
              <w:autoSpaceDE/>
              <w:autoSpaceDN/>
              <w:bidi w:val="0"/>
              <w:adjustRightInd w:val="0"/>
              <w:snapToGrid w:val="0"/>
              <w:spacing w:before="22" w:line="215" w:lineRule="auto"/>
              <w:ind w:left="112"/>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2"/>
                <w:highlight w:val="none"/>
              </w:rPr>
              <w:t>浓度限值（</w:t>
            </w:r>
            <w:r>
              <w:rPr>
                <w:rFonts w:hint="default" w:ascii="Times New Roman" w:hAnsi="Times New Roman" w:eastAsia="Times New Roman" w:cs="Times New Roman"/>
                <w:b/>
                <w:bCs/>
                <w:color w:val="auto"/>
                <w:spacing w:val="-2"/>
                <w:highlight w:val="none"/>
              </w:rPr>
              <w:t>mg/m</w:t>
            </w:r>
            <w:r>
              <w:rPr>
                <w:rFonts w:hint="default" w:ascii="Times New Roman" w:hAnsi="Times New Roman" w:eastAsia="Times New Roman" w:cs="Times New Roman"/>
                <w:b/>
                <w:bCs/>
                <w:color w:val="auto"/>
                <w:spacing w:val="-2"/>
                <w:position w:val="9"/>
                <w:sz w:val="13"/>
                <w:szCs w:val="13"/>
                <w:highlight w:val="none"/>
              </w:rPr>
              <w:t>3</w:t>
            </w:r>
            <w:r>
              <w:rPr>
                <w:rFonts w:hint="default" w:ascii="Times New Roman" w:hAnsi="Times New Roman" w:cs="Times New Roman"/>
                <w:b/>
                <w:bCs/>
                <w:color w:val="auto"/>
                <w:spacing w:val="-2"/>
                <w:highlight w:val="none"/>
              </w:rPr>
              <w:t>）</w:t>
            </w:r>
          </w:p>
        </w:tc>
        <w:tc>
          <w:tcPr>
            <w:tcW w:w="4483" w:type="dxa"/>
            <w:tcBorders>
              <w:tl2br w:val="nil"/>
              <w:tr2bl w:val="nil"/>
            </w:tcBorders>
            <w:vAlign w:val="top"/>
          </w:tcPr>
          <w:p w14:paraId="36A80550">
            <w:pPr>
              <w:pStyle w:val="35"/>
              <w:keepNext w:val="0"/>
              <w:keepLines w:val="0"/>
              <w:pageBreakBefore w:val="0"/>
              <w:kinsoku/>
              <w:wordWrap w:val="0"/>
              <w:overflowPunct/>
              <w:topLinePunct/>
              <w:autoSpaceDE/>
              <w:autoSpaceDN/>
              <w:bidi w:val="0"/>
              <w:adjustRightInd w:val="0"/>
              <w:snapToGrid w:val="0"/>
              <w:spacing w:before="36" w:line="203"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标准来源</w:t>
            </w:r>
          </w:p>
        </w:tc>
      </w:tr>
      <w:tr w14:paraId="3C25B9C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3" w:hRule="atLeast"/>
        </w:trPr>
        <w:tc>
          <w:tcPr>
            <w:tcW w:w="1934" w:type="dxa"/>
            <w:tcBorders>
              <w:tl2br w:val="nil"/>
              <w:tr2bl w:val="nil"/>
            </w:tcBorders>
            <w:vAlign w:val="top"/>
          </w:tcPr>
          <w:p w14:paraId="10406D78">
            <w:pPr>
              <w:pStyle w:val="35"/>
              <w:keepNext w:val="0"/>
              <w:keepLines w:val="0"/>
              <w:pageBreakBefore w:val="0"/>
              <w:kinsoku/>
              <w:wordWrap w:val="0"/>
              <w:overflowPunct/>
              <w:topLinePunct/>
              <w:autoSpaceDE/>
              <w:autoSpaceDN/>
              <w:bidi w:val="0"/>
              <w:adjustRightInd w:val="0"/>
              <w:snapToGrid w:val="0"/>
              <w:spacing w:before="34" w:line="201"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氨</w:t>
            </w:r>
          </w:p>
        </w:tc>
        <w:tc>
          <w:tcPr>
            <w:tcW w:w="2017" w:type="dxa"/>
            <w:tcBorders>
              <w:tl2br w:val="nil"/>
              <w:tr2bl w:val="nil"/>
            </w:tcBorders>
            <w:vAlign w:val="top"/>
          </w:tcPr>
          <w:p w14:paraId="156439D6">
            <w:pPr>
              <w:keepNext w:val="0"/>
              <w:keepLines w:val="0"/>
              <w:pageBreakBefore w:val="0"/>
              <w:kinsoku/>
              <w:wordWrap w:val="0"/>
              <w:overflowPunct/>
              <w:topLinePunct/>
              <w:autoSpaceDE/>
              <w:autoSpaceDN/>
              <w:bidi w:val="0"/>
              <w:adjustRightInd w:val="0"/>
              <w:snapToGrid w:val="0"/>
              <w:spacing w:before="64" w:line="197"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0.2</w:t>
            </w:r>
          </w:p>
        </w:tc>
        <w:tc>
          <w:tcPr>
            <w:tcW w:w="4483" w:type="dxa"/>
            <w:vMerge w:val="restart"/>
            <w:tcBorders>
              <w:tl2br w:val="nil"/>
              <w:tr2bl w:val="nil"/>
            </w:tcBorders>
            <w:vAlign w:val="top"/>
          </w:tcPr>
          <w:p w14:paraId="6CE36F62">
            <w:pPr>
              <w:pStyle w:val="35"/>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color w:val="auto"/>
                <w:spacing w:val="-2"/>
                <w:highlight w:val="none"/>
                <w:lang w:eastAsia="zh-CN"/>
              </w:rPr>
              <w:t>《</w:t>
            </w:r>
            <w:r>
              <w:rPr>
                <w:rFonts w:hint="default" w:ascii="Times New Roman" w:hAnsi="Times New Roman" w:cs="Times New Roman"/>
                <w:color w:val="auto"/>
                <w:spacing w:val="-2"/>
                <w:highlight w:val="none"/>
              </w:rPr>
              <w:t>环境影响评价技术导则大气环境》（HJ2.2-2018）中附录D</w:t>
            </w:r>
          </w:p>
        </w:tc>
      </w:tr>
      <w:tr w14:paraId="2DD0974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73" w:hRule="atLeast"/>
        </w:trPr>
        <w:tc>
          <w:tcPr>
            <w:tcW w:w="1934" w:type="dxa"/>
            <w:tcBorders>
              <w:tl2br w:val="nil"/>
              <w:tr2bl w:val="nil"/>
            </w:tcBorders>
            <w:vAlign w:val="top"/>
          </w:tcPr>
          <w:p w14:paraId="1D35DA10">
            <w:pPr>
              <w:pStyle w:val="35"/>
              <w:keepNext w:val="0"/>
              <w:keepLines w:val="0"/>
              <w:pageBreakBefore w:val="0"/>
              <w:kinsoku/>
              <w:wordWrap w:val="0"/>
              <w:overflowPunct/>
              <w:topLinePunct/>
              <w:autoSpaceDE/>
              <w:autoSpaceDN/>
              <w:bidi w:val="0"/>
              <w:adjustRightInd w:val="0"/>
              <w:snapToGrid w:val="0"/>
              <w:spacing w:before="40" w:line="196"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硫化氢</w:t>
            </w:r>
          </w:p>
        </w:tc>
        <w:tc>
          <w:tcPr>
            <w:tcW w:w="2017" w:type="dxa"/>
            <w:tcBorders>
              <w:tl2br w:val="nil"/>
              <w:tr2bl w:val="nil"/>
            </w:tcBorders>
            <w:vAlign w:val="top"/>
          </w:tcPr>
          <w:p w14:paraId="60494478">
            <w:pPr>
              <w:keepNext w:val="0"/>
              <w:keepLines w:val="0"/>
              <w:pageBreakBefore w:val="0"/>
              <w:kinsoku/>
              <w:wordWrap w:val="0"/>
              <w:overflowPunct/>
              <w:topLinePunct/>
              <w:autoSpaceDE/>
              <w:autoSpaceDN/>
              <w:bidi w:val="0"/>
              <w:adjustRightInd w:val="0"/>
              <w:snapToGrid w:val="0"/>
              <w:spacing w:before="69" w:line="192"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0.01</w:t>
            </w:r>
          </w:p>
        </w:tc>
        <w:tc>
          <w:tcPr>
            <w:tcW w:w="4483" w:type="dxa"/>
            <w:vMerge w:val="continue"/>
            <w:tcBorders>
              <w:tl2br w:val="nil"/>
              <w:tr2bl w:val="nil"/>
            </w:tcBorders>
            <w:vAlign w:val="top"/>
          </w:tcPr>
          <w:p w14:paraId="0E39CE72">
            <w:pPr>
              <w:pStyle w:val="35"/>
              <w:keepNext w:val="0"/>
              <w:keepLines w:val="0"/>
              <w:pageBreakBefore w:val="0"/>
              <w:kinsoku/>
              <w:wordWrap w:val="0"/>
              <w:overflowPunct/>
              <w:topLinePunct/>
              <w:autoSpaceDE/>
              <w:autoSpaceDN/>
              <w:bidi w:val="0"/>
              <w:adjustRightInd w:val="0"/>
              <w:snapToGrid w:val="0"/>
              <w:spacing w:before="35" w:line="200" w:lineRule="auto"/>
              <w:jc w:val="center"/>
              <w:textAlignment w:val="baseline"/>
              <w:rPr>
                <w:rFonts w:hint="default" w:ascii="Times New Roman" w:hAnsi="Times New Roman" w:eastAsia="Times New Roman" w:cs="Times New Roman"/>
                <w:color w:val="auto"/>
                <w:highlight w:val="none"/>
              </w:rPr>
            </w:pPr>
          </w:p>
        </w:tc>
      </w:tr>
      <w:tr w14:paraId="154E401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564" w:hRule="atLeast"/>
        </w:trPr>
        <w:tc>
          <w:tcPr>
            <w:tcW w:w="1934" w:type="dxa"/>
            <w:tcBorders>
              <w:tl2br w:val="nil"/>
              <w:tr2bl w:val="nil"/>
            </w:tcBorders>
            <w:vAlign w:val="top"/>
          </w:tcPr>
          <w:p w14:paraId="78279343">
            <w:pPr>
              <w:pStyle w:val="35"/>
              <w:keepNext w:val="0"/>
              <w:keepLines w:val="0"/>
              <w:pageBreakBefore w:val="0"/>
              <w:kinsoku/>
              <w:wordWrap w:val="0"/>
              <w:overflowPunct/>
              <w:topLinePunct/>
              <w:autoSpaceDE/>
              <w:autoSpaceDN/>
              <w:bidi w:val="0"/>
              <w:adjustRightInd w:val="0"/>
              <w:snapToGrid w:val="0"/>
              <w:spacing w:before="179" w:line="221" w:lineRule="auto"/>
              <w:ind w:right="6"/>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7"/>
                <w:highlight w:val="none"/>
              </w:rPr>
              <w:t>臭气浓度（无量纲）</w:t>
            </w:r>
          </w:p>
        </w:tc>
        <w:tc>
          <w:tcPr>
            <w:tcW w:w="2017" w:type="dxa"/>
            <w:tcBorders>
              <w:tl2br w:val="nil"/>
              <w:tr2bl w:val="nil"/>
            </w:tcBorders>
            <w:vAlign w:val="top"/>
          </w:tcPr>
          <w:p w14:paraId="1A9E0C31">
            <w:pPr>
              <w:pStyle w:val="35"/>
              <w:keepNext w:val="0"/>
              <w:keepLines w:val="0"/>
              <w:pageBreakBefore w:val="0"/>
              <w:kinsoku/>
              <w:wordWrap w:val="0"/>
              <w:overflowPunct/>
              <w:topLinePunct/>
              <w:autoSpaceDE/>
              <w:autoSpaceDN/>
              <w:bidi w:val="0"/>
              <w:adjustRightInd w:val="0"/>
              <w:snapToGrid w:val="0"/>
              <w:spacing w:before="179" w:line="235" w:lineRule="auto"/>
              <w:jc w:val="center"/>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1"/>
                <w:highlight w:val="none"/>
              </w:rPr>
              <w:t>20</w:t>
            </w:r>
            <w:r>
              <w:rPr>
                <w:rFonts w:hint="default" w:ascii="Times New Roman" w:hAnsi="Times New Roman" w:cs="Times New Roman"/>
                <w:color w:val="auto"/>
                <w:spacing w:val="-1"/>
                <w:highlight w:val="none"/>
              </w:rPr>
              <w:t>（无量纲）</w:t>
            </w:r>
          </w:p>
        </w:tc>
        <w:tc>
          <w:tcPr>
            <w:tcW w:w="4483" w:type="dxa"/>
            <w:tcBorders>
              <w:tl2br w:val="nil"/>
              <w:tr2bl w:val="nil"/>
            </w:tcBorders>
            <w:vAlign w:val="top"/>
          </w:tcPr>
          <w:p w14:paraId="2271CD0D">
            <w:pPr>
              <w:pStyle w:val="35"/>
              <w:keepNext w:val="0"/>
              <w:keepLines w:val="0"/>
              <w:pageBreakBefore w:val="0"/>
              <w:kinsoku/>
              <w:wordWrap w:val="0"/>
              <w:overflowPunct/>
              <w:topLinePunct/>
              <w:autoSpaceDE/>
              <w:autoSpaceDN/>
              <w:bidi w:val="0"/>
              <w:adjustRightInd w:val="0"/>
              <w:snapToGrid w:val="0"/>
              <w:spacing w:before="45" w:line="234" w:lineRule="auto"/>
              <w:jc w:val="center"/>
              <w:textAlignment w:val="baseline"/>
              <w:rPr>
                <w:rFonts w:hint="default" w:ascii="Times New Roman" w:hAnsi="Times New Roman" w:cs="Times New Roman"/>
                <w:color w:val="auto"/>
                <w:highlight w:val="none"/>
              </w:rPr>
            </w:pPr>
            <w:r>
              <w:rPr>
                <w:rFonts w:hint="default" w:ascii="Times New Roman" w:hAnsi="Times New Roman" w:eastAsia="宋体" w:cs="Times New Roman"/>
                <w:snapToGrid w:val="0"/>
                <w:color w:val="FF0000"/>
                <w:sz w:val="21"/>
                <w:szCs w:val="21"/>
                <w:highlight w:val="green"/>
                <w:lang w:val="zh-CN" w:eastAsia="en-US"/>
              </w:rPr>
              <w:t>臭气浓度参照执行《恶臭污染物排放标准》(GB14554-93）表 1 中二级新改扩建标准</w:t>
            </w:r>
          </w:p>
        </w:tc>
      </w:tr>
      <w:tr w14:paraId="290808C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564" w:hRule="atLeast"/>
        </w:trPr>
        <w:tc>
          <w:tcPr>
            <w:tcW w:w="1934" w:type="dxa"/>
            <w:tcBorders>
              <w:tl2br w:val="nil"/>
              <w:tr2bl w:val="nil"/>
            </w:tcBorders>
            <w:vAlign w:val="top"/>
          </w:tcPr>
          <w:p w14:paraId="5DE6FB0E">
            <w:pPr>
              <w:pStyle w:val="35"/>
              <w:keepNext w:val="0"/>
              <w:keepLines w:val="0"/>
              <w:pageBreakBefore w:val="0"/>
              <w:kinsoku/>
              <w:wordWrap w:val="0"/>
              <w:overflowPunct/>
              <w:topLinePunct/>
              <w:autoSpaceDE/>
              <w:autoSpaceDN/>
              <w:bidi w:val="0"/>
              <w:adjustRightInd w:val="0"/>
              <w:snapToGrid w:val="0"/>
              <w:spacing w:before="179" w:line="221" w:lineRule="auto"/>
              <w:ind w:right="6"/>
              <w:jc w:val="center"/>
              <w:textAlignment w:val="baseline"/>
              <w:rPr>
                <w:rFonts w:hint="default" w:ascii="Times New Roman" w:hAnsi="Times New Roman" w:eastAsia="宋体" w:cs="Times New Roman"/>
                <w:color w:val="0000FF"/>
                <w:spacing w:val="-7"/>
                <w:highlight w:val="none"/>
                <w:lang w:val="en-US" w:eastAsia="zh-CN"/>
              </w:rPr>
            </w:pPr>
            <w:r>
              <w:rPr>
                <w:rFonts w:hint="eastAsia" w:ascii="Times New Roman" w:hAnsi="Times New Roman" w:cs="Times New Roman"/>
                <w:color w:val="0000FF"/>
                <w:spacing w:val="-7"/>
                <w:highlight w:val="none"/>
                <w:lang w:val="en-US" w:eastAsia="zh-CN"/>
              </w:rPr>
              <w:t>TSP</w:t>
            </w:r>
          </w:p>
        </w:tc>
        <w:tc>
          <w:tcPr>
            <w:tcW w:w="2017" w:type="dxa"/>
            <w:tcBorders>
              <w:tl2br w:val="nil"/>
              <w:tr2bl w:val="nil"/>
            </w:tcBorders>
            <w:vAlign w:val="top"/>
          </w:tcPr>
          <w:p w14:paraId="5028AF88">
            <w:pPr>
              <w:pStyle w:val="35"/>
              <w:keepNext w:val="0"/>
              <w:keepLines w:val="0"/>
              <w:pageBreakBefore w:val="0"/>
              <w:kinsoku/>
              <w:wordWrap w:val="0"/>
              <w:overflowPunct/>
              <w:topLinePunct/>
              <w:autoSpaceDE/>
              <w:autoSpaceDN/>
              <w:bidi w:val="0"/>
              <w:adjustRightInd w:val="0"/>
              <w:snapToGrid w:val="0"/>
              <w:spacing w:before="179" w:line="235" w:lineRule="auto"/>
              <w:jc w:val="center"/>
              <w:textAlignment w:val="baseline"/>
              <w:rPr>
                <w:rFonts w:hint="default" w:ascii="Times New Roman" w:hAnsi="Times New Roman" w:eastAsia="宋体" w:cs="Times New Roman"/>
                <w:color w:val="0000FF"/>
                <w:spacing w:val="-1"/>
                <w:highlight w:val="none"/>
                <w:lang w:val="en-US" w:eastAsia="zh-CN"/>
              </w:rPr>
            </w:pPr>
            <w:r>
              <w:rPr>
                <w:rFonts w:hint="eastAsia" w:ascii="Times New Roman" w:hAnsi="Times New Roman" w:eastAsia="宋体" w:cs="Times New Roman"/>
                <w:color w:val="0000FF"/>
                <w:spacing w:val="-1"/>
                <w:highlight w:val="none"/>
                <w:lang w:val="en-US" w:eastAsia="zh-CN"/>
              </w:rPr>
              <w:t>0.3</w:t>
            </w:r>
          </w:p>
        </w:tc>
        <w:tc>
          <w:tcPr>
            <w:tcW w:w="4483" w:type="dxa"/>
            <w:tcBorders>
              <w:tl2br w:val="nil"/>
              <w:tr2bl w:val="nil"/>
            </w:tcBorders>
            <w:vAlign w:val="top"/>
          </w:tcPr>
          <w:p w14:paraId="50BF26FA">
            <w:pPr>
              <w:keepNext w:val="0"/>
              <w:keepLines w:val="0"/>
              <w:widowControl/>
              <w:suppressLineNumbers w:val="0"/>
              <w:jc w:val="left"/>
              <w:rPr>
                <w:rFonts w:hint="default" w:ascii="Times New Roman" w:hAnsi="Times New Roman" w:cs="Times New Roman"/>
                <w:color w:val="0000FF"/>
                <w:spacing w:val="-2"/>
                <w:highlight w:val="none"/>
              </w:rPr>
            </w:pPr>
            <w:r>
              <w:rPr>
                <w:rFonts w:hint="eastAsia" w:ascii="Times New Roman" w:hAnsi="Times New Roman" w:eastAsia="宋体" w:cs="Times New Roman"/>
                <w:snapToGrid w:val="0"/>
                <w:color w:val="0000FF"/>
                <w:spacing w:val="-2"/>
                <w:kern w:val="0"/>
                <w:sz w:val="21"/>
                <w:szCs w:val="21"/>
                <w:highlight w:val="none"/>
                <w:lang w:val="en-US" w:eastAsia="zh-CN" w:bidi="ar-SA"/>
              </w:rPr>
              <w:t>《环境空气质量标准</w:t>
            </w:r>
            <w:r>
              <w:rPr>
                <w:rFonts w:hint="default" w:ascii="Times New Roman" w:hAnsi="Times New Roman" w:eastAsia="宋体" w:cs="Times New Roman"/>
                <w:snapToGrid w:val="0"/>
                <w:color w:val="0000FF"/>
                <w:spacing w:val="-2"/>
                <w:kern w:val="0"/>
                <w:sz w:val="21"/>
                <w:szCs w:val="21"/>
                <w:highlight w:val="none"/>
                <w:lang w:val="en-US" w:eastAsia="zh-CN" w:bidi="ar-SA"/>
              </w:rPr>
              <w:t>(</w:t>
            </w:r>
            <w:r>
              <w:rPr>
                <w:rFonts w:hint="eastAsia" w:ascii="Times New Roman" w:hAnsi="Times New Roman" w:eastAsia="宋体" w:cs="Times New Roman"/>
                <w:snapToGrid w:val="0"/>
                <w:color w:val="0000FF"/>
                <w:spacing w:val="-2"/>
                <w:kern w:val="0"/>
                <w:sz w:val="21"/>
                <w:szCs w:val="21"/>
                <w:highlight w:val="none"/>
                <w:lang w:val="en-US" w:eastAsia="zh-CN" w:bidi="ar-SA"/>
              </w:rPr>
              <w:t xml:space="preserve">含 </w:t>
            </w:r>
            <w:r>
              <w:rPr>
                <w:rFonts w:hint="default" w:ascii="Times New Roman" w:hAnsi="Times New Roman" w:eastAsia="宋体" w:cs="Times New Roman"/>
                <w:snapToGrid w:val="0"/>
                <w:color w:val="0000FF"/>
                <w:spacing w:val="-2"/>
                <w:kern w:val="0"/>
                <w:sz w:val="21"/>
                <w:szCs w:val="21"/>
                <w:highlight w:val="none"/>
                <w:lang w:val="en-US" w:eastAsia="zh-CN" w:bidi="ar-SA"/>
              </w:rPr>
              <w:t xml:space="preserve">2018 </w:t>
            </w:r>
            <w:r>
              <w:rPr>
                <w:rFonts w:hint="eastAsia" w:ascii="Times New Roman" w:hAnsi="Times New Roman" w:eastAsia="宋体" w:cs="Times New Roman"/>
                <w:snapToGrid w:val="0"/>
                <w:color w:val="0000FF"/>
                <w:spacing w:val="-2"/>
                <w:kern w:val="0"/>
                <w:sz w:val="21"/>
                <w:szCs w:val="21"/>
                <w:highlight w:val="none"/>
                <w:lang w:val="en-US" w:eastAsia="zh-CN" w:bidi="ar-SA"/>
              </w:rPr>
              <w:t>年修改单</w:t>
            </w:r>
            <w:r>
              <w:rPr>
                <w:rFonts w:hint="default" w:ascii="Times New Roman" w:hAnsi="Times New Roman" w:eastAsia="宋体" w:cs="Times New Roman"/>
                <w:snapToGrid w:val="0"/>
                <w:color w:val="0000FF"/>
                <w:spacing w:val="-2"/>
                <w:kern w:val="0"/>
                <w:sz w:val="21"/>
                <w:szCs w:val="21"/>
                <w:highlight w:val="none"/>
                <w:lang w:val="en-US" w:eastAsia="zh-CN" w:bidi="ar-SA"/>
              </w:rPr>
              <w:t>)</w:t>
            </w:r>
            <w:r>
              <w:rPr>
                <w:rFonts w:hint="eastAsia" w:ascii="Times New Roman" w:hAnsi="Times New Roman" w:eastAsia="宋体" w:cs="Times New Roman"/>
                <w:snapToGrid w:val="0"/>
                <w:color w:val="0000FF"/>
                <w:spacing w:val="-2"/>
                <w:kern w:val="0"/>
                <w:sz w:val="21"/>
                <w:szCs w:val="21"/>
                <w:highlight w:val="none"/>
                <w:lang w:val="en-US" w:eastAsia="zh-CN" w:bidi="ar-SA"/>
              </w:rPr>
              <w:t xml:space="preserve">》表 </w:t>
            </w:r>
            <w:r>
              <w:rPr>
                <w:rFonts w:hint="default" w:ascii="Times New Roman" w:hAnsi="Times New Roman" w:eastAsia="宋体" w:cs="Times New Roman"/>
                <w:snapToGrid w:val="0"/>
                <w:color w:val="0000FF"/>
                <w:spacing w:val="-2"/>
                <w:kern w:val="0"/>
                <w:sz w:val="21"/>
                <w:szCs w:val="21"/>
                <w:highlight w:val="none"/>
                <w:lang w:val="en-US" w:eastAsia="zh-CN" w:bidi="ar-SA"/>
              </w:rPr>
              <w:t xml:space="preserve">2 </w:t>
            </w:r>
            <w:r>
              <w:rPr>
                <w:rFonts w:hint="eastAsia" w:ascii="Times New Roman" w:hAnsi="Times New Roman" w:eastAsia="宋体" w:cs="Times New Roman"/>
                <w:snapToGrid w:val="0"/>
                <w:color w:val="0000FF"/>
                <w:spacing w:val="-2"/>
                <w:kern w:val="0"/>
                <w:sz w:val="21"/>
                <w:szCs w:val="21"/>
                <w:highlight w:val="none"/>
                <w:lang w:val="en-US" w:eastAsia="zh-CN" w:bidi="ar-SA"/>
              </w:rPr>
              <w:t>环境空气污染物其他项目浓度限值</w:t>
            </w:r>
          </w:p>
        </w:tc>
      </w:tr>
    </w:tbl>
    <w:p w14:paraId="4AFF39FD">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2</w:t>
      </w:r>
      <w:r>
        <w:rPr>
          <w:rFonts w:hint="default" w:ascii="Times New Roman" w:hAnsi="Times New Roman" w:eastAsia="宋体" w:cs="Times New Roman"/>
          <w:color w:val="auto"/>
          <w:spacing w:val="-4"/>
          <w:sz w:val="24"/>
          <w:szCs w:val="24"/>
          <w:highlight w:val="none"/>
        </w:rPr>
        <w:t>）评价方法</w:t>
      </w:r>
    </w:p>
    <w:p w14:paraId="464F8F11">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采用占标百分比法</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其公式为：</w:t>
      </w:r>
    </w:p>
    <w:p w14:paraId="1368B2E7">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Times New Roman" w:cs="Times New Roman"/>
          <w:color w:val="auto"/>
          <w:sz w:val="24"/>
          <w:szCs w:val="24"/>
          <w:highlight w:val="none"/>
        </w:rPr>
      </w:pPr>
      <w:r>
        <w:rPr>
          <w:rFonts w:hint="default" w:ascii="Times New Roman" w:hAnsi="Times New Roman" w:eastAsia="Times New Roman" w:cs="Times New Roman"/>
          <w:color w:val="auto"/>
          <w:sz w:val="24"/>
          <w:szCs w:val="24"/>
          <w:highlight w:val="none"/>
        </w:rPr>
        <w:t>Pi</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Times New Roman" w:cs="Times New Roman"/>
          <w:color w:val="auto"/>
          <w:sz w:val="24"/>
          <w:szCs w:val="24"/>
          <w:highlight w:val="none"/>
        </w:rPr>
        <w:t>Ci</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Times New Roman" w:cs="Times New Roman"/>
          <w:color w:val="auto"/>
          <w:sz w:val="24"/>
          <w:szCs w:val="24"/>
          <w:highlight w:val="none"/>
        </w:rPr>
        <w:t>Coi</w:t>
      </w:r>
      <w:r>
        <w:rPr>
          <w:rFonts w:hint="default" w:ascii="Times New Roman" w:hAnsi="Times New Roman" w:eastAsia="Times New Roman" w:cs="Times New Roman"/>
          <w:color w:val="auto"/>
          <w:spacing w:val="1"/>
          <w:sz w:val="24"/>
          <w:szCs w:val="24"/>
          <w:highlight w:val="none"/>
        </w:rPr>
        <w:t>×100%</w:t>
      </w:r>
    </w:p>
    <w:p w14:paraId="6ECEF118">
      <w:pPr>
        <w:pStyle w:val="11"/>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cs="Times New Roman"/>
          <w:color w:val="auto"/>
          <w:highlight w:val="none"/>
        </w:rPr>
      </w:pPr>
      <w:r>
        <w:rPr>
          <w:rFonts w:hint="default" w:ascii="Times New Roman" w:hAnsi="Times New Roman" w:eastAsia="宋体" w:cs="Times New Roman"/>
          <w:color w:val="auto"/>
          <w:spacing w:val="-4"/>
          <w:sz w:val="24"/>
          <w:szCs w:val="24"/>
          <w:highlight w:val="none"/>
        </w:rPr>
        <w:t>式中：</w:t>
      </w:r>
      <w:r>
        <w:rPr>
          <w:rFonts w:hint="default" w:ascii="Times New Roman" w:hAnsi="Times New Roman" w:eastAsia="Times New Roman" w:cs="Times New Roman"/>
          <w:color w:val="auto"/>
          <w:spacing w:val="-4"/>
          <w:sz w:val="24"/>
          <w:szCs w:val="24"/>
          <w:highlight w:val="none"/>
        </w:rPr>
        <w:t>Pi—i</w:t>
      </w:r>
      <w:r>
        <w:rPr>
          <w:rFonts w:hint="default" w:ascii="Times New Roman" w:hAnsi="Times New Roman" w:eastAsia="宋体" w:cs="Times New Roman"/>
          <w:color w:val="auto"/>
          <w:spacing w:val="-4"/>
          <w:sz w:val="24"/>
          <w:szCs w:val="24"/>
          <w:highlight w:val="none"/>
        </w:rPr>
        <w:t>种污染物的占标百分比；</w:t>
      </w:r>
    </w:p>
    <w:p w14:paraId="0A56E02C">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4"/>
          <w:sz w:val="24"/>
          <w:szCs w:val="24"/>
          <w:highlight w:val="none"/>
        </w:rPr>
        <w:t>Ci—i</w:t>
      </w:r>
      <w:r>
        <w:rPr>
          <w:rFonts w:hint="default" w:ascii="Times New Roman" w:hAnsi="Times New Roman" w:eastAsia="宋体" w:cs="Times New Roman"/>
          <w:color w:val="auto"/>
          <w:spacing w:val="-4"/>
          <w:sz w:val="24"/>
          <w:szCs w:val="24"/>
          <w:highlight w:val="none"/>
        </w:rPr>
        <w:t>种污染物的实测平均值；</w:t>
      </w:r>
    </w:p>
    <w:p w14:paraId="30115D71">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2"/>
          <w:sz w:val="24"/>
          <w:szCs w:val="24"/>
          <w:highlight w:val="none"/>
        </w:rPr>
        <w:t>Coi—i</w:t>
      </w:r>
      <w:r>
        <w:rPr>
          <w:rFonts w:hint="default" w:ascii="Times New Roman" w:hAnsi="Times New Roman" w:eastAsia="宋体" w:cs="Times New Roman"/>
          <w:color w:val="auto"/>
          <w:spacing w:val="-2"/>
          <w:sz w:val="24"/>
          <w:szCs w:val="24"/>
          <w:highlight w:val="none"/>
        </w:rPr>
        <w:t>污染物平均浓度标准值。</w:t>
      </w:r>
    </w:p>
    <w:p w14:paraId="370BE7D7">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凡是占标百分比</w:t>
      </w:r>
      <w:r>
        <w:rPr>
          <w:rFonts w:hint="default" w:ascii="Times New Roman" w:hAnsi="Times New Roman" w:eastAsia="Times New Roman" w:cs="Times New Roman"/>
          <w:color w:val="auto"/>
          <w:spacing w:val="-4"/>
          <w:sz w:val="24"/>
          <w:szCs w:val="24"/>
          <w:highlight w:val="none"/>
        </w:rPr>
        <w:t>Pi</w:t>
      </w:r>
      <w:r>
        <w:rPr>
          <w:rFonts w:hint="default" w:ascii="Times New Roman" w:hAnsi="Times New Roman" w:eastAsia="宋体" w:cs="Times New Roman"/>
          <w:color w:val="auto"/>
          <w:spacing w:val="-4"/>
          <w:sz w:val="24"/>
          <w:szCs w:val="24"/>
          <w:highlight w:val="none"/>
        </w:rPr>
        <w:t>大于</w:t>
      </w:r>
      <w:r>
        <w:rPr>
          <w:rFonts w:hint="default" w:ascii="Times New Roman" w:hAnsi="Times New Roman" w:eastAsia="Times New Roman" w:cs="Times New Roman"/>
          <w:color w:val="auto"/>
          <w:spacing w:val="-4"/>
          <w:sz w:val="24"/>
          <w:szCs w:val="24"/>
          <w:highlight w:val="none"/>
        </w:rPr>
        <w:t>100%</w:t>
      </w:r>
      <w:r>
        <w:rPr>
          <w:rFonts w:hint="default" w:ascii="Times New Roman" w:hAnsi="Times New Roman" w:eastAsia="宋体" w:cs="Times New Roman"/>
          <w:color w:val="auto"/>
          <w:spacing w:val="-4"/>
          <w:sz w:val="24"/>
          <w:szCs w:val="24"/>
          <w:highlight w:val="none"/>
        </w:rPr>
        <w:t>，表明该点环境质量</w:t>
      </w:r>
      <w:r>
        <w:rPr>
          <w:rFonts w:hint="default" w:ascii="Times New Roman" w:hAnsi="Times New Roman" w:eastAsia="宋体" w:cs="Times New Roman"/>
          <w:color w:val="auto"/>
          <w:spacing w:val="-5"/>
          <w:sz w:val="24"/>
          <w:szCs w:val="24"/>
          <w:highlight w:val="none"/>
        </w:rPr>
        <w:t>劣于评价标准等级，反之，则</w:t>
      </w:r>
      <w:r>
        <w:rPr>
          <w:rFonts w:hint="default" w:ascii="Times New Roman" w:hAnsi="Times New Roman" w:eastAsia="宋体" w:cs="Times New Roman"/>
          <w:color w:val="auto"/>
          <w:spacing w:val="-6"/>
          <w:sz w:val="24"/>
          <w:szCs w:val="24"/>
          <w:highlight w:val="none"/>
        </w:rPr>
        <w:t>满足评价标准。</w:t>
      </w:r>
    </w:p>
    <w:p w14:paraId="269482C7">
      <w:pPr>
        <w:keepNext w:val="0"/>
        <w:keepLines w:val="0"/>
        <w:pageBreakBefore w:val="0"/>
        <w:kinsoku/>
        <w:wordWrap w:val="0"/>
        <w:overflowPunct/>
        <w:topLinePunct/>
        <w:autoSpaceDE/>
        <w:autoSpaceDN/>
        <w:bidi w:val="0"/>
        <w:adjustRightInd w:val="0"/>
        <w:snapToGrid w:val="0"/>
        <w:spacing w:before="20" w:line="232" w:lineRule="auto"/>
        <w:ind w:left="603"/>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3</w:t>
      </w:r>
      <w:r>
        <w:rPr>
          <w:rFonts w:hint="default" w:ascii="Times New Roman" w:hAnsi="Times New Roman" w:eastAsia="宋体" w:cs="Times New Roman"/>
          <w:color w:val="auto"/>
          <w:spacing w:val="-4"/>
          <w:sz w:val="24"/>
          <w:szCs w:val="24"/>
          <w:highlight w:val="none"/>
        </w:rPr>
        <w:t>）评价结论</w:t>
      </w:r>
    </w:p>
    <w:p w14:paraId="71686151">
      <w:pPr>
        <w:keepNext w:val="0"/>
        <w:keepLines w:val="0"/>
        <w:pageBreakBefore w:val="0"/>
        <w:kinsoku/>
        <w:wordWrap w:val="0"/>
        <w:overflowPunct/>
        <w:topLinePunct/>
        <w:autoSpaceDE/>
        <w:autoSpaceDN/>
        <w:bidi w:val="0"/>
        <w:adjustRightInd w:val="0"/>
        <w:snapToGrid w:val="0"/>
        <w:spacing w:before="166" w:line="212" w:lineRule="auto"/>
        <w:ind w:left="2370"/>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4.3-</w:t>
      </w:r>
      <w:r>
        <w:rPr>
          <w:rFonts w:hint="default" w:ascii="Times New Roman" w:hAnsi="Times New Roman" w:eastAsia="宋体" w:cs="Times New Roman"/>
          <w:b/>
          <w:bCs/>
          <w:color w:val="auto"/>
          <w:spacing w:val="-1"/>
          <w:sz w:val="24"/>
          <w:szCs w:val="24"/>
          <w:highlight w:val="none"/>
          <w:lang w:val="en-US" w:eastAsia="zh-CN"/>
        </w:rPr>
        <w:t>5</w:t>
      </w:r>
      <w:r>
        <w:rPr>
          <w:rFonts w:hint="default" w:ascii="Times New Roman" w:hAnsi="Times New Roman" w:eastAsia="宋体" w:cs="Times New Roman"/>
          <w:b/>
          <w:bCs/>
          <w:color w:val="auto"/>
          <w:spacing w:val="-1"/>
          <w:sz w:val="24"/>
          <w:szCs w:val="24"/>
          <w:highlight w:val="none"/>
        </w:rPr>
        <w:t>环境空气质量现状监测结果统计表</w:t>
      </w:r>
    </w:p>
    <w:tbl>
      <w:tblPr>
        <w:tblStyle w:val="34"/>
        <w:tblW w:w="8985"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125"/>
        <w:gridCol w:w="3063"/>
        <w:gridCol w:w="2401"/>
        <w:gridCol w:w="2396"/>
      </w:tblGrid>
      <w:tr w14:paraId="736D94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tcBorders>
              <w:tl2br w:val="nil"/>
              <w:tr2bl w:val="nil"/>
            </w:tcBorders>
            <w:vAlign w:val="center"/>
          </w:tcPr>
          <w:p w14:paraId="4EEF95C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0000FF"/>
                <w:sz w:val="21"/>
                <w:highlight w:val="none"/>
                <w:lang w:val="en-US" w:eastAsia="zh-CN"/>
              </w:rPr>
            </w:pPr>
            <w:r>
              <w:rPr>
                <w:rFonts w:hint="default" w:ascii="Times New Roman" w:hAnsi="Times New Roman" w:eastAsia="宋体" w:cs="Times New Roman"/>
                <w:color w:val="0000FF"/>
                <w:sz w:val="21"/>
                <w:highlight w:val="none"/>
                <w:lang w:val="en-US" w:eastAsia="zh-CN"/>
              </w:rPr>
              <w:t>污染物</w:t>
            </w:r>
          </w:p>
        </w:tc>
        <w:tc>
          <w:tcPr>
            <w:tcW w:w="3063" w:type="dxa"/>
            <w:tcBorders>
              <w:tl2br w:val="nil"/>
              <w:tr2bl w:val="nil"/>
            </w:tcBorders>
            <w:vAlign w:val="center"/>
          </w:tcPr>
          <w:p w14:paraId="173740C9">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0000FF"/>
                <w:sz w:val="21"/>
                <w:highlight w:val="none"/>
                <w:lang w:val="en-US" w:eastAsia="zh-CN"/>
              </w:rPr>
            </w:pPr>
            <w:r>
              <w:rPr>
                <w:rFonts w:hint="default" w:ascii="Times New Roman" w:hAnsi="Times New Roman" w:eastAsia="宋体" w:cs="Times New Roman"/>
                <w:color w:val="0000FF"/>
                <w:sz w:val="21"/>
                <w:highlight w:val="none"/>
                <w:lang w:val="en-US" w:eastAsia="zh-CN"/>
              </w:rPr>
              <w:t>项目</w:t>
            </w:r>
          </w:p>
        </w:tc>
        <w:tc>
          <w:tcPr>
            <w:tcW w:w="2401" w:type="dxa"/>
            <w:tcBorders>
              <w:tl2br w:val="nil"/>
              <w:tr2bl w:val="nil"/>
            </w:tcBorders>
            <w:vAlign w:val="center"/>
          </w:tcPr>
          <w:p w14:paraId="414D4D7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0000FF"/>
                <w:sz w:val="21"/>
                <w:highlight w:val="none"/>
                <w:lang w:val="en-US" w:eastAsia="zh-CN"/>
              </w:rPr>
            </w:pPr>
            <w:r>
              <w:rPr>
                <w:rFonts w:hint="default" w:ascii="Times New Roman" w:hAnsi="Times New Roman" w:eastAsia="宋体" w:cs="Times New Roman"/>
                <w:color w:val="0000FF"/>
                <w:sz w:val="21"/>
                <w:highlight w:val="none"/>
                <w:lang w:val="en-US" w:eastAsia="zh-CN"/>
              </w:rPr>
              <w:t>1#拟建厂址</w:t>
            </w:r>
          </w:p>
        </w:tc>
        <w:tc>
          <w:tcPr>
            <w:tcW w:w="2396" w:type="dxa"/>
            <w:tcBorders>
              <w:tl2br w:val="nil"/>
              <w:tr2bl w:val="nil"/>
            </w:tcBorders>
            <w:vAlign w:val="center"/>
          </w:tcPr>
          <w:p w14:paraId="67686CCF">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color w:val="0000FF"/>
                <w:sz w:val="21"/>
                <w:highlight w:val="none"/>
                <w:lang w:val="en-US" w:eastAsia="zh-CN"/>
              </w:rPr>
            </w:pPr>
            <w:r>
              <w:rPr>
                <w:rFonts w:hint="default" w:ascii="Times New Roman" w:hAnsi="Times New Roman" w:eastAsia="宋体" w:cs="Times New Roman"/>
                <w:color w:val="0000FF"/>
                <w:sz w:val="21"/>
                <w:highlight w:val="none"/>
                <w:lang w:val="en-US" w:eastAsia="zh-CN"/>
              </w:rPr>
              <w:t>2#厂址下风向</w:t>
            </w:r>
          </w:p>
        </w:tc>
      </w:tr>
      <w:tr w14:paraId="1FCF97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restart"/>
            <w:tcBorders>
              <w:tl2br w:val="nil"/>
              <w:tr2bl w:val="nil"/>
            </w:tcBorders>
            <w:vAlign w:val="center"/>
          </w:tcPr>
          <w:p w14:paraId="3A319B16">
            <w:pPr>
              <w:pStyle w:val="35"/>
              <w:keepNext w:val="0"/>
              <w:keepLines w:val="0"/>
              <w:pageBreakBefore w:val="0"/>
              <w:widowControl/>
              <w:kinsoku/>
              <w:wordWrap w:val="0"/>
              <w:overflowPunct/>
              <w:topLinePunct/>
              <w:autoSpaceDE/>
              <w:autoSpaceDN/>
              <w:bidi w:val="0"/>
              <w:adjustRightInd w:val="0"/>
              <w:snapToGrid w:val="0"/>
              <w:spacing w:before="68" w:line="221"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color w:val="0000FF"/>
                <w:highlight w:val="none"/>
              </w:rPr>
              <w:t>氨</w:t>
            </w:r>
          </w:p>
        </w:tc>
        <w:tc>
          <w:tcPr>
            <w:tcW w:w="3063" w:type="dxa"/>
            <w:tcBorders>
              <w:tl2br w:val="nil"/>
              <w:tr2bl w:val="nil"/>
            </w:tcBorders>
            <w:vAlign w:val="center"/>
          </w:tcPr>
          <w:p w14:paraId="5F82E9E7">
            <w:pPr>
              <w:pStyle w:val="35"/>
              <w:keepNext w:val="0"/>
              <w:keepLines w:val="0"/>
              <w:pageBreakBefore w:val="0"/>
              <w:widowControl/>
              <w:kinsoku/>
              <w:wordWrap w:val="0"/>
              <w:overflowPunct/>
              <w:topLinePunct/>
              <w:autoSpaceDE/>
              <w:autoSpaceDN/>
              <w:bidi w:val="0"/>
              <w:adjustRightInd w:val="0"/>
              <w:snapToGrid w:val="0"/>
              <w:spacing w:before="78" w:line="227" w:lineRule="auto"/>
              <w:ind w:left="145"/>
              <w:jc w:val="left"/>
              <w:textAlignment w:val="baseline"/>
              <w:rPr>
                <w:rFonts w:hint="default" w:ascii="Times New Roman" w:hAnsi="Times New Roman" w:cs="Times New Roman"/>
                <w:color w:val="0000FF"/>
                <w:highlight w:val="none"/>
              </w:rPr>
            </w:pPr>
            <w:r>
              <w:rPr>
                <w:rFonts w:hint="default" w:ascii="Times New Roman" w:hAnsi="Times New Roman" w:eastAsia="Times New Roman" w:cs="Times New Roman"/>
                <w:color w:val="0000FF"/>
                <w:spacing w:val="-3"/>
                <w:highlight w:val="none"/>
              </w:rPr>
              <w:t>1</w:t>
            </w:r>
            <w:r>
              <w:rPr>
                <w:rFonts w:hint="default" w:ascii="Times New Roman" w:hAnsi="Times New Roman" w:cs="Times New Roman"/>
                <w:color w:val="0000FF"/>
                <w:spacing w:val="-3"/>
                <w:highlight w:val="none"/>
              </w:rPr>
              <w:t>小时平均浓度范围（</w:t>
            </w:r>
            <w:r>
              <w:rPr>
                <w:rFonts w:hint="default" w:ascii="Times New Roman" w:hAnsi="Times New Roman" w:eastAsia="Times New Roman" w:cs="Times New Roman"/>
                <w:color w:val="0000FF"/>
                <w:spacing w:val="-3"/>
                <w:highlight w:val="none"/>
              </w:rPr>
              <w:t>mg/m</w:t>
            </w:r>
            <w:r>
              <w:rPr>
                <w:rFonts w:hint="default" w:ascii="Times New Roman" w:hAnsi="Times New Roman" w:eastAsia="Times New Roman" w:cs="Times New Roman"/>
                <w:color w:val="0000FF"/>
                <w:spacing w:val="-3"/>
                <w:position w:val="9"/>
                <w:sz w:val="13"/>
                <w:szCs w:val="13"/>
                <w:highlight w:val="none"/>
              </w:rPr>
              <w:t>3</w:t>
            </w:r>
            <w:r>
              <w:rPr>
                <w:rFonts w:hint="default" w:ascii="Times New Roman" w:hAnsi="Times New Roman" w:cs="Times New Roman"/>
                <w:color w:val="0000FF"/>
                <w:spacing w:val="-3"/>
                <w:highlight w:val="none"/>
              </w:rPr>
              <w:t>）</w:t>
            </w:r>
          </w:p>
        </w:tc>
        <w:tc>
          <w:tcPr>
            <w:tcW w:w="2401" w:type="dxa"/>
            <w:tcBorders>
              <w:tl2br w:val="nil"/>
              <w:tr2bl w:val="nil"/>
            </w:tcBorders>
            <w:vAlign w:val="center"/>
          </w:tcPr>
          <w:p w14:paraId="13C68869">
            <w:pPr>
              <w:pStyle w:val="35"/>
              <w:keepNext w:val="0"/>
              <w:keepLines w:val="0"/>
              <w:pageBreakBefore w:val="0"/>
              <w:widowControl/>
              <w:kinsoku/>
              <w:wordWrap w:val="0"/>
              <w:overflowPunct/>
              <w:topLinePunct/>
              <w:autoSpaceDE/>
              <w:autoSpaceDN/>
              <w:bidi w:val="0"/>
              <w:adjustRightInd w:val="0"/>
              <w:snapToGrid w:val="0"/>
              <w:spacing w:before="93" w:line="221" w:lineRule="auto"/>
              <w:jc w:val="center"/>
              <w:textAlignment w:val="baseline"/>
              <w:rPr>
                <w:rFonts w:hint="default" w:ascii="Times New Roman" w:hAnsi="Times New Roman" w:eastAsia="宋体" w:cs="Times New Roman"/>
                <w:color w:val="0000FF"/>
                <w:highlight w:val="none"/>
                <w:lang w:val="en-US" w:eastAsia="zh-CN"/>
              </w:rPr>
            </w:pPr>
            <w:r>
              <w:rPr>
                <w:rFonts w:hint="eastAsia" w:ascii="Times New Roman" w:hAnsi="Times New Roman" w:cs="Times New Roman"/>
                <w:color w:val="0000FF"/>
                <w:spacing w:val="-2"/>
                <w:highlight w:val="none"/>
                <w:lang w:val="en-US" w:eastAsia="zh-CN"/>
              </w:rPr>
              <w:t>0.08-0.13</w:t>
            </w:r>
          </w:p>
        </w:tc>
        <w:tc>
          <w:tcPr>
            <w:tcW w:w="2396" w:type="dxa"/>
            <w:tcBorders>
              <w:tl2br w:val="nil"/>
              <w:tr2bl w:val="nil"/>
            </w:tcBorders>
            <w:vAlign w:val="center"/>
          </w:tcPr>
          <w:p w14:paraId="3025F696">
            <w:pPr>
              <w:pStyle w:val="35"/>
              <w:keepNext w:val="0"/>
              <w:keepLines w:val="0"/>
              <w:pageBreakBefore w:val="0"/>
              <w:widowControl/>
              <w:kinsoku/>
              <w:wordWrap w:val="0"/>
              <w:overflowPunct/>
              <w:topLinePunct/>
              <w:autoSpaceDE/>
              <w:autoSpaceDN/>
              <w:bidi w:val="0"/>
              <w:adjustRightInd w:val="0"/>
              <w:snapToGrid w:val="0"/>
              <w:spacing w:before="93" w:line="221" w:lineRule="auto"/>
              <w:ind w:left="888"/>
              <w:jc w:val="left"/>
              <w:textAlignment w:val="baseline"/>
              <w:rPr>
                <w:rFonts w:hint="default" w:ascii="Times New Roman" w:hAnsi="Times New Roman" w:eastAsia="宋体" w:cs="Times New Roman"/>
                <w:color w:val="0000FF"/>
                <w:highlight w:val="none"/>
                <w:lang w:val="en-US" w:eastAsia="zh-CN"/>
              </w:rPr>
            </w:pPr>
            <w:r>
              <w:rPr>
                <w:rFonts w:hint="eastAsia" w:ascii="Times New Roman" w:hAnsi="Times New Roman" w:cs="Times New Roman"/>
                <w:color w:val="0000FF"/>
                <w:spacing w:val="-2"/>
                <w:highlight w:val="none"/>
                <w:lang w:val="en-US" w:eastAsia="zh-CN"/>
              </w:rPr>
              <w:t>0.08-0.13</w:t>
            </w:r>
          </w:p>
        </w:tc>
      </w:tr>
      <w:tr w14:paraId="53925F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6F3340E5">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0444B57B">
            <w:pPr>
              <w:pStyle w:val="35"/>
              <w:keepNext w:val="0"/>
              <w:keepLines w:val="0"/>
              <w:pageBreakBefore w:val="0"/>
              <w:widowControl/>
              <w:kinsoku/>
              <w:wordWrap w:val="0"/>
              <w:overflowPunct/>
              <w:topLinePunct/>
              <w:autoSpaceDE/>
              <w:autoSpaceDN/>
              <w:bidi w:val="0"/>
              <w:adjustRightInd w:val="0"/>
              <w:snapToGrid w:val="0"/>
              <w:spacing w:before="80" w:line="227" w:lineRule="auto"/>
              <w:ind w:left="353"/>
              <w:jc w:val="left"/>
              <w:textAlignment w:val="baseline"/>
              <w:rPr>
                <w:rFonts w:hint="default" w:ascii="Times New Roman" w:hAnsi="Times New Roman" w:cs="Times New Roman"/>
                <w:color w:val="0000FF"/>
                <w:highlight w:val="none"/>
              </w:rPr>
            </w:pPr>
            <w:r>
              <w:rPr>
                <w:rFonts w:hint="default" w:ascii="Times New Roman" w:hAnsi="Times New Roman" w:eastAsia="Times New Roman" w:cs="Times New Roman"/>
                <w:color w:val="0000FF"/>
                <w:spacing w:val="-3"/>
                <w:highlight w:val="none"/>
              </w:rPr>
              <w:t>1</w:t>
            </w:r>
            <w:r>
              <w:rPr>
                <w:rFonts w:hint="default" w:ascii="Times New Roman" w:hAnsi="Times New Roman" w:cs="Times New Roman"/>
                <w:color w:val="0000FF"/>
                <w:spacing w:val="-3"/>
                <w:highlight w:val="none"/>
              </w:rPr>
              <w:t>小时最大浓度（</w:t>
            </w:r>
            <w:r>
              <w:rPr>
                <w:rFonts w:hint="default" w:ascii="Times New Roman" w:hAnsi="Times New Roman" w:eastAsia="Times New Roman" w:cs="Times New Roman"/>
                <w:color w:val="0000FF"/>
                <w:spacing w:val="-3"/>
                <w:highlight w:val="none"/>
              </w:rPr>
              <w:t>mg/m</w:t>
            </w:r>
            <w:r>
              <w:rPr>
                <w:rFonts w:hint="default" w:ascii="Times New Roman" w:hAnsi="Times New Roman" w:eastAsia="Times New Roman" w:cs="Times New Roman"/>
                <w:color w:val="0000FF"/>
                <w:spacing w:val="-3"/>
                <w:position w:val="9"/>
                <w:sz w:val="13"/>
                <w:szCs w:val="13"/>
                <w:highlight w:val="none"/>
              </w:rPr>
              <w:t>3</w:t>
            </w:r>
            <w:r>
              <w:rPr>
                <w:rFonts w:hint="default" w:ascii="Times New Roman" w:hAnsi="Times New Roman" w:cs="Times New Roman"/>
                <w:color w:val="0000FF"/>
                <w:spacing w:val="-3"/>
                <w:highlight w:val="none"/>
              </w:rPr>
              <w:t>）</w:t>
            </w:r>
          </w:p>
        </w:tc>
        <w:tc>
          <w:tcPr>
            <w:tcW w:w="2401" w:type="dxa"/>
            <w:tcBorders>
              <w:tl2br w:val="nil"/>
              <w:tr2bl w:val="nil"/>
            </w:tcBorders>
            <w:vAlign w:val="center"/>
          </w:tcPr>
          <w:p w14:paraId="7AFE7FD1">
            <w:pPr>
              <w:pStyle w:val="35"/>
              <w:keepNext w:val="0"/>
              <w:keepLines w:val="0"/>
              <w:pageBreakBefore w:val="0"/>
              <w:widowControl/>
              <w:kinsoku/>
              <w:wordWrap w:val="0"/>
              <w:overflowPunct/>
              <w:topLinePunct/>
              <w:autoSpaceDE/>
              <w:autoSpaceDN/>
              <w:bidi w:val="0"/>
              <w:adjustRightInd w:val="0"/>
              <w:snapToGrid w:val="0"/>
              <w:spacing w:before="95" w:line="221" w:lineRule="auto"/>
              <w:jc w:val="center"/>
              <w:textAlignment w:val="baseline"/>
              <w:rPr>
                <w:rFonts w:hint="default" w:ascii="Times New Roman" w:hAnsi="Times New Roman" w:eastAsia="宋体" w:cs="Times New Roman"/>
                <w:color w:val="0000FF"/>
                <w:highlight w:val="none"/>
                <w:lang w:val="en-US" w:eastAsia="zh-CN"/>
              </w:rPr>
            </w:pPr>
            <w:r>
              <w:rPr>
                <w:rFonts w:hint="eastAsia" w:ascii="Times New Roman" w:hAnsi="Times New Roman" w:cs="Times New Roman"/>
                <w:color w:val="0000FF"/>
                <w:spacing w:val="-2"/>
                <w:highlight w:val="none"/>
                <w:lang w:val="en-US" w:eastAsia="zh-CN"/>
              </w:rPr>
              <w:t>0.13</w:t>
            </w:r>
          </w:p>
        </w:tc>
        <w:tc>
          <w:tcPr>
            <w:tcW w:w="2396" w:type="dxa"/>
            <w:tcBorders>
              <w:tl2br w:val="nil"/>
              <w:tr2bl w:val="nil"/>
            </w:tcBorders>
            <w:vAlign w:val="center"/>
          </w:tcPr>
          <w:p w14:paraId="27DB1043">
            <w:pPr>
              <w:pStyle w:val="35"/>
              <w:keepNext w:val="0"/>
              <w:keepLines w:val="0"/>
              <w:pageBreakBefore w:val="0"/>
              <w:widowControl/>
              <w:kinsoku/>
              <w:wordWrap w:val="0"/>
              <w:overflowPunct/>
              <w:topLinePunct/>
              <w:autoSpaceDE/>
              <w:autoSpaceDN/>
              <w:bidi w:val="0"/>
              <w:adjustRightInd w:val="0"/>
              <w:snapToGrid w:val="0"/>
              <w:spacing w:before="95" w:line="221" w:lineRule="auto"/>
              <w:jc w:val="center"/>
              <w:textAlignment w:val="baseline"/>
              <w:rPr>
                <w:rFonts w:hint="default" w:ascii="Times New Roman" w:hAnsi="Times New Roman" w:eastAsia="宋体" w:cs="Times New Roman"/>
                <w:color w:val="0000FF"/>
                <w:highlight w:val="none"/>
                <w:lang w:val="en-US" w:eastAsia="zh-CN"/>
              </w:rPr>
            </w:pPr>
            <w:r>
              <w:rPr>
                <w:rFonts w:hint="eastAsia" w:ascii="Times New Roman" w:hAnsi="Times New Roman" w:cs="Times New Roman"/>
                <w:color w:val="0000FF"/>
                <w:highlight w:val="none"/>
                <w:lang w:val="en-US" w:eastAsia="zh-CN"/>
              </w:rPr>
              <w:t>0.13</w:t>
            </w:r>
          </w:p>
        </w:tc>
      </w:tr>
      <w:tr w14:paraId="1C7CA95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6ED4BC6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4BF65B0F">
            <w:pPr>
              <w:pStyle w:val="35"/>
              <w:keepNext w:val="0"/>
              <w:keepLines w:val="0"/>
              <w:pageBreakBefore w:val="0"/>
              <w:widowControl/>
              <w:kinsoku/>
              <w:wordWrap w:val="0"/>
              <w:overflowPunct/>
              <w:topLinePunct/>
              <w:autoSpaceDE/>
              <w:autoSpaceDN/>
              <w:bidi w:val="0"/>
              <w:adjustRightInd w:val="0"/>
              <w:snapToGrid w:val="0"/>
              <w:spacing w:before="97" w:line="234" w:lineRule="auto"/>
              <w:ind w:left="925"/>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超标率（</w:t>
            </w:r>
            <w:r>
              <w:rPr>
                <w:rFonts w:hint="default" w:ascii="Times New Roman" w:hAnsi="Times New Roman" w:eastAsia="Times New Roman" w:cs="Times New Roman"/>
                <w:color w:val="0000FF"/>
                <w:spacing w:val="-1"/>
                <w:highlight w:val="none"/>
              </w:rPr>
              <w:t>%</w:t>
            </w:r>
            <w:r>
              <w:rPr>
                <w:rFonts w:hint="default" w:ascii="Times New Roman" w:hAnsi="Times New Roman" w:cs="Times New Roman"/>
                <w:color w:val="0000FF"/>
                <w:spacing w:val="-1"/>
                <w:highlight w:val="none"/>
              </w:rPr>
              <w:t>）</w:t>
            </w:r>
          </w:p>
        </w:tc>
        <w:tc>
          <w:tcPr>
            <w:tcW w:w="2401" w:type="dxa"/>
            <w:tcBorders>
              <w:tl2br w:val="nil"/>
              <w:tr2bl w:val="nil"/>
            </w:tcBorders>
            <w:vAlign w:val="center"/>
          </w:tcPr>
          <w:p w14:paraId="672C4555">
            <w:pPr>
              <w:keepNext w:val="0"/>
              <w:keepLines w:val="0"/>
              <w:pageBreakBefore w:val="0"/>
              <w:widowControl/>
              <w:kinsoku/>
              <w:wordWrap w:val="0"/>
              <w:overflowPunct/>
              <w:topLinePunct/>
              <w:autoSpaceDE/>
              <w:autoSpaceDN/>
              <w:bidi w:val="0"/>
              <w:adjustRightInd w:val="0"/>
              <w:snapToGrid w:val="0"/>
              <w:spacing w:before="124" w:line="234" w:lineRule="auto"/>
              <w:ind w:left="1150"/>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c>
          <w:tcPr>
            <w:tcW w:w="2396" w:type="dxa"/>
            <w:tcBorders>
              <w:tl2br w:val="nil"/>
              <w:tr2bl w:val="nil"/>
            </w:tcBorders>
            <w:vAlign w:val="center"/>
          </w:tcPr>
          <w:p w14:paraId="48C2A7D3">
            <w:pPr>
              <w:keepNext w:val="0"/>
              <w:keepLines w:val="0"/>
              <w:pageBreakBefore w:val="0"/>
              <w:widowControl/>
              <w:kinsoku/>
              <w:wordWrap w:val="0"/>
              <w:overflowPunct/>
              <w:topLinePunct/>
              <w:autoSpaceDE/>
              <w:autoSpaceDN/>
              <w:bidi w:val="0"/>
              <w:adjustRightInd w:val="0"/>
              <w:snapToGrid w:val="0"/>
              <w:spacing w:before="124" w:line="234" w:lineRule="auto"/>
              <w:ind w:left="1148"/>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r>
      <w:tr w14:paraId="184AB8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097B578E">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512CB3CB">
            <w:pPr>
              <w:pStyle w:val="35"/>
              <w:keepNext w:val="0"/>
              <w:keepLines w:val="0"/>
              <w:pageBreakBefore w:val="0"/>
              <w:widowControl/>
              <w:kinsoku/>
              <w:wordWrap w:val="0"/>
              <w:overflowPunct/>
              <w:topLinePunct/>
              <w:autoSpaceDE/>
              <w:autoSpaceDN/>
              <w:bidi w:val="0"/>
              <w:adjustRightInd w:val="0"/>
              <w:snapToGrid w:val="0"/>
              <w:spacing w:before="97" w:line="221" w:lineRule="auto"/>
              <w:ind w:left="909"/>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2"/>
                <w:highlight w:val="none"/>
              </w:rPr>
              <w:t>最大超标倍数</w:t>
            </w:r>
          </w:p>
        </w:tc>
        <w:tc>
          <w:tcPr>
            <w:tcW w:w="2401" w:type="dxa"/>
            <w:tcBorders>
              <w:tl2br w:val="nil"/>
              <w:tr2bl w:val="nil"/>
            </w:tcBorders>
            <w:vAlign w:val="center"/>
          </w:tcPr>
          <w:p w14:paraId="5C7D4074">
            <w:pPr>
              <w:keepNext w:val="0"/>
              <w:keepLines w:val="0"/>
              <w:pageBreakBefore w:val="0"/>
              <w:widowControl/>
              <w:kinsoku/>
              <w:wordWrap w:val="0"/>
              <w:overflowPunct/>
              <w:topLinePunct/>
              <w:autoSpaceDE/>
              <w:autoSpaceDN/>
              <w:bidi w:val="0"/>
              <w:adjustRightInd w:val="0"/>
              <w:snapToGrid w:val="0"/>
              <w:spacing w:before="128" w:line="234" w:lineRule="auto"/>
              <w:ind w:left="1150"/>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c>
          <w:tcPr>
            <w:tcW w:w="2396" w:type="dxa"/>
            <w:tcBorders>
              <w:tl2br w:val="nil"/>
              <w:tr2bl w:val="nil"/>
            </w:tcBorders>
            <w:vAlign w:val="center"/>
          </w:tcPr>
          <w:p w14:paraId="67037C9A">
            <w:pPr>
              <w:keepNext w:val="0"/>
              <w:keepLines w:val="0"/>
              <w:pageBreakBefore w:val="0"/>
              <w:widowControl/>
              <w:kinsoku/>
              <w:wordWrap w:val="0"/>
              <w:overflowPunct/>
              <w:topLinePunct/>
              <w:autoSpaceDE/>
              <w:autoSpaceDN/>
              <w:bidi w:val="0"/>
              <w:adjustRightInd w:val="0"/>
              <w:snapToGrid w:val="0"/>
              <w:spacing w:before="128" w:line="234" w:lineRule="auto"/>
              <w:ind w:left="1148"/>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r>
      <w:tr w14:paraId="471695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10B13EE6">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60F43DC5">
            <w:pPr>
              <w:pStyle w:val="35"/>
              <w:keepNext w:val="0"/>
              <w:keepLines w:val="0"/>
              <w:pageBreakBefore w:val="0"/>
              <w:widowControl/>
              <w:kinsoku/>
              <w:wordWrap w:val="0"/>
              <w:overflowPunct/>
              <w:topLinePunct/>
              <w:autoSpaceDE/>
              <w:autoSpaceDN/>
              <w:bidi w:val="0"/>
              <w:adjustRightInd w:val="0"/>
              <w:snapToGrid w:val="0"/>
              <w:spacing w:before="99" w:line="234" w:lineRule="auto"/>
              <w:ind w:left="507"/>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最大占标百分比（</w:t>
            </w:r>
            <w:r>
              <w:rPr>
                <w:rFonts w:hint="default" w:ascii="Times New Roman" w:hAnsi="Times New Roman" w:eastAsia="Times New Roman" w:cs="Times New Roman"/>
                <w:color w:val="0000FF"/>
                <w:spacing w:val="-1"/>
                <w:highlight w:val="none"/>
              </w:rPr>
              <w:t>%</w:t>
            </w:r>
            <w:r>
              <w:rPr>
                <w:rFonts w:hint="default" w:ascii="Times New Roman" w:hAnsi="Times New Roman" w:cs="Times New Roman"/>
                <w:color w:val="0000FF"/>
                <w:spacing w:val="-1"/>
                <w:highlight w:val="none"/>
              </w:rPr>
              <w:t>）</w:t>
            </w:r>
          </w:p>
        </w:tc>
        <w:tc>
          <w:tcPr>
            <w:tcW w:w="2401" w:type="dxa"/>
            <w:tcBorders>
              <w:tl2br w:val="nil"/>
              <w:tr2bl w:val="nil"/>
            </w:tcBorders>
            <w:vAlign w:val="center"/>
          </w:tcPr>
          <w:p w14:paraId="69E3E6DF">
            <w:pPr>
              <w:keepNext w:val="0"/>
              <w:keepLines w:val="0"/>
              <w:pageBreakBefore w:val="0"/>
              <w:widowControl/>
              <w:kinsoku/>
              <w:wordWrap w:val="0"/>
              <w:overflowPunct/>
              <w:topLinePunct/>
              <w:autoSpaceDE/>
              <w:autoSpaceDN/>
              <w:bidi w:val="0"/>
              <w:adjustRightInd w:val="0"/>
              <w:snapToGrid w:val="0"/>
              <w:spacing w:before="126" w:line="234" w:lineRule="auto"/>
              <w:ind w:left="1150"/>
              <w:jc w:val="left"/>
              <w:textAlignment w:val="baseline"/>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65</w:t>
            </w:r>
          </w:p>
        </w:tc>
        <w:tc>
          <w:tcPr>
            <w:tcW w:w="2396" w:type="dxa"/>
            <w:tcBorders>
              <w:tl2br w:val="nil"/>
              <w:tr2bl w:val="nil"/>
            </w:tcBorders>
            <w:vAlign w:val="center"/>
          </w:tcPr>
          <w:p w14:paraId="0E55AA0C">
            <w:pPr>
              <w:keepNext w:val="0"/>
              <w:keepLines w:val="0"/>
              <w:pageBreakBefore w:val="0"/>
              <w:widowControl/>
              <w:kinsoku/>
              <w:wordWrap w:val="0"/>
              <w:overflowPunct/>
              <w:topLinePunct/>
              <w:autoSpaceDE/>
              <w:autoSpaceDN/>
              <w:bidi w:val="0"/>
              <w:adjustRightInd w:val="0"/>
              <w:snapToGrid w:val="0"/>
              <w:spacing w:before="126" w:line="234" w:lineRule="auto"/>
              <w:ind w:left="1148"/>
              <w:jc w:val="left"/>
              <w:textAlignment w:val="baseline"/>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65</w:t>
            </w:r>
          </w:p>
        </w:tc>
      </w:tr>
      <w:tr w14:paraId="7D6E7B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restart"/>
            <w:tcBorders>
              <w:tl2br w:val="nil"/>
              <w:tr2bl w:val="nil"/>
            </w:tcBorders>
            <w:vAlign w:val="center"/>
          </w:tcPr>
          <w:p w14:paraId="7F414562">
            <w:pPr>
              <w:pStyle w:val="35"/>
              <w:keepNext w:val="0"/>
              <w:keepLines w:val="0"/>
              <w:pageBreakBefore w:val="0"/>
              <w:widowControl/>
              <w:kinsoku/>
              <w:wordWrap w:val="0"/>
              <w:overflowPunct/>
              <w:topLinePunct/>
              <w:autoSpaceDE/>
              <w:autoSpaceDN/>
              <w:bidi w:val="0"/>
              <w:adjustRightInd w:val="0"/>
              <w:snapToGrid w:val="0"/>
              <w:spacing w:before="68" w:line="222"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硫化氢</w:t>
            </w:r>
          </w:p>
        </w:tc>
        <w:tc>
          <w:tcPr>
            <w:tcW w:w="3063" w:type="dxa"/>
            <w:tcBorders>
              <w:tl2br w:val="nil"/>
              <w:tr2bl w:val="nil"/>
            </w:tcBorders>
            <w:vAlign w:val="center"/>
          </w:tcPr>
          <w:p w14:paraId="60A29525">
            <w:pPr>
              <w:pStyle w:val="35"/>
              <w:keepNext w:val="0"/>
              <w:keepLines w:val="0"/>
              <w:pageBreakBefore w:val="0"/>
              <w:widowControl/>
              <w:kinsoku/>
              <w:wordWrap w:val="0"/>
              <w:overflowPunct/>
              <w:topLinePunct/>
              <w:autoSpaceDE/>
              <w:autoSpaceDN/>
              <w:bidi w:val="0"/>
              <w:adjustRightInd w:val="0"/>
              <w:snapToGrid w:val="0"/>
              <w:spacing w:before="94" w:line="227" w:lineRule="auto"/>
              <w:ind w:left="145"/>
              <w:jc w:val="left"/>
              <w:textAlignment w:val="baseline"/>
              <w:rPr>
                <w:rFonts w:hint="default" w:ascii="Times New Roman" w:hAnsi="Times New Roman" w:cs="Times New Roman"/>
                <w:color w:val="0000FF"/>
                <w:highlight w:val="none"/>
              </w:rPr>
            </w:pPr>
            <w:r>
              <w:rPr>
                <w:rFonts w:hint="default" w:ascii="Times New Roman" w:hAnsi="Times New Roman" w:eastAsia="Times New Roman" w:cs="Times New Roman"/>
                <w:color w:val="0000FF"/>
                <w:spacing w:val="-3"/>
                <w:highlight w:val="none"/>
              </w:rPr>
              <w:t>1</w:t>
            </w:r>
            <w:r>
              <w:rPr>
                <w:rFonts w:hint="default" w:ascii="Times New Roman" w:hAnsi="Times New Roman" w:cs="Times New Roman"/>
                <w:color w:val="0000FF"/>
                <w:spacing w:val="-3"/>
                <w:highlight w:val="none"/>
              </w:rPr>
              <w:t>小时平均浓度范围（</w:t>
            </w:r>
            <w:r>
              <w:rPr>
                <w:rFonts w:hint="default" w:ascii="Times New Roman" w:hAnsi="Times New Roman" w:eastAsia="Times New Roman" w:cs="Times New Roman"/>
                <w:color w:val="0000FF"/>
                <w:spacing w:val="-3"/>
                <w:highlight w:val="none"/>
              </w:rPr>
              <w:t>mg/m</w:t>
            </w:r>
            <w:r>
              <w:rPr>
                <w:rFonts w:hint="default" w:ascii="Times New Roman" w:hAnsi="Times New Roman" w:eastAsia="Times New Roman" w:cs="Times New Roman"/>
                <w:color w:val="0000FF"/>
                <w:spacing w:val="-3"/>
                <w:position w:val="9"/>
                <w:sz w:val="13"/>
                <w:szCs w:val="13"/>
                <w:highlight w:val="none"/>
              </w:rPr>
              <w:t>3</w:t>
            </w:r>
            <w:r>
              <w:rPr>
                <w:rFonts w:hint="default" w:ascii="Times New Roman" w:hAnsi="Times New Roman" w:cs="Times New Roman"/>
                <w:color w:val="0000FF"/>
                <w:spacing w:val="-3"/>
                <w:highlight w:val="none"/>
              </w:rPr>
              <w:t>）</w:t>
            </w:r>
          </w:p>
        </w:tc>
        <w:tc>
          <w:tcPr>
            <w:tcW w:w="2401" w:type="dxa"/>
            <w:tcBorders>
              <w:tl2br w:val="nil"/>
              <w:tr2bl w:val="nil"/>
            </w:tcBorders>
            <w:vAlign w:val="center"/>
          </w:tcPr>
          <w:p w14:paraId="6FA7A6C8">
            <w:pPr>
              <w:pStyle w:val="35"/>
              <w:keepNext w:val="0"/>
              <w:keepLines w:val="0"/>
              <w:pageBreakBefore w:val="0"/>
              <w:widowControl/>
              <w:kinsoku/>
              <w:wordWrap w:val="0"/>
              <w:overflowPunct/>
              <w:topLinePunct/>
              <w:autoSpaceDE/>
              <w:autoSpaceDN/>
              <w:bidi w:val="0"/>
              <w:adjustRightInd w:val="0"/>
              <w:snapToGrid w:val="0"/>
              <w:spacing w:before="109" w:line="221" w:lineRule="auto"/>
              <w:jc w:val="center"/>
              <w:textAlignment w:val="baseline"/>
              <w:rPr>
                <w:rFonts w:hint="default" w:ascii="Times New Roman" w:hAnsi="Times New Roman" w:eastAsia="宋体" w:cs="Times New Roman"/>
                <w:color w:val="0000FF"/>
                <w:highlight w:val="none"/>
                <w:lang w:val="en-US" w:eastAsia="zh-CN"/>
              </w:rPr>
            </w:pPr>
            <w:r>
              <w:rPr>
                <w:rFonts w:hint="eastAsia" w:ascii="Times New Roman" w:hAnsi="Times New Roman" w:cs="Times New Roman"/>
                <w:color w:val="0000FF"/>
                <w:spacing w:val="-2"/>
                <w:highlight w:val="none"/>
                <w:lang w:val="en-US" w:eastAsia="zh-CN"/>
              </w:rPr>
              <w:t>0.003-0.004</w:t>
            </w:r>
          </w:p>
        </w:tc>
        <w:tc>
          <w:tcPr>
            <w:tcW w:w="2396" w:type="dxa"/>
            <w:tcBorders>
              <w:tl2br w:val="nil"/>
              <w:tr2bl w:val="nil"/>
            </w:tcBorders>
            <w:vAlign w:val="center"/>
          </w:tcPr>
          <w:p w14:paraId="1C4C9253">
            <w:pPr>
              <w:pStyle w:val="35"/>
              <w:keepNext w:val="0"/>
              <w:keepLines w:val="0"/>
              <w:pageBreakBefore w:val="0"/>
              <w:widowControl/>
              <w:kinsoku/>
              <w:wordWrap w:val="0"/>
              <w:overflowPunct/>
              <w:topLinePunct/>
              <w:autoSpaceDE/>
              <w:autoSpaceDN/>
              <w:bidi w:val="0"/>
              <w:adjustRightInd w:val="0"/>
              <w:snapToGrid w:val="0"/>
              <w:spacing w:before="109" w:line="221" w:lineRule="auto"/>
              <w:jc w:val="center"/>
              <w:textAlignment w:val="baseline"/>
              <w:rPr>
                <w:rFonts w:hint="default" w:ascii="Times New Roman" w:hAnsi="Times New Roman" w:eastAsia="宋体" w:cs="Times New Roman"/>
                <w:color w:val="0000FF"/>
                <w:highlight w:val="none"/>
                <w:lang w:val="en-US" w:eastAsia="zh-CN"/>
              </w:rPr>
            </w:pPr>
            <w:r>
              <w:rPr>
                <w:rFonts w:hint="eastAsia" w:ascii="Times New Roman" w:hAnsi="Times New Roman" w:cs="Times New Roman"/>
                <w:color w:val="0000FF"/>
                <w:spacing w:val="-2"/>
                <w:highlight w:val="none"/>
                <w:lang w:val="en-US" w:eastAsia="zh-CN"/>
              </w:rPr>
              <w:t>0.002-0.004</w:t>
            </w:r>
          </w:p>
        </w:tc>
      </w:tr>
      <w:tr w14:paraId="21DE30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7610A76D">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32F026D2">
            <w:pPr>
              <w:pStyle w:val="35"/>
              <w:keepNext w:val="0"/>
              <w:keepLines w:val="0"/>
              <w:pageBreakBefore w:val="0"/>
              <w:widowControl/>
              <w:kinsoku/>
              <w:wordWrap w:val="0"/>
              <w:overflowPunct/>
              <w:topLinePunct/>
              <w:autoSpaceDE/>
              <w:autoSpaceDN/>
              <w:bidi w:val="0"/>
              <w:adjustRightInd w:val="0"/>
              <w:snapToGrid w:val="0"/>
              <w:spacing w:before="88" w:line="227" w:lineRule="auto"/>
              <w:ind w:left="353"/>
              <w:jc w:val="left"/>
              <w:textAlignment w:val="baseline"/>
              <w:rPr>
                <w:rFonts w:hint="default" w:ascii="Times New Roman" w:hAnsi="Times New Roman" w:cs="Times New Roman"/>
                <w:color w:val="0000FF"/>
                <w:highlight w:val="none"/>
              </w:rPr>
            </w:pPr>
            <w:r>
              <w:rPr>
                <w:rFonts w:hint="default" w:ascii="Times New Roman" w:hAnsi="Times New Roman" w:eastAsia="Times New Roman" w:cs="Times New Roman"/>
                <w:color w:val="0000FF"/>
                <w:spacing w:val="-3"/>
                <w:highlight w:val="none"/>
              </w:rPr>
              <w:t>1</w:t>
            </w:r>
            <w:r>
              <w:rPr>
                <w:rFonts w:hint="default" w:ascii="Times New Roman" w:hAnsi="Times New Roman" w:cs="Times New Roman"/>
                <w:color w:val="0000FF"/>
                <w:spacing w:val="-3"/>
                <w:highlight w:val="none"/>
              </w:rPr>
              <w:t>小时最大浓度（</w:t>
            </w:r>
            <w:r>
              <w:rPr>
                <w:rFonts w:hint="default" w:ascii="Times New Roman" w:hAnsi="Times New Roman" w:eastAsia="Times New Roman" w:cs="Times New Roman"/>
                <w:color w:val="0000FF"/>
                <w:spacing w:val="-3"/>
                <w:highlight w:val="none"/>
              </w:rPr>
              <w:t>mg/m</w:t>
            </w:r>
            <w:r>
              <w:rPr>
                <w:rFonts w:hint="default" w:ascii="Times New Roman" w:hAnsi="Times New Roman" w:eastAsia="Times New Roman" w:cs="Times New Roman"/>
                <w:color w:val="0000FF"/>
                <w:spacing w:val="-3"/>
                <w:position w:val="9"/>
                <w:sz w:val="13"/>
                <w:szCs w:val="13"/>
                <w:highlight w:val="none"/>
              </w:rPr>
              <w:t>3</w:t>
            </w:r>
            <w:r>
              <w:rPr>
                <w:rFonts w:hint="default" w:ascii="Times New Roman" w:hAnsi="Times New Roman" w:cs="Times New Roman"/>
                <w:color w:val="0000FF"/>
                <w:spacing w:val="-3"/>
                <w:highlight w:val="none"/>
              </w:rPr>
              <w:t>）</w:t>
            </w:r>
          </w:p>
        </w:tc>
        <w:tc>
          <w:tcPr>
            <w:tcW w:w="2401" w:type="dxa"/>
            <w:tcBorders>
              <w:tl2br w:val="nil"/>
              <w:tr2bl w:val="nil"/>
            </w:tcBorders>
            <w:vAlign w:val="center"/>
          </w:tcPr>
          <w:p w14:paraId="7B41C616">
            <w:pPr>
              <w:pStyle w:val="35"/>
              <w:keepNext w:val="0"/>
              <w:keepLines w:val="0"/>
              <w:pageBreakBefore w:val="0"/>
              <w:widowControl/>
              <w:kinsoku/>
              <w:wordWrap w:val="0"/>
              <w:overflowPunct/>
              <w:topLinePunct/>
              <w:autoSpaceDE/>
              <w:autoSpaceDN/>
              <w:bidi w:val="0"/>
              <w:adjustRightInd w:val="0"/>
              <w:snapToGrid w:val="0"/>
              <w:spacing w:before="103" w:line="221" w:lineRule="auto"/>
              <w:ind w:left="893"/>
              <w:jc w:val="left"/>
              <w:textAlignment w:val="baseline"/>
              <w:rPr>
                <w:rFonts w:hint="default" w:ascii="Times New Roman" w:hAnsi="Times New Roman" w:cs="Times New Roman"/>
                <w:color w:val="0000FF"/>
                <w:highlight w:val="none"/>
              </w:rPr>
            </w:pPr>
            <w:r>
              <w:rPr>
                <w:rFonts w:hint="eastAsia" w:ascii="Times New Roman" w:hAnsi="Times New Roman" w:cs="Times New Roman"/>
                <w:color w:val="0000FF"/>
                <w:spacing w:val="-2"/>
                <w:highlight w:val="none"/>
                <w:lang w:val="en-US" w:eastAsia="zh-CN"/>
              </w:rPr>
              <w:t>0.004</w:t>
            </w:r>
          </w:p>
        </w:tc>
        <w:tc>
          <w:tcPr>
            <w:tcW w:w="2396" w:type="dxa"/>
            <w:tcBorders>
              <w:tl2br w:val="nil"/>
              <w:tr2bl w:val="nil"/>
            </w:tcBorders>
            <w:vAlign w:val="center"/>
          </w:tcPr>
          <w:p w14:paraId="02603956">
            <w:pPr>
              <w:pStyle w:val="35"/>
              <w:keepNext w:val="0"/>
              <w:keepLines w:val="0"/>
              <w:pageBreakBefore w:val="0"/>
              <w:widowControl/>
              <w:kinsoku/>
              <w:wordWrap w:val="0"/>
              <w:overflowPunct/>
              <w:topLinePunct/>
              <w:autoSpaceDE/>
              <w:autoSpaceDN/>
              <w:bidi w:val="0"/>
              <w:adjustRightInd w:val="0"/>
              <w:snapToGrid w:val="0"/>
              <w:spacing w:before="103" w:line="221" w:lineRule="auto"/>
              <w:ind w:left="888"/>
              <w:jc w:val="left"/>
              <w:textAlignment w:val="baseline"/>
              <w:rPr>
                <w:rFonts w:hint="default" w:ascii="Times New Roman" w:hAnsi="Times New Roman" w:cs="Times New Roman"/>
                <w:color w:val="0000FF"/>
                <w:highlight w:val="none"/>
                <w:lang w:val="en-US"/>
              </w:rPr>
            </w:pPr>
            <w:r>
              <w:rPr>
                <w:rFonts w:hint="eastAsia" w:ascii="Times New Roman" w:hAnsi="Times New Roman" w:cs="Times New Roman"/>
                <w:color w:val="0000FF"/>
                <w:spacing w:val="-2"/>
                <w:highlight w:val="none"/>
                <w:lang w:val="en-US" w:eastAsia="zh-CN"/>
              </w:rPr>
              <w:t>0.004</w:t>
            </w:r>
          </w:p>
        </w:tc>
      </w:tr>
      <w:tr w14:paraId="7C32A45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7D674B5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5D2AB295">
            <w:pPr>
              <w:pStyle w:val="35"/>
              <w:keepNext w:val="0"/>
              <w:keepLines w:val="0"/>
              <w:pageBreakBefore w:val="0"/>
              <w:widowControl/>
              <w:kinsoku/>
              <w:wordWrap w:val="0"/>
              <w:overflowPunct/>
              <w:topLinePunct/>
              <w:autoSpaceDE/>
              <w:autoSpaceDN/>
              <w:bidi w:val="0"/>
              <w:adjustRightInd w:val="0"/>
              <w:snapToGrid w:val="0"/>
              <w:spacing w:before="102" w:line="234" w:lineRule="auto"/>
              <w:ind w:left="925"/>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超标率（</w:t>
            </w:r>
            <w:r>
              <w:rPr>
                <w:rFonts w:hint="default" w:ascii="Times New Roman" w:hAnsi="Times New Roman" w:eastAsia="Times New Roman" w:cs="Times New Roman"/>
                <w:color w:val="0000FF"/>
                <w:spacing w:val="-1"/>
                <w:highlight w:val="none"/>
              </w:rPr>
              <w:t>%</w:t>
            </w:r>
            <w:r>
              <w:rPr>
                <w:rFonts w:hint="default" w:ascii="Times New Roman" w:hAnsi="Times New Roman" w:cs="Times New Roman"/>
                <w:color w:val="0000FF"/>
                <w:spacing w:val="-1"/>
                <w:highlight w:val="none"/>
              </w:rPr>
              <w:t>）</w:t>
            </w:r>
          </w:p>
        </w:tc>
        <w:tc>
          <w:tcPr>
            <w:tcW w:w="2401" w:type="dxa"/>
            <w:tcBorders>
              <w:tl2br w:val="nil"/>
              <w:tr2bl w:val="nil"/>
            </w:tcBorders>
            <w:vAlign w:val="center"/>
          </w:tcPr>
          <w:p w14:paraId="3384DC06">
            <w:pPr>
              <w:keepNext w:val="0"/>
              <w:keepLines w:val="0"/>
              <w:pageBreakBefore w:val="0"/>
              <w:widowControl/>
              <w:kinsoku/>
              <w:wordWrap w:val="0"/>
              <w:overflowPunct/>
              <w:topLinePunct/>
              <w:autoSpaceDE/>
              <w:autoSpaceDN/>
              <w:bidi w:val="0"/>
              <w:adjustRightInd w:val="0"/>
              <w:snapToGrid w:val="0"/>
              <w:spacing w:before="131" w:line="234" w:lineRule="auto"/>
              <w:ind w:left="1150"/>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c>
          <w:tcPr>
            <w:tcW w:w="2396" w:type="dxa"/>
            <w:tcBorders>
              <w:tl2br w:val="nil"/>
              <w:tr2bl w:val="nil"/>
            </w:tcBorders>
            <w:vAlign w:val="center"/>
          </w:tcPr>
          <w:p w14:paraId="5A0C5969">
            <w:pPr>
              <w:keepNext w:val="0"/>
              <w:keepLines w:val="0"/>
              <w:pageBreakBefore w:val="0"/>
              <w:widowControl/>
              <w:kinsoku/>
              <w:wordWrap w:val="0"/>
              <w:overflowPunct/>
              <w:topLinePunct/>
              <w:autoSpaceDE/>
              <w:autoSpaceDN/>
              <w:bidi w:val="0"/>
              <w:adjustRightInd w:val="0"/>
              <w:snapToGrid w:val="0"/>
              <w:spacing w:before="131" w:line="234" w:lineRule="auto"/>
              <w:ind w:left="1148"/>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r>
      <w:tr w14:paraId="1702A6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43618E85">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67429E1E">
            <w:pPr>
              <w:pStyle w:val="35"/>
              <w:keepNext w:val="0"/>
              <w:keepLines w:val="0"/>
              <w:pageBreakBefore w:val="0"/>
              <w:widowControl/>
              <w:kinsoku/>
              <w:wordWrap w:val="0"/>
              <w:overflowPunct/>
              <w:topLinePunct/>
              <w:autoSpaceDE/>
              <w:autoSpaceDN/>
              <w:bidi w:val="0"/>
              <w:adjustRightInd w:val="0"/>
              <w:snapToGrid w:val="0"/>
              <w:spacing w:before="102" w:line="221" w:lineRule="auto"/>
              <w:ind w:left="909"/>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2"/>
                <w:highlight w:val="none"/>
              </w:rPr>
              <w:t>最大超标倍数</w:t>
            </w:r>
          </w:p>
        </w:tc>
        <w:tc>
          <w:tcPr>
            <w:tcW w:w="2401" w:type="dxa"/>
            <w:tcBorders>
              <w:tl2br w:val="nil"/>
              <w:tr2bl w:val="nil"/>
            </w:tcBorders>
            <w:vAlign w:val="center"/>
          </w:tcPr>
          <w:p w14:paraId="5826D545">
            <w:pPr>
              <w:keepNext w:val="0"/>
              <w:keepLines w:val="0"/>
              <w:pageBreakBefore w:val="0"/>
              <w:widowControl/>
              <w:kinsoku/>
              <w:wordWrap w:val="0"/>
              <w:overflowPunct/>
              <w:topLinePunct/>
              <w:autoSpaceDE/>
              <w:autoSpaceDN/>
              <w:bidi w:val="0"/>
              <w:adjustRightInd w:val="0"/>
              <w:snapToGrid w:val="0"/>
              <w:spacing w:before="130" w:line="234" w:lineRule="auto"/>
              <w:ind w:left="1150"/>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c>
          <w:tcPr>
            <w:tcW w:w="2396" w:type="dxa"/>
            <w:tcBorders>
              <w:tl2br w:val="nil"/>
              <w:tr2bl w:val="nil"/>
            </w:tcBorders>
            <w:vAlign w:val="center"/>
          </w:tcPr>
          <w:p w14:paraId="0C99A6B9">
            <w:pPr>
              <w:keepNext w:val="0"/>
              <w:keepLines w:val="0"/>
              <w:pageBreakBefore w:val="0"/>
              <w:widowControl/>
              <w:kinsoku/>
              <w:wordWrap w:val="0"/>
              <w:overflowPunct/>
              <w:topLinePunct/>
              <w:autoSpaceDE/>
              <w:autoSpaceDN/>
              <w:bidi w:val="0"/>
              <w:adjustRightInd w:val="0"/>
              <w:snapToGrid w:val="0"/>
              <w:spacing w:before="130" w:line="234" w:lineRule="auto"/>
              <w:ind w:left="1148"/>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r>
      <w:tr w14:paraId="2B6EAA4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6EC0C952">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7217FCB9">
            <w:pPr>
              <w:pStyle w:val="35"/>
              <w:keepNext w:val="0"/>
              <w:keepLines w:val="0"/>
              <w:pageBreakBefore w:val="0"/>
              <w:widowControl/>
              <w:kinsoku/>
              <w:wordWrap w:val="0"/>
              <w:overflowPunct/>
              <w:topLinePunct/>
              <w:autoSpaceDE/>
              <w:autoSpaceDN/>
              <w:bidi w:val="0"/>
              <w:adjustRightInd w:val="0"/>
              <w:snapToGrid w:val="0"/>
              <w:spacing w:before="122" w:line="234" w:lineRule="auto"/>
              <w:ind w:left="507"/>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最大占标百分比（</w:t>
            </w:r>
            <w:r>
              <w:rPr>
                <w:rFonts w:hint="default" w:ascii="Times New Roman" w:hAnsi="Times New Roman" w:eastAsia="Times New Roman" w:cs="Times New Roman"/>
                <w:color w:val="0000FF"/>
                <w:spacing w:val="-1"/>
                <w:highlight w:val="none"/>
              </w:rPr>
              <w:t>%</w:t>
            </w:r>
            <w:r>
              <w:rPr>
                <w:rFonts w:hint="default" w:ascii="Times New Roman" w:hAnsi="Times New Roman" w:cs="Times New Roman"/>
                <w:color w:val="0000FF"/>
                <w:spacing w:val="-1"/>
                <w:highlight w:val="none"/>
              </w:rPr>
              <w:t>）</w:t>
            </w:r>
          </w:p>
        </w:tc>
        <w:tc>
          <w:tcPr>
            <w:tcW w:w="2401" w:type="dxa"/>
            <w:tcBorders>
              <w:tl2br w:val="nil"/>
              <w:tr2bl w:val="nil"/>
            </w:tcBorders>
            <w:vAlign w:val="center"/>
          </w:tcPr>
          <w:p w14:paraId="79A46ECF">
            <w:pPr>
              <w:keepNext w:val="0"/>
              <w:keepLines w:val="0"/>
              <w:pageBreakBefore w:val="0"/>
              <w:widowControl/>
              <w:kinsoku/>
              <w:wordWrap w:val="0"/>
              <w:overflowPunct/>
              <w:topLinePunct/>
              <w:autoSpaceDE/>
              <w:autoSpaceDN/>
              <w:bidi w:val="0"/>
              <w:adjustRightInd w:val="0"/>
              <w:snapToGrid w:val="0"/>
              <w:spacing w:before="149" w:line="234" w:lineRule="auto"/>
              <w:jc w:val="center"/>
              <w:textAlignment w:val="baseline"/>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40</w:t>
            </w:r>
          </w:p>
        </w:tc>
        <w:tc>
          <w:tcPr>
            <w:tcW w:w="2396" w:type="dxa"/>
            <w:tcBorders>
              <w:tl2br w:val="nil"/>
              <w:tr2bl w:val="nil"/>
            </w:tcBorders>
            <w:vAlign w:val="center"/>
          </w:tcPr>
          <w:p w14:paraId="0A622F5A">
            <w:pPr>
              <w:keepNext w:val="0"/>
              <w:keepLines w:val="0"/>
              <w:pageBreakBefore w:val="0"/>
              <w:widowControl/>
              <w:kinsoku/>
              <w:wordWrap w:val="0"/>
              <w:overflowPunct/>
              <w:topLinePunct/>
              <w:autoSpaceDE/>
              <w:autoSpaceDN/>
              <w:bidi w:val="0"/>
              <w:adjustRightInd w:val="0"/>
              <w:snapToGrid w:val="0"/>
              <w:spacing w:before="149" w:line="234" w:lineRule="auto"/>
              <w:jc w:val="center"/>
              <w:textAlignment w:val="baseline"/>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40</w:t>
            </w:r>
          </w:p>
        </w:tc>
      </w:tr>
      <w:tr w14:paraId="631400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restart"/>
            <w:tcBorders>
              <w:tl2br w:val="nil"/>
              <w:tr2bl w:val="nil"/>
            </w:tcBorders>
            <w:vAlign w:val="center"/>
          </w:tcPr>
          <w:p w14:paraId="050D8E50">
            <w:pPr>
              <w:pStyle w:val="35"/>
              <w:keepNext w:val="0"/>
              <w:keepLines w:val="0"/>
              <w:pageBreakBefore w:val="0"/>
              <w:widowControl/>
              <w:kinsoku/>
              <w:wordWrap w:val="0"/>
              <w:overflowPunct/>
              <w:topLinePunct/>
              <w:autoSpaceDE/>
              <w:autoSpaceDN/>
              <w:bidi w:val="0"/>
              <w:adjustRightInd w:val="0"/>
              <w:snapToGrid w:val="0"/>
              <w:spacing w:before="69" w:line="221"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2"/>
                <w:highlight w:val="none"/>
              </w:rPr>
              <w:t>臭气浓度</w:t>
            </w:r>
          </w:p>
        </w:tc>
        <w:tc>
          <w:tcPr>
            <w:tcW w:w="3063" w:type="dxa"/>
            <w:tcBorders>
              <w:tl2br w:val="nil"/>
              <w:tr2bl w:val="nil"/>
            </w:tcBorders>
            <w:vAlign w:val="center"/>
          </w:tcPr>
          <w:p w14:paraId="7027266A">
            <w:pPr>
              <w:pStyle w:val="35"/>
              <w:keepNext w:val="0"/>
              <w:keepLines w:val="0"/>
              <w:pageBreakBefore w:val="0"/>
              <w:widowControl/>
              <w:kinsoku/>
              <w:wordWrap w:val="0"/>
              <w:overflowPunct/>
              <w:topLinePunct/>
              <w:autoSpaceDE/>
              <w:autoSpaceDN/>
              <w:bidi w:val="0"/>
              <w:adjustRightInd w:val="0"/>
              <w:snapToGrid w:val="0"/>
              <w:spacing w:before="107" w:line="227" w:lineRule="auto"/>
              <w:ind w:left="145"/>
              <w:jc w:val="left"/>
              <w:textAlignment w:val="baseline"/>
              <w:rPr>
                <w:rFonts w:hint="default" w:ascii="Times New Roman" w:hAnsi="Times New Roman" w:cs="Times New Roman"/>
                <w:color w:val="0000FF"/>
                <w:highlight w:val="none"/>
              </w:rPr>
            </w:pPr>
            <w:r>
              <w:rPr>
                <w:rFonts w:hint="default" w:ascii="Times New Roman" w:hAnsi="Times New Roman" w:eastAsia="Times New Roman" w:cs="Times New Roman"/>
                <w:color w:val="0000FF"/>
                <w:spacing w:val="-3"/>
                <w:highlight w:val="none"/>
              </w:rPr>
              <w:t>1</w:t>
            </w:r>
            <w:r>
              <w:rPr>
                <w:rFonts w:hint="default" w:ascii="Times New Roman" w:hAnsi="Times New Roman" w:cs="Times New Roman"/>
                <w:color w:val="0000FF"/>
                <w:spacing w:val="-3"/>
                <w:highlight w:val="none"/>
              </w:rPr>
              <w:t>小时平均浓度范围（</w:t>
            </w:r>
            <w:r>
              <w:rPr>
                <w:rFonts w:hint="default" w:ascii="Times New Roman" w:hAnsi="Times New Roman" w:eastAsia="Times New Roman" w:cs="Times New Roman"/>
                <w:color w:val="0000FF"/>
                <w:spacing w:val="-3"/>
                <w:highlight w:val="none"/>
              </w:rPr>
              <w:t>mg/m</w:t>
            </w:r>
            <w:r>
              <w:rPr>
                <w:rFonts w:hint="default" w:ascii="Times New Roman" w:hAnsi="Times New Roman" w:eastAsia="Times New Roman" w:cs="Times New Roman"/>
                <w:color w:val="0000FF"/>
                <w:spacing w:val="-3"/>
                <w:position w:val="9"/>
                <w:sz w:val="13"/>
                <w:szCs w:val="13"/>
                <w:highlight w:val="none"/>
              </w:rPr>
              <w:t>3</w:t>
            </w:r>
            <w:r>
              <w:rPr>
                <w:rFonts w:hint="default" w:ascii="Times New Roman" w:hAnsi="Times New Roman" w:cs="Times New Roman"/>
                <w:color w:val="0000FF"/>
                <w:spacing w:val="-3"/>
                <w:highlight w:val="none"/>
              </w:rPr>
              <w:t>）</w:t>
            </w:r>
          </w:p>
        </w:tc>
        <w:tc>
          <w:tcPr>
            <w:tcW w:w="2401" w:type="dxa"/>
            <w:tcBorders>
              <w:tl2br w:val="nil"/>
              <w:tr2bl w:val="nil"/>
            </w:tcBorders>
            <w:vAlign w:val="center"/>
          </w:tcPr>
          <w:p w14:paraId="1274526A">
            <w:pPr>
              <w:keepNext w:val="0"/>
              <w:keepLines w:val="0"/>
              <w:pageBreakBefore w:val="0"/>
              <w:widowControl/>
              <w:kinsoku/>
              <w:wordWrap w:val="0"/>
              <w:overflowPunct/>
              <w:topLinePunct/>
              <w:autoSpaceDE/>
              <w:autoSpaceDN/>
              <w:bidi w:val="0"/>
              <w:adjustRightInd w:val="0"/>
              <w:snapToGrid w:val="0"/>
              <w:spacing w:before="150" w:line="234" w:lineRule="auto"/>
              <w:ind w:left="1036"/>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pacing w:val="-1"/>
                <w:sz w:val="21"/>
                <w:szCs w:val="21"/>
                <w:highlight w:val="none"/>
              </w:rPr>
              <w:t>&lt;10</w:t>
            </w:r>
          </w:p>
        </w:tc>
        <w:tc>
          <w:tcPr>
            <w:tcW w:w="2396" w:type="dxa"/>
            <w:tcBorders>
              <w:tl2br w:val="nil"/>
              <w:tr2bl w:val="nil"/>
            </w:tcBorders>
            <w:vAlign w:val="center"/>
          </w:tcPr>
          <w:p w14:paraId="39D88011">
            <w:pPr>
              <w:keepNext w:val="0"/>
              <w:keepLines w:val="0"/>
              <w:pageBreakBefore w:val="0"/>
              <w:widowControl/>
              <w:kinsoku/>
              <w:wordWrap w:val="0"/>
              <w:overflowPunct/>
              <w:topLinePunct/>
              <w:autoSpaceDE/>
              <w:autoSpaceDN/>
              <w:bidi w:val="0"/>
              <w:adjustRightInd w:val="0"/>
              <w:snapToGrid w:val="0"/>
              <w:spacing w:before="150" w:line="234" w:lineRule="auto"/>
              <w:ind w:left="1031"/>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pacing w:val="-1"/>
                <w:sz w:val="21"/>
                <w:szCs w:val="21"/>
                <w:highlight w:val="none"/>
              </w:rPr>
              <w:t>&lt;10</w:t>
            </w:r>
          </w:p>
        </w:tc>
      </w:tr>
      <w:tr w14:paraId="458044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0D5B5E3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6E329B2D">
            <w:pPr>
              <w:pStyle w:val="35"/>
              <w:keepNext w:val="0"/>
              <w:keepLines w:val="0"/>
              <w:pageBreakBefore w:val="0"/>
              <w:widowControl/>
              <w:kinsoku/>
              <w:wordWrap w:val="0"/>
              <w:overflowPunct/>
              <w:topLinePunct/>
              <w:autoSpaceDE/>
              <w:autoSpaceDN/>
              <w:bidi w:val="0"/>
              <w:adjustRightInd w:val="0"/>
              <w:snapToGrid w:val="0"/>
              <w:spacing w:before="108" w:line="227" w:lineRule="auto"/>
              <w:ind w:left="353"/>
              <w:jc w:val="left"/>
              <w:textAlignment w:val="baseline"/>
              <w:rPr>
                <w:rFonts w:hint="default" w:ascii="Times New Roman" w:hAnsi="Times New Roman" w:cs="Times New Roman"/>
                <w:color w:val="0000FF"/>
                <w:highlight w:val="none"/>
              </w:rPr>
            </w:pPr>
            <w:r>
              <w:rPr>
                <w:rFonts w:hint="default" w:ascii="Times New Roman" w:hAnsi="Times New Roman" w:eastAsia="Times New Roman" w:cs="Times New Roman"/>
                <w:color w:val="0000FF"/>
                <w:spacing w:val="-3"/>
                <w:highlight w:val="none"/>
              </w:rPr>
              <w:t>1</w:t>
            </w:r>
            <w:r>
              <w:rPr>
                <w:rFonts w:hint="default" w:ascii="Times New Roman" w:hAnsi="Times New Roman" w:cs="Times New Roman"/>
                <w:color w:val="0000FF"/>
                <w:spacing w:val="-3"/>
                <w:highlight w:val="none"/>
              </w:rPr>
              <w:t>小时最大浓度（</w:t>
            </w:r>
            <w:r>
              <w:rPr>
                <w:rFonts w:hint="default" w:ascii="Times New Roman" w:hAnsi="Times New Roman" w:eastAsia="Times New Roman" w:cs="Times New Roman"/>
                <w:color w:val="0000FF"/>
                <w:spacing w:val="-3"/>
                <w:highlight w:val="none"/>
              </w:rPr>
              <w:t>mg/m</w:t>
            </w:r>
            <w:r>
              <w:rPr>
                <w:rFonts w:hint="default" w:ascii="Times New Roman" w:hAnsi="Times New Roman" w:eastAsia="Times New Roman" w:cs="Times New Roman"/>
                <w:color w:val="0000FF"/>
                <w:spacing w:val="-3"/>
                <w:position w:val="9"/>
                <w:sz w:val="13"/>
                <w:szCs w:val="13"/>
                <w:highlight w:val="none"/>
              </w:rPr>
              <w:t>3</w:t>
            </w:r>
            <w:r>
              <w:rPr>
                <w:rFonts w:hint="default" w:ascii="Times New Roman" w:hAnsi="Times New Roman" w:cs="Times New Roman"/>
                <w:color w:val="0000FF"/>
                <w:spacing w:val="-3"/>
                <w:highlight w:val="none"/>
              </w:rPr>
              <w:t>）</w:t>
            </w:r>
          </w:p>
        </w:tc>
        <w:tc>
          <w:tcPr>
            <w:tcW w:w="2401" w:type="dxa"/>
            <w:tcBorders>
              <w:tl2br w:val="nil"/>
              <w:tr2bl w:val="nil"/>
            </w:tcBorders>
            <w:vAlign w:val="center"/>
          </w:tcPr>
          <w:p w14:paraId="292DD72D">
            <w:pPr>
              <w:keepNext w:val="0"/>
              <w:keepLines w:val="0"/>
              <w:pageBreakBefore w:val="0"/>
              <w:widowControl/>
              <w:kinsoku/>
              <w:wordWrap w:val="0"/>
              <w:overflowPunct/>
              <w:topLinePunct/>
              <w:autoSpaceDE/>
              <w:autoSpaceDN/>
              <w:bidi w:val="0"/>
              <w:adjustRightInd w:val="0"/>
              <w:snapToGrid w:val="0"/>
              <w:spacing w:before="150" w:line="234" w:lineRule="auto"/>
              <w:ind w:left="1036"/>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pacing w:val="-1"/>
                <w:sz w:val="21"/>
                <w:szCs w:val="21"/>
                <w:highlight w:val="none"/>
              </w:rPr>
              <w:t>&lt;10</w:t>
            </w:r>
          </w:p>
        </w:tc>
        <w:tc>
          <w:tcPr>
            <w:tcW w:w="2396" w:type="dxa"/>
            <w:tcBorders>
              <w:tl2br w:val="nil"/>
              <w:tr2bl w:val="nil"/>
            </w:tcBorders>
            <w:vAlign w:val="center"/>
          </w:tcPr>
          <w:p w14:paraId="1EF04EDD">
            <w:pPr>
              <w:keepNext w:val="0"/>
              <w:keepLines w:val="0"/>
              <w:pageBreakBefore w:val="0"/>
              <w:widowControl/>
              <w:kinsoku/>
              <w:wordWrap w:val="0"/>
              <w:overflowPunct/>
              <w:topLinePunct/>
              <w:autoSpaceDE/>
              <w:autoSpaceDN/>
              <w:bidi w:val="0"/>
              <w:adjustRightInd w:val="0"/>
              <w:snapToGrid w:val="0"/>
              <w:spacing w:before="150" w:line="234" w:lineRule="auto"/>
              <w:ind w:left="1031"/>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pacing w:val="-1"/>
                <w:sz w:val="21"/>
                <w:szCs w:val="21"/>
                <w:highlight w:val="none"/>
              </w:rPr>
              <w:t>&lt;10</w:t>
            </w:r>
          </w:p>
        </w:tc>
      </w:tr>
      <w:tr w14:paraId="1DDFF94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26464A5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32FE7AA3">
            <w:pPr>
              <w:pStyle w:val="35"/>
              <w:keepNext w:val="0"/>
              <w:keepLines w:val="0"/>
              <w:pageBreakBefore w:val="0"/>
              <w:widowControl/>
              <w:kinsoku/>
              <w:wordWrap w:val="0"/>
              <w:overflowPunct/>
              <w:topLinePunct/>
              <w:autoSpaceDE/>
              <w:autoSpaceDN/>
              <w:bidi w:val="0"/>
              <w:adjustRightInd w:val="0"/>
              <w:snapToGrid w:val="0"/>
              <w:spacing w:before="125" w:line="234" w:lineRule="auto"/>
              <w:ind w:left="925"/>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超标率（</w:t>
            </w:r>
            <w:r>
              <w:rPr>
                <w:rFonts w:hint="default" w:ascii="Times New Roman" w:hAnsi="Times New Roman" w:eastAsia="Times New Roman" w:cs="Times New Roman"/>
                <w:color w:val="0000FF"/>
                <w:spacing w:val="-1"/>
                <w:highlight w:val="none"/>
              </w:rPr>
              <w:t>%</w:t>
            </w:r>
            <w:r>
              <w:rPr>
                <w:rFonts w:hint="default" w:ascii="Times New Roman" w:hAnsi="Times New Roman" w:cs="Times New Roman"/>
                <w:color w:val="0000FF"/>
                <w:spacing w:val="-1"/>
                <w:highlight w:val="none"/>
              </w:rPr>
              <w:t>）</w:t>
            </w:r>
          </w:p>
        </w:tc>
        <w:tc>
          <w:tcPr>
            <w:tcW w:w="2401" w:type="dxa"/>
            <w:tcBorders>
              <w:tl2br w:val="nil"/>
              <w:tr2bl w:val="nil"/>
            </w:tcBorders>
            <w:vAlign w:val="center"/>
          </w:tcPr>
          <w:p w14:paraId="4DA49DE3">
            <w:pPr>
              <w:keepNext w:val="0"/>
              <w:keepLines w:val="0"/>
              <w:pageBreakBefore w:val="0"/>
              <w:widowControl/>
              <w:kinsoku/>
              <w:wordWrap w:val="0"/>
              <w:overflowPunct/>
              <w:topLinePunct/>
              <w:autoSpaceDE/>
              <w:autoSpaceDN/>
              <w:bidi w:val="0"/>
              <w:adjustRightInd w:val="0"/>
              <w:snapToGrid w:val="0"/>
              <w:spacing w:before="152" w:line="234" w:lineRule="auto"/>
              <w:ind w:left="1150"/>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c>
          <w:tcPr>
            <w:tcW w:w="2396" w:type="dxa"/>
            <w:tcBorders>
              <w:tl2br w:val="nil"/>
              <w:tr2bl w:val="nil"/>
            </w:tcBorders>
            <w:vAlign w:val="center"/>
          </w:tcPr>
          <w:p w14:paraId="7E8A83C0">
            <w:pPr>
              <w:keepNext w:val="0"/>
              <w:keepLines w:val="0"/>
              <w:pageBreakBefore w:val="0"/>
              <w:widowControl/>
              <w:kinsoku/>
              <w:wordWrap w:val="0"/>
              <w:overflowPunct/>
              <w:topLinePunct/>
              <w:autoSpaceDE/>
              <w:autoSpaceDN/>
              <w:bidi w:val="0"/>
              <w:adjustRightInd w:val="0"/>
              <w:snapToGrid w:val="0"/>
              <w:spacing w:before="152" w:line="234" w:lineRule="auto"/>
              <w:ind w:left="1148"/>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r>
      <w:tr w14:paraId="4EDD99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4D153C89">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3B4236EA">
            <w:pPr>
              <w:pStyle w:val="35"/>
              <w:keepNext w:val="0"/>
              <w:keepLines w:val="0"/>
              <w:pageBreakBefore w:val="0"/>
              <w:widowControl/>
              <w:kinsoku/>
              <w:wordWrap w:val="0"/>
              <w:overflowPunct/>
              <w:topLinePunct/>
              <w:autoSpaceDE/>
              <w:autoSpaceDN/>
              <w:bidi w:val="0"/>
              <w:adjustRightInd w:val="0"/>
              <w:snapToGrid w:val="0"/>
              <w:spacing w:before="123" w:line="221" w:lineRule="auto"/>
              <w:ind w:left="909"/>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2"/>
                <w:highlight w:val="none"/>
              </w:rPr>
              <w:t>最大超标倍数</w:t>
            </w:r>
          </w:p>
        </w:tc>
        <w:tc>
          <w:tcPr>
            <w:tcW w:w="2401" w:type="dxa"/>
            <w:tcBorders>
              <w:tl2br w:val="nil"/>
              <w:tr2bl w:val="nil"/>
            </w:tcBorders>
            <w:vAlign w:val="center"/>
          </w:tcPr>
          <w:p w14:paraId="76AA77F4">
            <w:pPr>
              <w:keepNext w:val="0"/>
              <w:keepLines w:val="0"/>
              <w:pageBreakBefore w:val="0"/>
              <w:widowControl/>
              <w:kinsoku/>
              <w:wordWrap w:val="0"/>
              <w:overflowPunct/>
              <w:topLinePunct/>
              <w:autoSpaceDE/>
              <w:autoSpaceDN/>
              <w:bidi w:val="0"/>
              <w:adjustRightInd w:val="0"/>
              <w:snapToGrid w:val="0"/>
              <w:spacing w:before="152" w:line="233" w:lineRule="auto"/>
              <w:ind w:left="1167"/>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w:t>
            </w:r>
          </w:p>
        </w:tc>
        <w:tc>
          <w:tcPr>
            <w:tcW w:w="2396" w:type="dxa"/>
            <w:tcBorders>
              <w:tl2br w:val="nil"/>
              <w:tr2bl w:val="nil"/>
            </w:tcBorders>
            <w:vAlign w:val="center"/>
          </w:tcPr>
          <w:p w14:paraId="234FCD4C">
            <w:pPr>
              <w:keepNext w:val="0"/>
              <w:keepLines w:val="0"/>
              <w:pageBreakBefore w:val="0"/>
              <w:widowControl/>
              <w:kinsoku/>
              <w:wordWrap w:val="0"/>
              <w:overflowPunct/>
              <w:topLinePunct/>
              <w:autoSpaceDE/>
              <w:autoSpaceDN/>
              <w:bidi w:val="0"/>
              <w:adjustRightInd w:val="0"/>
              <w:snapToGrid w:val="0"/>
              <w:spacing w:before="152" w:line="233" w:lineRule="auto"/>
              <w:ind w:left="1164"/>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w:t>
            </w:r>
          </w:p>
        </w:tc>
      </w:tr>
      <w:tr w14:paraId="6D7551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31641EBF">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74C4DED3">
            <w:pPr>
              <w:pStyle w:val="35"/>
              <w:keepNext w:val="0"/>
              <w:keepLines w:val="0"/>
              <w:pageBreakBefore w:val="0"/>
              <w:widowControl/>
              <w:kinsoku/>
              <w:wordWrap w:val="0"/>
              <w:overflowPunct/>
              <w:topLinePunct/>
              <w:autoSpaceDE/>
              <w:autoSpaceDN/>
              <w:bidi w:val="0"/>
              <w:adjustRightInd w:val="0"/>
              <w:snapToGrid w:val="0"/>
              <w:spacing w:before="126" w:line="234" w:lineRule="auto"/>
              <w:ind w:left="507"/>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最大占标百分比（</w:t>
            </w:r>
            <w:r>
              <w:rPr>
                <w:rFonts w:hint="default" w:ascii="Times New Roman" w:hAnsi="Times New Roman" w:eastAsia="Times New Roman" w:cs="Times New Roman"/>
                <w:color w:val="0000FF"/>
                <w:spacing w:val="-1"/>
                <w:highlight w:val="none"/>
              </w:rPr>
              <w:t>%</w:t>
            </w:r>
            <w:r>
              <w:rPr>
                <w:rFonts w:hint="default" w:ascii="Times New Roman" w:hAnsi="Times New Roman" w:cs="Times New Roman"/>
                <w:color w:val="0000FF"/>
                <w:spacing w:val="-1"/>
                <w:highlight w:val="none"/>
              </w:rPr>
              <w:t>）</w:t>
            </w:r>
          </w:p>
        </w:tc>
        <w:tc>
          <w:tcPr>
            <w:tcW w:w="2401" w:type="dxa"/>
            <w:tcBorders>
              <w:tl2br w:val="nil"/>
              <w:tr2bl w:val="nil"/>
            </w:tcBorders>
            <w:vAlign w:val="center"/>
          </w:tcPr>
          <w:p w14:paraId="5BEDE7CD">
            <w:pPr>
              <w:keepNext w:val="0"/>
              <w:keepLines w:val="0"/>
              <w:pageBreakBefore w:val="0"/>
              <w:widowControl/>
              <w:kinsoku/>
              <w:wordWrap w:val="0"/>
              <w:overflowPunct/>
              <w:topLinePunct/>
              <w:autoSpaceDE/>
              <w:autoSpaceDN/>
              <w:bidi w:val="0"/>
              <w:adjustRightInd w:val="0"/>
              <w:snapToGrid w:val="0"/>
              <w:spacing w:before="153" w:line="233" w:lineRule="auto"/>
              <w:ind w:left="1167"/>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w:t>
            </w:r>
          </w:p>
        </w:tc>
        <w:tc>
          <w:tcPr>
            <w:tcW w:w="2396" w:type="dxa"/>
            <w:tcBorders>
              <w:tl2br w:val="nil"/>
              <w:tr2bl w:val="nil"/>
            </w:tcBorders>
            <w:vAlign w:val="center"/>
          </w:tcPr>
          <w:p w14:paraId="77EF9AAF">
            <w:pPr>
              <w:keepNext w:val="0"/>
              <w:keepLines w:val="0"/>
              <w:pageBreakBefore w:val="0"/>
              <w:widowControl/>
              <w:kinsoku/>
              <w:wordWrap w:val="0"/>
              <w:overflowPunct/>
              <w:topLinePunct/>
              <w:autoSpaceDE/>
              <w:autoSpaceDN/>
              <w:bidi w:val="0"/>
              <w:adjustRightInd w:val="0"/>
              <w:snapToGrid w:val="0"/>
              <w:spacing w:before="153" w:line="233" w:lineRule="auto"/>
              <w:ind w:left="1164"/>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w:t>
            </w:r>
          </w:p>
        </w:tc>
      </w:tr>
      <w:tr w14:paraId="1E02FD7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restart"/>
            <w:tcBorders>
              <w:tl2br w:val="nil"/>
              <w:tr2bl w:val="nil"/>
            </w:tcBorders>
            <w:vAlign w:val="center"/>
          </w:tcPr>
          <w:p w14:paraId="238F1A3C">
            <w:pPr>
              <w:pStyle w:val="35"/>
              <w:keepNext w:val="0"/>
              <w:keepLines w:val="0"/>
              <w:pageBreakBefore w:val="0"/>
              <w:widowControl/>
              <w:kinsoku/>
              <w:wordWrap w:val="0"/>
              <w:overflowPunct/>
              <w:topLinePunct/>
              <w:autoSpaceDE/>
              <w:autoSpaceDN/>
              <w:bidi w:val="0"/>
              <w:adjustRightInd w:val="0"/>
              <w:snapToGrid w:val="0"/>
              <w:spacing w:before="69" w:line="241" w:lineRule="auto"/>
              <w:ind w:right="138"/>
              <w:jc w:val="center"/>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3"/>
                <w:highlight w:val="none"/>
              </w:rPr>
              <w:t>总悬浮颗</w:t>
            </w:r>
            <w:r>
              <w:rPr>
                <w:rFonts w:hint="default" w:ascii="Times New Roman" w:hAnsi="Times New Roman" w:cs="Times New Roman"/>
                <w:color w:val="0000FF"/>
                <w:spacing w:val="-2"/>
                <w:highlight w:val="none"/>
              </w:rPr>
              <w:t>粒物</w:t>
            </w:r>
          </w:p>
        </w:tc>
        <w:tc>
          <w:tcPr>
            <w:tcW w:w="3063" w:type="dxa"/>
            <w:tcBorders>
              <w:tl2br w:val="nil"/>
              <w:tr2bl w:val="nil"/>
            </w:tcBorders>
            <w:vAlign w:val="center"/>
          </w:tcPr>
          <w:p w14:paraId="093938DF">
            <w:pPr>
              <w:pStyle w:val="35"/>
              <w:keepNext w:val="0"/>
              <w:keepLines w:val="0"/>
              <w:pageBreakBefore w:val="0"/>
              <w:widowControl/>
              <w:kinsoku/>
              <w:wordWrap w:val="0"/>
              <w:overflowPunct/>
              <w:topLinePunct/>
              <w:autoSpaceDE/>
              <w:autoSpaceDN/>
              <w:bidi w:val="0"/>
              <w:adjustRightInd w:val="0"/>
              <w:snapToGrid w:val="0"/>
              <w:spacing w:before="111" w:line="227" w:lineRule="auto"/>
              <w:ind w:left="452"/>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4"/>
                <w:highlight w:val="none"/>
              </w:rPr>
              <w:t>日均浓度范围（</w:t>
            </w:r>
            <w:r>
              <w:rPr>
                <w:rFonts w:hint="default" w:ascii="Times New Roman" w:hAnsi="Times New Roman" w:eastAsia="Times New Roman" w:cs="Times New Roman"/>
                <w:color w:val="0000FF"/>
                <w:spacing w:val="-4"/>
                <w:highlight w:val="none"/>
              </w:rPr>
              <w:t>mg/m</w:t>
            </w:r>
            <w:r>
              <w:rPr>
                <w:rFonts w:hint="default" w:ascii="Times New Roman" w:hAnsi="Times New Roman" w:eastAsia="Times New Roman" w:cs="Times New Roman"/>
                <w:color w:val="0000FF"/>
                <w:spacing w:val="-4"/>
                <w:position w:val="9"/>
                <w:sz w:val="13"/>
                <w:szCs w:val="13"/>
                <w:highlight w:val="none"/>
              </w:rPr>
              <w:t>3</w:t>
            </w:r>
            <w:r>
              <w:rPr>
                <w:rFonts w:hint="default" w:ascii="Times New Roman" w:hAnsi="Times New Roman" w:cs="Times New Roman"/>
                <w:color w:val="0000FF"/>
                <w:spacing w:val="-4"/>
                <w:highlight w:val="none"/>
              </w:rPr>
              <w:t>）</w:t>
            </w:r>
          </w:p>
        </w:tc>
        <w:tc>
          <w:tcPr>
            <w:tcW w:w="2401" w:type="dxa"/>
            <w:tcBorders>
              <w:tl2br w:val="nil"/>
              <w:tr2bl w:val="nil"/>
            </w:tcBorders>
            <w:vAlign w:val="center"/>
          </w:tcPr>
          <w:p w14:paraId="027EC5AE">
            <w:pPr>
              <w:keepNext w:val="0"/>
              <w:keepLines w:val="0"/>
              <w:pageBreakBefore w:val="0"/>
              <w:widowControl/>
              <w:kinsoku/>
              <w:wordWrap w:val="0"/>
              <w:overflowPunct/>
              <w:topLinePunct/>
              <w:autoSpaceDE/>
              <w:autoSpaceDN/>
              <w:bidi w:val="0"/>
              <w:adjustRightInd w:val="0"/>
              <w:snapToGrid w:val="0"/>
              <w:spacing w:before="157" w:line="233" w:lineRule="auto"/>
              <w:ind w:left="675"/>
              <w:jc w:val="left"/>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Times New Roman" w:cs="Times New Roman"/>
                <w:color w:val="0000FF"/>
                <w:spacing w:val="-1"/>
                <w:sz w:val="21"/>
                <w:szCs w:val="21"/>
                <w:highlight w:val="none"/>
              </w:rPr>
              <w:t>0.</w:t>
            </w:r>
            <w:r>
              <w:rPr>
                <w:rFonts w:hint="default" w:ascii="Times New Roman" w:hAnsi="Times New Roman" w:eastAsia="宋体" w:cs="Times New Roman"/>
                <w:color w:val="0000FF"/>
                <w:spacing w:val="-1"/>
                <w:sz w:val="21"/>
                <w:szCs w:val="21"/>
                <w:highlight w:val="none"/>
                <w:lang w:val="en-US" w:eastAsia="zh-CN"/>
              </w:rPr>
              <w:t>162</w:t>
            </w:r>
            <w:r>
              <w:rPr>
                <w:rFonts w:hint="default" w:ascii="Times New Roman" w:hAnsi="Times New Roman" w:eastAsia="Times New Roman" w:cs="Times New Roman"/>
                <w:color w:val="0000FF"/>
                <w:spacing w:val="-1"/>
                <w:sz w:val="21"/>
                <w:szCs w:val="21"/>
                <w:highlight w:val="none"/>
              </w:rPr>
              <w:t>~0.1</w:t>
            </w:r>
            <w:r>
              <w:rPr>
                <w:rFonts w:hint="default" w:ascii="Times New Roman" w:hAnsi="Times New Roman" w:eastAsia="宋体" w:cs="Times New Roman"/>
                <w:color w:val="0000FF"/>
                <w:spacing w:val="-1"/>
                <w:sz w:val="21"/>
                <w:szCs w:val="21"/>
                <w:highlight w:val="none"/>
                <w:lang w:val="en-US" w:eastAsia="zh-CN"/>
              </w:rPr>
              <w:t>87</w:t>
            </w:r>
          </w:p>
        </w:tc>
        <w:tc>
          <w:tcPr>
            <w:tcW w:w="2396" w:type="dxa"/>
            <w:tcBorders>
              <w:tl2br w:val="nil"/>
              <w:tr2bl w:val="nil"/>
            </w:tcBorders>
            <w:vAlign w:val="center"/>
          </w:tcPr>
          <w:p w14:paraId="2B5F20E6">
            <w:pPr>
              <w:keepNext w:val="0"/>
              <w:keepLines w:val="0"/>
              <w:pageBreakBefore w:val="0"/>
              <w:widowControl/>
              <w:kinsoku/>
              <w:wordWrap w:val="0"/>
              <w:overflowPunct/>
              <w:topLinePunct/>
              <w:autoSpaceDE/>
              <w:autoSpaceDN/>
              <w:bidi w:val="0"/>
              <w:adjustRightInd w:val="0"/>
              <w:snapToGrid w:val="0"/>
              <w:spacing w:before="157" w:line="233" w:lineRule="auto"/>
              <w:ind w:left="670"/>
              <w:jc w:val="left"/>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Times New Roman" w:cs="Times New Roman"/>
                <w:color w:val="0000FF"/>
                <w:spacing w:val="-1"/>
                <w:sz w:val="21"/>
                <w:szCs w:val="21"/>
                <w:highlight w:val="none"/>
              </w:rPr>
              <w:t>0.1</w:t>
            </w:r>
            <w:r>
              <w:rPr>
                <w:rFonts w:hint="default" w:ascii="Times New Roman" w:hAnsi="Times New Roman" w:eastAsia="宋体" w:cs="Times New Roman"/>
                <w:color w:val="0000FF"/>
                <w:spacing w:val="-1"/>
                <w:sz w:val="21"/>
                <w:szCs w:val="21"/>
                <w:highlight w:val="none"/>
                <w:lang w:val="en-US" w:eastAsia="zh-CN"/>
              </w:rPr>
              <w:t>90</w:t>
            </w:r>
            <w:r>
              <w:rPr>
                <w:rFonts w:hint="default" w:ascii="Times New Roman" w:hAnsi="Times New Roman" w:eastAsia="Times New Roman" w:cs="Times New Roman"/>
                <w:color w:val="0000FF"/>
                <w:spacing w:val="-1"/>
                <w:sz w:val="21"/>
                <w:szCs w:val="21"/>
                <w:highlight w:val="none"/>
              </w:rPr>
              <w:t>~0.</w:t>
            </w:r>
            <w:r>
              <w:rPr>
                <w:rFonts w:hint="default" w:ascii="Times New Roman" w:hAnsi="Times New Roman" w:eastAsia="宋体" w:cs="Times New Roman"/>
                <w:color w:val="0000FF"/>
                <w:spacing w:val="-1"/>
                <w:sz w:val="21"/>
                <w:szCs w:val="21"/>
                <w:highlight w:val="none"/>
                <w:lang w:val="en-US" w:eastAsia="zh-CN"/>
              </w:rPr>
              <w:t>219</w:t>
            </w:r>
          </w:p>
        </w:tc>
      </w:tr>
      <w:tr w14:paraId="17190F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5A4025BC">
            <w:pPr>
              <w:keepNext w:val="0"/>
              <w:keepLines w:val="0"/>
              <w:pageBreakBefore w:val="0"/>
              <w:widowControl/>
              <w:kinsoku/>
              <w:wordWrap w:val="0"/>
              <w:overflowPunct/>
              <w:topLinePunct/>
              <w:autoSpaceDE/>
              <w:autoSpaceDN/>
              <w:bidi w:val="0"/>
              <w:adjustRightInd w:val="0"/>
              <w:snapToGrid w:val="0"/>
              <w:jc w:val="left"/>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05C14304">
            <w:pPr>
              <w:pStyle w:val="35"/>
              <w:keepNext w:val="0"/>
              <w:keepLines w:val="0"/>
              <w:pageBreakBefore w:val="0"/>
              <w:widowControl/>
              <w:kinsoku/>
              <w:wordWrap w:val="0"/>
              <w:overflowPunct/>
              <w:topLinePunct/>
              <w:autoSpaceDE/>
              <w:autoSpaceDN/>
              <w:bidi w:val="0"/>
              <w:adjustRightInd w:val="0"/>
              <w:snapToGrid w:val="0"/>
              <w:spacing w:before="112" w:line="227" w:lineRule="auto"/>
              <w:ind w:left="452"/>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4"/>
                <w:highlight w:val="none"/>
              </w:rPr>
              <w:t>日均最大浓度（</w:t>
            </w:r>
            <w:r>
              <w:rPr>
                <w:rFonts w:hint="default" w:ascii="Times New Roman" w:hAnsi="Times New Roman" w:eastAsia="Times New Roman" w:cs="Times New Roman"/>
                <w:color w:val="0000FF"/>
                <w:spacing w:val="-4"/>
                <w:highlight w:val="none"/>
              </w:rPr>
              <w:t>mg/m</w:t>
            </w:r>
            <w:r>
              <w:rPr>
                <w:rFonts w:hint="default" w:ascii="Times New Roman" w:hAnsi="Times New Roman" w:eastAsia="Times New Roman" w:cs="Times New Roman"/>
                <w:color w:val="0000FF"/>
                <w:spacing w:val="-4"/>
                <w:position w:val="9"/>
                <w:sz w:val="13"/>
                <w:szCs w:val="13"/>
                <w:highlight w:val="none"/>
              </w:rPr>
              <w:t>3</w:t>
            </w:r>
            <w:r>
              <w:rPr>
                <w:rFonts w:hint="default" w:ascii="Times New Roman" w:hAnsi="Times New Roman" w:cs="Times New Roman"/>
                <w:color w:val="0000FF"/>
                <w:spacing w:val="-4"/>
                <w:highlight w:val="none"/>
              </w:rPr>
              <w:t>）</w:t>
            </w:r>
          </w:p>
        </w:tc>
        <w:tc>
          <w:tcPr>
            <w:tcW w:w="2401" w:type="dxa"/>
            <w:tcBorders>
              <w:tl2br w:val="nil"/>
              <w:tr2bl w:val="nil"/>
            </w:tcBorders>
            <w:vAlign w:val="center"/>
          </w:tcPr>
          <w:p w14:paraId="09867411">
            <w:pPr>
              <w:keepNext w:val="0"/>
              <w:keepLines w:val="0"/>
              <w:pageBreakBefore w:val="0"/>
              <w:widowControl/>
              <w:kinsoku/>
              <w:wordWrap w:val="0"/>
              <w:overflowPunct/>
              <w:topLinePunct/>
              <w:autoSpaceDE/>
              <w:autoSpaceDN/>
              <w:bidi w:val="0"/>
              <w:adjustRightInd w:val="0"/>
              <w:snapToGrid w:val="0"/>
              <w:spacing w:before="157" w:line="233" w:lineRule="auto"/>
              <w:ind w:left="968"/>
              <w:jc w:val="left"/>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Times New Roman" w:cs="Times New Roman"/>
                <w:color w:val="0000FF"/>
                <w:spacing w:val="-1"/>
                <w:sz w:val="21"/>
                <w:szCs w:val="21"/>
                <w:highlight w:val="none"/>
              </w:rPr>
              <w:t>0.1</w:t>
            </w:r>
            <w:r>
              <w:rPr>
                <w:rFonts w:hint="default" w:ascii="Times New Roman" w:hAnsi="Times New Roman" w:eastAsia="宋体" w:cs="Times New Roman"/>
                <w:color w:val="0000FF"/>
                <w:spacing w:val="-1"/>
                <w:sz w:val="21"/>
                <w:szCs w:val="21"/>
                <w:highlight w:val="none"/>
                <w:lang w:val="en-US" w:eastAsia="zh-CN"/>
              </w:rPr>
              <w:t>87</w:t>
            </w:r>
          </w:p>
        </w:tc>
        <w:tc>
          <w:tcPr>
            <w:tcW w:w="2396" w:type="dxa"/>
            <w:tcBorders>
              <w:tl2br w:val="nil"/>
              <w:tr2bl w:val="nil"/>
            </w:tcBorders>
            <w:vAlign w:val="center"/>
          </w:tcPr>
          <w:p w14:paraId="71133F21">
            <w:pPr>
              <w:keepNext w:val="0"/>
              <w:keepLines w:val="0"/>
              <w:pageBreakBefore w:val="0"/>
              <w:widowControl/>
              <w:kinsoku/>
              <w:wordWrap w:val="0"/>
              <w:overflowPunct/>
              <w:topLinePunct/>
              <w:autoSpaceDE/>
              <w:autoSpaceDN/>
              <w:bidi w:val="0"/>
              <w:adjustRightInd w:val="0"/>
              <w:snapToGrid w:val="0"/>
              <w:spacing w:before="157" w:line="233" w:lineRule="auto"/>
              <w:ind w:left="963"/>
              <w:jc w:val="left"/>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Times New Roman" w:cs="Times New Roman"/>
                <w:color w:val="0000FF"/>
                <w:spacing w:val="-1"/>
                <w:sz w:val="21"/>
                <w:szCs w:val="21"/>
                <w:highlight w:val="none"/>
              </w:rPr>
              <w:t>0.</w:t>
            </w:r>
            <w:r>
              <w:rPr>
                <w:rFonts w:hint="default" w:ascii="Times New Roman" w:hAnsi="Times New Roman" w:eastAsia="宋体" w:cs="Times New Roman"/>
                <w:color w:val="0000FF"/>
                <w:spacing w:val="-1"/>
                <w:sz w:val="21"/>
                <w:szCs w:val="21"/>
                <w:highlight w:val="none"/>
                <w:lang w:val="en-US" w:eastAsia="zh-CN"/>
              </w:rPr>
              <w:t>219</w:t>
            </w:r>
          </w:p>
        </w:tc>
      </w:tr>
      <w:tr w14:paraId="1CE66F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79079257">
            <w:pPr>
              <w:keepNext w:val="0"/>
              <w:keepLines w:val="0"/>
              <w:pageBreakBefore w:val="0"/>
              <w:widowControl/>
              <w:kinsoku/>
              <w:wordWrap w:val="0"/>
              <w:overflowPunct/>
              <w:topLinePunct/>
              <w:autoSpaceDE/>
              <w:autoSpaceDN/>
              <w:bidi w:val="0"/>
              <w:adjustRightInd w:val="0"/>
              <w:snapToGrid w:val="0"/>
              <w:jc w:val="left"/>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039CF0B3">
            <w:pPr>
              <w:pStyle w:val="35"/>
              <w:keepNext w:val="0"/>
              <w:keepLines w:val="0"/>
              <w:pageBreakBefore w:val="0"/>
              <w:widowControl/>
              <w:kinsoku/>
              <w:wordWrap w:val="0"/>
              <w:overflowPunct/>
              <w:topLinePunct/>
              <w:autoSpaceDE/>
              <w:autoSpaceDN/>
              <w:bidi w:val="0"/>
              <w:adjustRightInd w:val="0"/>
              <w:snapToGrid w:val="0"/>
              <w:spacing w:before="129" w:line="234" w:lineRule="auto"/>
              <w:ind w:left="925"/>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超标率（</w:t>
            </w:r>
            <w:r>
              <w:rPr>
                <w:rFonts w:hint="default" w:ascii="Times New Roman" w:hAnsi="Times New Roman" w:eastAsia="Times New Roman" w:cs="Times New Roman"/>
                <w:color w:val="0000FF"/>
                <w:spacing w:val="-1"/>
                <w:highlight w:val="none"/>
              </w:rPr>
              <w:t>%</w:t>
            </w:r>
            <w:r>
              <w:rPr>
                <w:rFonts w:hint="default" w:ascii="Times New Roman" w:hAnsi="Times New Roman" w:cs="Times New Roman"/>
                <w:color w:val="0000FF"/>
                <w:spacing w:val="-1"/>
                <w:highlight w:val="none"/>
              </w:rPr>
              <w:t>）</w:t>
            </w:r>
          </w:p>
        </w:tc>
        <w:tc>
          <w:tcPr>
            <w:tcW w:w="2401" w:type="dxa"/>
            <w:tcBorders>
              <w:tl2br w:val="nil"/>
              <w:tr2bl w:val="nil"/>
            </w:tcBorders>
            <w:vAlign w:val="center"/>
          </w:tcPr>
          <w:p w14:paraId="544EF6F0">
            <w:pPr>
              <w:keepNext w:val="0"/>
              <w:keepLines w:val="0"/>
              <w:pageBreakBefore w:val="0"/>
              <w:widowControl/>
              <w:kinsoku/>
              <w:wordWrap w:val="0"/>
              <w:overflowPunct/>
              <w:topLinePunct/>
              <w:autoSpaceDE/>
              <w:autoSpaceDN/>
              <w:bidi w:val="0"/>
              <w:adjustRightInd w:val="0"/>
              <w:snapToGrid w:val="0"/>
              <w:spacing w:before="158" w:line="234" w:lineRule="auto"/>
              <w:ind w:left="1150"/>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c>
          <w:tcPr>
            <w:tcW w:w="2396" w:type="dxa"/>
            <w:tcBorders>
              <w:tl2br w:val="nil"/>
              <w:tr2bl w:val="nil"/>
            </w:tcBorders>
            <w:vAlign w:val="center"/>
          </w:tcPr>
          <w:p w14:paraId="5924FED2">
            <w:pPr>
              <w:keepNext w:val="0"/>
              <w:keepLines w:val="0"/>
              <w:pageBreakBefore w:val="0"/>
              <w:widowControl/>
              <w:kinsoku/>
              <w:wordWrap w:val="0"/>
              <w:overflowPunct/>
              <w:topLinePunct/>
              <w:autoSpaceDE/>
              <w:autoSpaceDN/>
              <w:bidi w:val="0"/>
              <w:adjustRightInd w:val="0"/>
              <w:snapToGrid w:val="0"/>
              <w:spacing w:before="158" w:line="234" w:lineRule="auto"/>
              <w:ind w:left="1148"/>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0</w:t>
            </w:r>
          </w:p>
        </w:tc>
      </w:tr>
      <w:tr w14:paraId="3D8846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39A9F027">
            <w:pPr>
              <w:keepNext w:val="0"/>
              <w:keepLines w:val="0"/>
              <w:pageBreakBefore w:val="0"/>
              <w:widowControl/>
              <w:kinsoku/>
              <w:wordWrap w:val="0"/>
              <w:overflowPunct/>
              <w:topLinePunct/>
              <w:autoSpaceDE/>
              <w:autoSpaceDN/>
              <w:bidi w:val="0"/>
              <w:adjustRightInd w:val="0"/>
              <w:snapToGrid w:val="0"/>
              <w:jc w:val="left"/>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35F881D5">
            <w:pPr>
              <w:pStyle w:val="35"/>
              <w:keepNext w:val="0"/>
              <w:keepLines w:val="0"/>
              <w:pageBreakBefore w:val="0"/>
              <w:widowControl/>
              <w:kinsoku/>
              <w:wordWrap w:val="0"/>
              <w:overflowPunct/>
              <w:topLinePunct/>
              <w:autoSpaceDE/>
              <w:autoSpaceDN/>
              <w:bidi w:val="0"/>
              <w:adjustRightInd w:val="0"/>
              <w:snapToGrid w:val="0"/>
              <w:spacing w:before="129" w:line="221" w:lineRule="auto"/>
              <w:ind w:left="909"/>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2"/>
                <w:highlight w:val="none"/>
              </w:rPr>
              <w:t>最大超标倍数</w:t>
            </w:r>
          </w:p>
        </w:tc>
        <w:tc>
          <w:tcPr>
            <w:tcW w:w="2401" w:type="dxa"/>
            <w:tcBorders>
              <w:tl2br w:val="nil"/>
              <w:tr2bl w:val="nil"/>
            </w:tcBorders>
            <w:vAlign w:val="center"/>
          </w:tcPr>
          <w:p w14:paraId="03408320">
            <w:pPr>
              <w:keepNext w:val="0"/>
              <w:keepLines w:val="0"/>
              <w:pageBreakBefore w:val="0"/>
              <w:widowControl/>
              <w:kinsoku/>
              <w:wordWrap w:val="0"/>
              <w:overflowPunct/>
              <w:topLinePunct/>
              <w:autoSpaceDE/>
              <w:autoSpaceDN/>
              <w:bidi w:val="0"/>
              <w:adjustRightInd w:val="0"/>
              <w:snapToGrid w:val="0"/>
              <w:spacing w:before="160" w:line="233" w:lineRule="auto"/>
              <w:ind w:left="1167"/>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w:t>
            </w:r>
          </w:p>
        </w:tc>
        <w:tc>
          <w:tcPr>
            <w:tcW w:w="2396" w:type="dxa"/>
            <w:tcBorders>
              <w:tl2br w:val="nil"/>
              <w:tr2bl w:val="nil"/>
            </w:tcBorders>
            <w:vAlign w:val="center"/>
          </w:tcPr>
          <w:p w14:paraId="7F995CE5">
            <w:pPr>
              <w:keepNext w:val="0"/>
              <w:keepLines w:val="0"/>
              <w:pageBreakBefore w:val="0"/>
              <w:widowControl/>
              <w:kinsoku/>
              <w:wordWrap w:val="0"/>
              <w:overflowPunct/>
              <w:topLinePunct/>
              <w:autoSpaceDE/>
              <w:autoSpaceDN/>
              <w:bidi w:val="0"/>
              <w:adjustRightInd w:val="0"/>
              <w:snapToGrid w:val="0"/>
              <w:spacing w:before="160" w:line="233" w:lineRule="auto"/>
              <w:ind w:left="1164"/>
              <w:jc w:val="left"/>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w:t>
            </w:r>
          </w:p>
        </w:tc>
      </w:tr>
      <w:tr w14:paraId="1B5EA0E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1125" w:type="dxa"/>
            <w:vMerge w:val="continue"/>
            <w:tcBorders>
              <w:tl2br w:val="nil"/>
              <w:tr2bl w:val="nil"/>
            </w:tcBorders>
            <w:vAlign w:val="center"/>
          </w:tcPr>
          <w:p w14:paraId="7C174892">
            <w:pPr>
              <w:keepNext w:val="0"/>
              <w:keepLines w:val="0"/>
              <w:pageBreakBefore w:val="0"/>
              <w:widowControl/>
              <w:kinsoku/>
              <w:wordWrap w:val="0"/>
              <w:overflowPunct/>
              <w:topLinePunct/>
              <w:autoSpaceDE/>
              <w:autoSpaceDN/>
              <w:bidi w:val="0"/>
              <w:adjustRightInd w:val="0"/>
              <w:snapToGrid w:val="0"/>
              <w:jc w:val="left"/>
              <w:textAlignment w:val="baseline"/>
              <w:rPr>
                <w:rFonts w:hint="default" w:ascii="Times New Roman" w:hAnsi="Times New Roman" w:cs="Times New Roman"/>
                <w:color w:val="0000FF"/>
                <w:sz w:val="21"/>
                <w:highlight w:val="none"/>
              </w:rPr>
            </w:pPr>
          </w:p>
        </w:tc>
        <w:tc>
          <w:tcPr>
            <w:tcW w:w="3063" w:type="dxa"/>
            <w:tcBorders>
              <w:tl2br w:val="nil"/>
              <w:tr2bl w:val="nil"/>
            </w:tcBorders>
            <w:vAlign w:val="center"/>
          </w:tcPr>
          <w:p w14:paraId="01288A01">
            <w:pPr>
              <w:pStyle w:val="35"/>
              <w:keepNext w:val="0"/>
              <w:keepLines w:val="0"/>
              <w:pageBreakBefore w:val="0"/>
              <w:widowControl/>
              <w:kinsoku/>
              <w:wordWrap w:val="0"/>
              <w:overflowPunct/>
              <w:topLinePunct/>
              <w:autoSpaceDE/>
              <w:autoSpaceDN/>
              <w:bidi w:val="0"/>
              <w:adjustRightInd w:val="0"/>
              <w:snapToGrid w:val="0"/>
              <w:spacing w:before="131" w:line="234" w:lineRule="auto"/>
              <w:ind w:left="507"/>
              <w:jc w:val="left"/>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最大占标百分比（</w:t>
            </w:r>
            <w:r>
              <w:rPr>
                <w:rFonts w:hint="default" w:ascii="Times New Roman" w:hAnsi="Times New Roman" w:eastAsia="Times New Roman" w:cs="Times New Roman"/>
                <w:color w:val="0000FF"/>
                <w:spacing w:val="-1"/>
                <w:highlight w:val="none"/>
              </w:rPr>
              <w:t>%</w:t>
            </w:r>
            <w:r>
              <w:rPr>
                <w:rFonts w:hint="default" w:ascii="Times New Roman" w:hAnsi="Times New Roman" w:cs="Times New Roman"/>
                <w:color w:val="0000FF"/>
                <w:spacing w:val="-1"/>
                <w:highlight w:val="none"/>
              </w:rPr>
              <w:t>）</w:t>
            </w:r>
          </w:p>
        </w:tc>
        <w:tc>
          <w:tcPr>
            <w:tcW w:w="2401" w:type="dxa"/>
            <w:tcBorders>
              <w:tl2br w:val="nil"/>
              <w:tr2bl w:val="nil"/>
            </w:tcBorders>
            <w:vAlign w:val="center"/>
          </w:tcPr>
          <w:p w14:paraId="257DC7C8">
            <w:pPr>
              <w:keepNext w:val="0"/>
              <w:keepLines w:val="0"/>
              <w:pageBreakBefore w:val="0"/>
              <w:widowControl/>
              <w:kinsoku/>
              <w:wordWrap w:val="0"/>
              <w:overflowPunct/>
              <w:topLinePunct/>
              <w:autoSpaceDE/>
              <w:autoSpaceDN/>
              <w:bidi w:val="0"/>
              <w:adjustRightInd w:val="0"/>
              <w:snapToGrid w:val="0"/>
              <w:spacing w:before="160" w:line="233" w:lineRule="auto"/>
              <w:ind w:left="1016"/>
              <w:jc w:val="left"/>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宋体" w:cs="Times New Roman"/>
                <w:color w:val="0000FF"/>
                <w:spacing w:val="-1"/>
                <w:sz w:val="21"/>
                <w:szCs w:val="21"/>
                <w:highlight w:val="none"/>
                <w:lang w:val="en-US" w:eastAsia="zh-CN"/>
              </w:rPr>
              <w:t>62.3</w:t>
            </w:r>
          </w:p>
        </w:tc>
        <w:tc>
          <w:tcPr>
            <w:tcW w:w="2396" w:type="dxa"/>
            <w:tcBorders>
              <w:tl2br w:val="nil"/>
              <w:tr2bl w:val="nil"/>
            </w:tcBorders>
            <w:vAlign w:val="center"/>
          </w:tcPr>
          <w:p w14:paraId="4B1CF101">
            <w:pPr>
              <w:keepNext w:val="0"/>
              <w:keepLines w:val="0"/>
              <w:pageBreakBefore w:val="0"/>
              <w:widowControl/>
              <w:kinsoku/>
              <w:wordWrap w:val="0"/>
              <w:overflowPunct/>
              <w:topLinePunct/>
              <w:autoSpaceDE/>
              <w:autoSpaceDN/>
              <w:bidi w:val="0"/>
              <w:adjustRightInd w:val="0"/>
              <w:snapToGrid w:val="0"/>
              <w:spacing w:before="160" w:line="233" w:lineRule="auto"/>
              <w:ind w:left="1011"/>
              <w:jc w:val="left"/>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宋体" w:cs="Times New Roman"/>
                <w:color w:val="0000FF"/>
                <w:spacing w:val="-1"/>
                <w:sz w:val="21"/>
                <w:szCs w:val="21"/>
                <w:highlight w:val="none"/>
                <w:lang w:val="en-US" w:eastAsia="zh-CN"/>
              </w:rPr>
              <w:t>73</w:t>
            </w:r>
          </w:p>
        </w:tc>
      </w:tr>
    </w:tbl>
    <w:p w14:paraId="31364C46">
      <w:pPr>
        <w:keepNext w:val="0"/>
        <w:keepLines w:val="0"/>
        <w:pageBreakBefore w:val="0"/>
        <w:widowControl/>
        <w:kinsoku/>
        <w:wordWrap w:val="0"/>
        <w:overflowPunct/>
        <w:topLinePunct/>
        <w:autoSpaceDE/>
        <w:autoSpaceDN/>
        <w:bidi w:val="0"/>
        <w:adjustRightInd w:val="0"/>
        <w:snapToGrid w:val="0"/>
        <w:spacing w:line="360" w:lineRule="auto"/>
        <w:ind w:left="0" w:right="0" w:firstLine="482"/>
        <w:jc w:val="both"/>
        <w:textAlignment w:val="baseline"/>
        <w:rPr>
          <w:rFonts w:hint="default" w:ascii="Times New Roman" w:hAnsi="Times New Roman" w:eastAsia="宋体" w:cs="Times New Roman"/>
          <w:color w:val="0000FF"/>
          <w:sz w:val="24"/>
          <w:szCs w:val="24"/>
          <w:highlight w:val="none"/>
        </w:rPr>
      </w:pPr>
      <w:r>
        <w:rPr>
          <w:rFonts w:hint="default" w:ascii="Times New Roman" w:hAnsi="Times New Roman" w:eastAsia="宋体" w:cs="Times New Roman"/>
          <w:color w:val="0000FF"/>
          <w:spacing w:val="-3"/>
          <w:sz w:val="24"/>
          <w:szCs w:val="24"/>
          <w:highlight w:val="none"/>
        </w:rPr>
        <w:t>评价结果表明，评价区内氨和硫化氢占标百分比</w:t>
      </w:r>
      <w:r>
        <w:rPr>
          <w:rFonts w:hint="default" w:ascii="Times New Roman" w:hAnsi="Times New Roman" w:eastAsia="Times New Roman" w:cs="Times New Roman"/>
          <w:color w:val="0000FF"/>
          <w:spacing w:val="-3"/>
          <w:sz w:val="24"/>
          <w:szCs w:val="24"/>
          <w:highlight w:val="none"/>
        </w:rPr>
        <w:t>Pi</w:t>
      </w:r>
      <w:r>
        <w:rPr>
          <w:rFonts w:hint="default" w:ascii="Times New Roman" w:hAnsi="Times New Roman" w:eastAsia="宋体" w:cs="Times New Roman"/>
          <w:color w:val="0000FF"/>
          <w:spacing w:val="-3"/>
          <w:sz w:val="24"/>
          <w:szCs w:val="24"/>
          <w:highlight w:val="none"/>
        </w:rPr>
        <w:t>均无大</w:t>
      </w:r>
      <w:r>
        <w:rPr>
          <w:rFonts w:hint="default" w:ascii="Times New Roman" w:hAnsi="Times New Roman" w:eastAsia="宋体" w:cs="Times New Roman"/>
          <w:color w:val="0000FF"/>
          <w:spacing w:val="-4"/>
          <w:sz w:val="24"/>
          <w:szCs w:val="24"/>
          <w:highlight w:val="none"/>
        </w:rPr>
        <w:t>于</w:t>
      </w:r>
      <w:r>
        <w:rPr>
          <w:rFonts w:hint="default" w:ascii="Times New Roman" w:hAnsi="Times New Roman" w:eastAsia="Times New Roman" w:cs="Times New Roman"/>
          <w:color w:val="0000FF"/>
          <w:spacing w:val="-4"/>
          <w:sz w:val="24"/>
          <w:szCs w:val="24"/>
          <w:highlight w:val="none"/>
        </w:rPr>
        <w:t>100%</w:t>
      </w:r>
      <w:r>
        <w:rPr>
          <w:rFonts w:hint="default" w:ascii="Times New Roman" w:hAnsi="Times New Roman" w:eastAsia="宋体" w:cs="Times New Roman"/>
          <w:color w:val="0000FF"/>
          <w:spacing w:val="-4"/>
          <w:sz w:val="24"/>
          <w:szCs w:val="24"/>
          <w:highlight w:val="none"/>
        </w:rPr>
        <w:t>情况出现，均能</w:t>
      </w:r>
      <w:r>
        <w:rPr>
          <w:rFonts w:hint="default" w:ascii="Times New Roman" w:hAnsi="Times New Roman" w:eastAsia="宋体" w:cs="Times New Roman"/>
          <w:color w:val="0000FF"/>
          <w:sz w:val="24"/>
          <w:szCs w:val="24"/>
          <w:highlight w:val="none"/>
        </w:rPr>
        <w:t>够满足《环境影响评价技术导则大气环境》（</w:t>
      </w:r>
      <w:r>
        <w:rPr>
          <w:rFonts w:hint="default" w:ascii="Times New Roman" w:hAnsi="Times New Roman" w:eastAsia="Times New Roman" w:cs="Times New Roman"/>
          <w:color w:val="0000FF"/>
          <w:sz w:val="24"/>
          <w:szCs w:val="24"/>
          <w:highlight w:val="none"/>
        </w:rPr>
        <w:t>HJ2.2—201</w:t>
      </w:r>
      <w:r>
        <w:rPr>
          <w:rFonts w:hint="default" w:ascii="Times New Roman" w:hAnsi="Times New Roman" w:eastAsia="Times New Roman" w:cs="Times New Roman"/>
          <w:color w:val="0000FF"/>
          <w:spacing w:val="-1"/>
          <w:sz w:val="24"/>
          <w:szCs w:val="24"/>
          <w:highlight w:val="none"/>
        </w:rPr>
        <w:t>8</w:t>
      </w:r>
      <w:r>
        <w:rPr>
          <w:rFonts w:hint="default" w:ascii="Times New Roman" w:hAnsi="Times New Roman" w:eastAsia="宋体" w:cs="Times New Roman"/>
          <w:color w:val="0000FF"/>
          <w:spacing w:val="-1"/>
          <w:sz w:val="24"/>
          <w:szCs w:val="24"/>
          <w:highlight w:val="none"/>
        </w:rPr>
        <w:t>）中附录</w:t>
      </w:r>
      <w:r>
        <w:rPr>
          <w:rFonts w:hint="default" w:ascii="Times New Roman" w:hAnsi="Times New Roman" w:eastAsia="Times New Roman" w:cs="Times New Roman"/>
          <w:color w:val="0000FF"/>
          <w:spacing w:val="-1"/>
          <w:sz w:val="24"/>
          <w:szCs w:val="24"/>
          <w:highlight w:val="none"/>
        </w:rPr>
        <w:t>D</w:t>
      </w:r>
      <w:r>
        <w:rPr>
          <w:rFonts w:hint="default" w:ascii="Times New Roman" w:hAnsi="Times New Roman" w:eastAsia="宋体" w:cs="Times New Roman"/>
          <w:color w:val="0000FF"/>
          <w:spacing w:val="-1"/>
          <w:sz w:val="24"/>
          <w:szCs w:val="24"/>
          <w:highlight w:val="none"/>
        </w:rPr>
        <w:t>其他污染物空气质量浓度参考限值</w:t>
      </w:r>
      <w:r>
        <w:rPr>
          <w:rFonts w:hint="eastAsia" w:ascii="Times New Roman" w:hAnsi="Times New Roman" w:eastAsia="宋体" w:cs="Times New Roman"/>
          <w:color w:val="0000FF"/>
          <w:spacing w:val="-1"/>
          <w:sz w:val="24"/>
          <w:szCs w:val="24"/>
          <w:highlight w:val="none"/>
          <w:lang w:eastAsia="zh-CN"/>
        </w:rPr>
        <w:t>，</w:t>
      </w:r>
      <w:r>
        <w:rPr>
          <w:rFonts w:hint="eastAsia" w:ascii="Times New Roman" w:hAnsi="Times New Roman" w:eastAsia="宋体" w:cs="Times New Roman"/>
          <w:color w:val="0000FF"/>
          <w:spacing w:val="-3"/>
          <w:sz w:val="24"/>
          <w:szCs w:val="24"/>
          <w:highlight w:val="none"/>
          <w:lang w:val="en-US" w:eastAsia="zh-CN"/>
        </w:rPr>
        <w:t>总悬浮颗粒</w:t>
      </w:r>
      <w:r>
        <w:rPr>
          <w:rFonts w:hint="eastAsia" w:ascii="Times New Roman" w:hAnsi="Times New Roman" w:eastAsia="宋体" w:cs="Times New Roman"/>
          <w:color w:val="0000FF"/>
          <w:sz w:val="24"/>
          <w:szCs w:val="24"/>
          <w:highlight w:val="none"/>
          <w:lang w:val="en-US" w:eastAsia="zh-CN"/>
        </w:rPr>
        <w:t>物满足《环境空气质量标准》（</w:t>
      </w:r>
      <w:r>
        <w:rPr>
          <w:rFonts w:hint="default" w:ascii="Times New Roman" w:hAnsi="Times New Roman" w:eastAsia="宋体" w:cs="Times New Roman"/>
          <w:color w:val="0000FF"/>
          <w:sz w:val="24"/>
          <w:szCs w:val="24"/>
          <w:highlight w:val="none"/>
          <w:lang w:val="en-US" w:eastAsia="zh-CN"/>
        </w:rPr>
        <w:t>GB3095-2012</w:t>
      </w:r>
      <w:r>
        <w:rPr>
          <w:rFonts w:hint="eastAsia" w:ascii="Times New Roman" w:hAnsi="Times New Roman" w:eastAsia="宋体" w:cs="Times New Roman"/>
          <w:color w:val="0000FF"/>
          <w:sz w:val="24"/>
          <w:szCs w:val="24"/>
          <w:highlight w:val="none"/>
          <w:lang w:val="en-US" w:eastAsia="zh-CN"/>
        </w:rPr>
        <w:t>）（修改单）二级标准</w:t>
      </w:r>
      <w:r>
        <w:rPr>
          <w:rFonts w:hint="eastAsia" w:ascii="Times New Roman" w:hAnsi="Times New Roman" w:eastAsia="宋体" w:cs="Times New Roman"/>
          <w:color w:val="0000FF"/>
          <w:sz w:val="24"/>
          <w:szCs w:val="24"/>
          <w:highlight w:val="green"/>
          <w:lang w:val="en-US" w:eastAsia="zh-CN"/>
        </w:rPr>
        <w:t>，臭气浓度满足《恶臭污染物排放标准》(GB14554-93）表 1 中二级新改扩建标准。</w:t>
      </w:r>
    </w:p>
    <w:p w14:paraId="079269D4">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51" w:name="_Toc17474"/>
      <w:r>
        <w:rPr>
          <w:rFonts w:hint="default" w:ascii="Times New Roman" w:hAnsi="Times New Roman" w:eastAsia="宋体" w:cs="Times New Roman"/>
          <w:b/>
          <w:bCs/>
          <w:color w:val="auto"/>
          <w:spacing w:val="-2"/>
          <w:sz w:val="24"/>
          <w:szCs w:val="24"/>
          <w:highlight w:val="none"/>
          <w:lang w:val="en-US" w:eastAsia="zh-CN"/>
        </w:rPr>
        <w:t>4.3.3地下水环境现状监测与评价</w:t>
      </w:r>
      <w:bookmarkEnd w:id="151"/>
    </w:p>
    <w:p w14:paraId="7D19BEB4">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4.3.3.1地下水环境质量现状检测</w:t>
      </w:r>
    </w:p>
    <w:p w14:paraId="0DC13D55">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本项目地下水评价范围内无集中式饮用水源地及</w:t>
      </w:r>
      <w:r>
        <w:rPr>
          <w:rFonts w:hint="default" w:ascii="Times New Roman" w:hAnsi="Times New Roman" w:eastAsia="宋体" w:cs="Times New Roman"/>
          <w:color w:val="auto"/>
          <w:spacing w:val="-4"/>
          <w:sz w:val="24"/>
          <w:szCs w:val="24"/>
          <w:highlight w:val="none"/>
        </w:rPr>
        <w:t>《建设项目环境影响评价分类管</w:t>
      </w:r>
      <w:r>
        <w:rPr>
          <w:rFonts w:hint="default" w:ascii="Times New Roman" w:hAnsi="Times New Roman" w:eastAsia="宋体" w:cs="Times New Roman"/>
          <w:color w:val="auto"/>
          <w:spacing w:val="-3"/>
          <w:sz w:val="24"/>
          <w:szCs w:val="24"/>
          <w:highlight w:val="none"/>
        </w:rPr>
        <w:t>理名录》中所界定的涉及地下水的环境敏感区。有</w:t>
      </w:r>
      <w:r>
        <w:rPr>
          <w:rFonts w:hint="default" w:ascii="Times New Roman" w:hAnsi="Times New Roman" w:eastAsia="宋体" w:cs="Times New Roman"/>
          <w:color w:val="auto"/>
          <w:spacing w:val="-3"/>
          <w:sz w:val="24"/>
          <w:szCs w:val="24"/>
          <w:highlight w:val="none"/>
          <w:lang w:val="en-US" w:eastAsia="zh-CN"/>
        </w:rPr>
        <w:t>三眼</w:t>
      </w:r>
      <w:r>
        <w:rPr>
          <w:rFonts w:hint="default" w:ascii="Times New Roman" w:hAnsi="Times New Roman" w:eastAsia="宋体" w:cs="Times New Roman"/>
          <w:color w:val="auto"/>
          <w:spacing w:val="-3"/>
          <w:sz w:val="24"/>
          <w:szCs w:val="24"/>
          <w:highlight w:val="none"/>
        </w:rPr>
        <w:t>水井用于</w:t>
      </w:r>
      <w:r>
        <w:rPr>
          <w:rFonts w:hint="default" w:ascii="Times New Roman" w:hAnsi="Times New Roman" w:eastAsia="宋体" w:cs="Times New Roman"/>
          <w:color w:val="auto"/>
          <w:spacing w:val="-3"/>
          <w:sz w:val="24"/>
          <w:szCs w:val="24"/>
          <w:highlight w:val="none"/>
          <w:lang w:val="en-US" w:eastAsia="zh-CN"/>
        </w:rPr>
        <w:t>厂区</w:t>
      </w:r>
      <w:r>
        <w:rPr>
          <w:rFonts w:hint="default" w:ascii="Times New Roman" w:hAnsi="Times New Roman" w:eastAsia="宋体" w:cs="Times New Roman"/>
          <w:color w:val="auto"/>
          <w:spacing w:val="-2"/>
          <w:sz w:val="24"/>
          <w:szCs w:val="24"/>
          <w:highlight w:val="none"/>
        </w:rPr>
        <w:t>供水</w:t>
      </w:r>
      <w:r>
        <w:rPr>
          <w:rFonts w:hint="default" w:ascii="Times New Roman" w:hAnsi="Times New Roman" w:eastAsia="Times New Roman"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rPr>
        <w:t>位于本项目厂区范围内。</w:t>
      </w:r>
    </w:p>
    <w:p w14:paraId="5E0A5E6B">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right="0" w:rightChars="0" w:firstLine="468" w:firstLineChars="200"/>
        <w:jc w:val="both"/>
        <w:textAlignment w:val="baseline"/>
        <w:rPr>
          <w:rFonts w:hint="default" w:ascii="Times New Roman" w:hAnsi="Times New Roman" w:eastAsia="宋体" w:cs="Times New Roman"/>
          <w:color w:val="auto"/>
          <w:spacing w:val="-3"/>
          <w:sz w:val="24"/>
          <w:szCs w:val="24"/>
          <w:highlight w:val="none"/>
          <w:lang w:val="en-US" w:eastAsia="zh-CN"/>
        </w:rPr>
      </w:pPr>
      <w:r>
        <w:rPr>
          <w:rFonts w:hint="default" w:ascii="Times New Roman" w:hAnsi="Times New Roman" w:eastAsia="宋体" w:cs="Times New Roman"/>
          <w:snapToGrid w:val="0"/>
          <w:color w:val="auto"/>
          <w:spacing w:val="-3"/>
          <w:kern w:val="0"/>
          <w:sz w:val="24"/>
          <w:szCs w:val="24"/>
          <w:highlight w:val="none"/>
          <w:lang w:val="en-US" w:eastAsia="zh-CN" w:bidi="ar-SA"/>
        </w:rPr>
        <w:t>（1）</w:t>
      </w:r>
      <w:r>
        <w:rPr>
          <w:rFonts w:hint="default" w:ascii="Times New Roman" w:hAnsi="Times New Roman" w:eastAsia="宋体" w:cs="Times New Roman"/>
          <w:color w:val="auto"/>
          <w:spacing w:val="-3"/>
          <w:sz w:val="24"/>
          <w:szCs w:val="24"/>
          <w:highlight w:val="none"/>
          <w:lang w:val="en-US" w:eastAsia="zh-CN"/>
        </w:rPr>
        <w:t>监测布点</w:t>
      </w:r>
    </w:p>
    <w:p w14:paraId="3DC31B95">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0" w:rightChars="0" w:firstLine="468" w:firstLineChars="200"/>
        <w:jc w:val="both"/>
        <w:textAlignment w:val="baseline"/>
        <w:rPr>
          <w:rFonts w:hint="default" w:ascii="Times New Roman" w:hAnsi="Times New Roman" w:eastAsia="宋体" w:cs="Times New Roman"/>
          <w:color w:val="FF0000"/>
          <w:spacing w:val="-6"/>
          <w:sz w:val="24"/>
          <w:szCs w:val="24"/>
          <w:highlight w:val="none"/>
        </w:rPr>
      </w:pPr>
      <w:r>
        <w:rPr>
          <w:rFonts w:hint="default" w:ascii="Times New Roman" w:hAnsi="Times New Roman" w:eastAsia="宋体" w:cs="Times New Roman"/>
          <w:color w:val="FF0000"/>
          <w:spacing w:val="-3"/>
          <w:sz w:val="24"/>
          <w:szCs w:val="24"/>
          <w:highlight w:val="none"/>
        </w:rPr>
        <w:t>为了全面反映评价区地下水环境质量，结合项目选址及其周围环境敏感点、地下</w:t>
      </w:r>
      <w:r>
        <w:rPr>
          <w:rFonts w:hint="default" w:ascii="Times New Roman" w:hAnsi="Times New Roman" w:eastAsia="宋体" w:cs="Times New Roman"/>
          <w:color w:val="FF0000"/>
          <w:spacing w:val="-5"/>
          <w:sz w:val="24"/>
          <w:szCs w:val="24"/>
          <w:highlight w:val="none"/>
        </w:rPr>
        <w:t>水污染源、主要现状环境水文地质问题以及对于确定边界条件有控制意义的地点，根</w:t>
      </w:r>
      <w:r>
        <w:rPr>
          <w:rFonts w:hint="default" w:ascii="Times New Roman" w:hAnsi="Times New Roman" w:eastAsia="宋体" w:cs="Times New Roman"/>
          <w:color w:val="FF0000"/>
          <w:spacing w:val="-6"/>
          <w:sz w:val="24"/>
          <w:szCs w:val="24"/>
          <w:highlight w:val="none"/>
        </w:rPr>
        <w:t>据《环境影响评价技术导则地下水环境》（</w:t>
      </w:r>
      <w:r>
        <w:rPr>
          <w:rFonts w:hint="default" w:ascii="Times New Roman" w:hAnsi="Times New Roman" w:eastAsia="Times New Roman" w:cs="Times New Roman"/>
          <w:color w:val="FF0000"/>
          <w:spacing w:val="-6"/>
          <w:sz w:val="24"/>
          <w:szCs w:val="24"/>
          <w:highlight w:val="none"/>
        </w:rPr>
        <w:t>HJ610</w:t>
      </w:r>
      <w:r>
        <w:rPr>
          <w:rFonts w:hint="eastAsia" w:ascii="Times New Roman" w:hAnsi="Times New Roman" w:eastAsia="宋体" w:cs="Times New Roman"/>
          <w:color w:val="FF0000"/>
          <w:spacing w:val="-6"/>
          <w:sz w:val="24"/>
          <w:szCs w:val="24"/>
          <w:highlight w:val="none"/>
          <w:lang w:val="en-US" w:eastAsia="zh-CN"/>
        </w:rPr>
        <w:t>-</w:t>
      </w:r>
      <w:r>
        <w:rPr>
          <w:rFonts w:hint="default" w:ascii="Times New Roman" w:hAnsi="Times New Roman" w:eastAsia="Times New Roman" w:cs="Times New Roman"/>
          <w:color w:val="FF0000"/>
          <w:spacing w:val="-6"/>
          <w:sz w:val="24"/>
          <w:szCs w:val="24"/>
          <w:highlight w:val="none"/>
        </w:rPr>
        <w:t>2016</w:t>
      </w:r>
      <w:r>
        <w:rPr>
          <w:rFonts w:hint="default" w:ascii="Times New Roman" w:hAnsi="Times New Roman" w:eastAsia="宋体" w:cs="Times New Roman"/>
          <w:color w:val="FF0000"/>
          <w:spacing w:val="-47"/>
          <w:sz w:val="24"/>
          <w:szCs w:val="24"/>
          <w:highlight w:val="none"/>
        </w:rPr>
        <w:t>），</w:t>
      </w:r>
      <w:r>
        <w:rPr>
          <w:rFonts w:hint="default" w:ascii="Times New Roman" w:hAnsi="Times New Roman" w:eastAsia="宋体" w:cs="Times New Roman"/>
          <w:color w:val="FF0000"/>
          <w:spacing w:val="-6"/>
          <w:sz w:val="24"/>
          <w:szCs w:val="24"/>
          <w:highlight w:val="none"/>
        </w:rPr>
        <w:t>确定地下水环境监测点。</w:t>
      </w:r>
    </w:p>
    <w:p w14:paraId="2272A699">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0" w:rightChars="0" w:firstLine="456" w:firstLineChars="200"/>
        <w:jc w:val="both"/>
        <w:textAlignment w:val="baseline"/>
        <w:rPr>
          <w:rFonts w:hint="default" w:ascii="Times New Roman" w:hAnsi="Times New Roman" w:eastAsia="宋体" w:cs="Times New Roman"/>
          <w:color w:val="FF0000"/>
          <w:spacing w:val="-6"/>
          <w:sz w:val="24"/>
          <w:szCs w:val="24"/>
          <w:highlight w:val="none"/>
        </w:rPr>
      </w:pPr>
      <w:r>
        <w:rPr>
          <w:rFonts w:hint="default" w:ascii="Times New Roman" w:hAnsi="Times New Roman" w:eastAsia="宋体" w:cs="Times New Roman"/>
          <w:color w:val="FF0000"/>
          <w:spacing w:val="-6"/>
          <w:sz w:val="24"/>
          <w:szCs w:val="24"/>
          <w:highlight w:val="none"/>
        </w:rPr>
        <w:t>地下水环境现状监测点采用控制性布点与功能性布点相结合的布设原则。监测点应主要布设在建设项目场地、周围环境敏感点、地下水污染源以及对于确定边界条件有控制意义的地点。</w:t>
      </w:r>
    </w:p>
    <w:p w14:paraId="1FF62D98">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right="0" w:rightChars="0" w:firstLine="456" w:firstLineChars="200"/>
        <w:jc w:val="both"/>
        <w:textAlignment w:val="baseline"/>
        <w:rPr>
          <w:rFonts w:hint="default" w:ascii="Times New Roman" w:hAnsi="Times New Roman" w:eastAsia="宋体" w:cs="Times New Roman"/>
          <w:color w:val="FF0000"/>
          <w:spacing w:val="-6"/>
          <w:sz w:val="24"/>
          <w:szCs w:val="24"/>
          <w:highlight w:val="none"/>
          <w:lang w:eastAsia="zh-CN"/>
        </w:rPr>
      </w:pPr>
      <w:r>
        <w:rPr>
          <w:rFonts w:hint="default" w:ascii="Times New Roman" w:hAnsi="Times New Roman" w:eastAsia="宋体" w:cs="Times New Roman"/>
          <w:color w:val="FF0000"/>
          <w:spacing w:val="-6"/>
          <w:sz w:val="24"/>
          <w:szCs w:val="24"/>
          <w:highlight w:val="none"/>
        </w:rPr>
        <w:t>三级评价项目潜水含水层水质监测点应不少于 3 个，可能受建设项目影响且具有饮用水开发利用价值的含水层 1~2 个。原则上建设项目场地上游及下游影响区的地下水水质监测点各不得少于 1 个</w:t>
      </w:r>
      <w:r>
        <w:rPr>
          <w:rFonts w:hint="default" w:ascii="Times New Roman" w:hAnsi="Times New Roman" w:eastAsia="宋体" w:cs="Times New Roman"/>
          <w:color w:val="FF0000"/>
          <w:spacing w:val="-6"/>
          <w:sz w:val="24"/>
          <w:szCs w:val="24"/>
          <w:highlight w:val="none"/>
          <w:lang w:eastAsia="zh-CN"/>
        </w:rPr>
        <w:t>。</w:t>
      </w:r>
      <w:r>
        <w:rPr>
          <w:rFonts w:hint="default" w:ascii="Times New Roman" w:hAnsi="Times New Roman" w:eastAsia="宋体" w:cs="Times New Roman"/>
          <w:color w:val="FF0000"/>
          <w:spacing w:val="-6"/>
          <w:sz w:val="24"/>
          <w:szCs w:val="24"/>
          <w:highlight w:val="none"/>
          <w:lang w:val="en-US" w:eastAsia="zh-CN"/>
        </w:rPr>
        <w:t>本项目在厂区水井、下游一处监测点，康家屯分散式饮用水井地下水流向、以及地下水上游三处监测点，本次布点原则符合</w:t>
      </w:r>
      <w:r>
        <w:rPr>
          <w:rFonts w:hint="default" w:ascii="Times New Roman" w:hAnsi="Times New Roman" w:eastAsia="宋体" w:cs="Times New Roman"/>
          <w:color w:val="FF0000"/>
          <w:spacing w:val="-6"/>
          <w:sz w:val="24"/>
          <w:szCs w:val="24"/>
          <w:highlight w:val="none"/>
        </w:rPr>
        <w:t>《环境影响评价技术导则地下水环境》（HJ610</w:t>
      </w:r>
      <w:r>
        <w:rPr>
          <w:rFonts w:hint="eastAsia" w:ascii="Times New Roman" w:hAnsi="Times New Roman" w:eastAsia="宋体" w:cs="Times New Roman"/>
          <w:color w:val="FF0000"/>
          <w:spacing w:val="-6"/>
          <w:sz w:val="24"/>
          <w:szCs w:val="24"/>
          <w:highlight w:val="none"/>
          <w:lang w:val="en-US" w:eastAsia="zh-CN"/>
        </w:rPr>
        <w:t>-</w:t>
      </w:r>
      <w:r>
        <w:rPr>
          <w:rFonts w:hint="default" w:ascii="Times New Roman" w:hAnsi="Times New Roman" w:eastAsia="宋体" w:cs="Times New Roman"/>
          <w:color w:val="FF0000"/>
          <w:spacing w:val="-6"/>
          <w:sz w:val="24"/>
          <w:szCs w:val="24"/>
          <w:highlight w:val="none"/>
        </w:rPr>
        <w:t>2016）现状监测点的布设原则</w:t>
      </w:r>
      <w:r>
        <w:rPr>
          <w:rFonts w:hint="default" w:ascii="Times New Roman" w:hAnsi="Times New Roman" w:eastAsia="宋体" w:cs="Times New Roman"/>
          <w:color w:val="FF0000"/>
          <w:spacing w:val="-6"/>
          <w:sz w:val="24"/>
          <w:szCs w:val="24"/>
          <w:highlight w:val="none"/>
          <w:lang w:eastAsia="zh-CN"/>
        </w:rPr>
        <w:t>。</w:t>
      </w:r>
    </w:p>
    <w:p w14:paraId="5B3A8DD2">
      <w:pPr>
        <w:keepNext w:val="0"/>
        <w:keepLines w:val="0"/>
        <w:pageBreakBefore w:val="0"/>
        <w:widowControl/>
        <w:numPr>
          <w:ilvl w:val="0"/>
          <w:numId w:val="0"/>
        </w:numPr>
        <w:kinsoku/>
        <w:wordWrap/>
        <w:overflowPunct/>
        <w:topLinePunct/>
        <w:autoSpaceDE/>
        <w:autoSpaceDN/>
        <w:bidi w:val="0"/>
        <w:adjustRightInd w:val="0"/>
        <w:snapToGrid w:val="0"/>
        <w:spacing w:line="240" w:lineRule="auto"/>
        <w:ind w:right="0" w:rightChars="0" w:firstLine="478" w:firstLineChars="200"/>
        <w:jc w:val="center"/>
        <w:textAlignment w:val="baseline"/>
        <w:rPr>
          <w:rFonts w:hint="default" w:ascii="Times New Roman" w:hAnsi="Times New Roman" w:eastAsia="宋体" w:cs="Times New Roman"/>
          <w:b/>
          <w:bCs/>
          <w:color w:val="0000FF"/>
          <w:sz w:val="24"/>
          <w:szCs w:val="24"/>
          <w:highlight w:val="none"/>
        </w:rPr>
      </w:pPr>
      <w:r>
        <w:rPr>
          <w:rFonts w:hint="default" w:ascii="Times New Roman" w:hAnsi="Times New Roman" w:eastAsia="宋体" w:cs="Times New Roman"/>
          <w:b/>
          <w:bCs/>
          <w:color w:val="0000FF"/>
          <w:spacing w:val="-1"/>
          <w:sz w:val="24"/>
          <w:szCs w:val="24"/>
          <w:highlight w:val="none"/>
        </w:rPr>
        <w:t>表</w:t>
      </w:r>
      <w:r>
        <w:rPr>
          <w:rFonts w:hint="default" w:ascii="Times New Roman" w:hAnsi="Times New Roman" w:eastAsia="Times New Roman" w:cs="Times New Roman"/>
          <w:b/>
          <w:bCs/>
          <w:color w:val="0000FF"/>
          <w:spacing w:val="-1"/>
          <w:sz w:val="24"/>
          <w:szCs w:val="24"/>
          <w:highlight w:val="none"/>
        </w:rPr>
        <w:t>4.3-</w:t>
      </w:r>
      <w:r>
        <w:rPr>
          <w:rFonts w:hint="eastAsia" w:ascii="Times New Roman" w:hAnsi="Times New Roman" w:eastAsia="宋体" w:cs="Times New Roman"/>
          <w:b/>
          <w:bCs/>
          <w:color w:val="0000FF"/>
          <w:spacing w:val="-1"/>
          <w:sz w:val="24"/>
          <w:szCs w:val="24"/>
          <w:highlight w:val="none"/>
          <w:lang w:val="en-US" w:eastAsia="zh-CN"/>
        </w:rPr>
        <w:t>6</w:t>
      </w:r>
      <w:r>
        <w:rPr>
          <w:rFonts w:hint="default" w:ascii="Times New Roman" w:hAnsi="Times New Roman" w:eastAsia="宋体" w:cs="Times New Roman"/>
          <w:b/>
          <w:bCs/>
          <w:color w:val="0000FF"/>
          <w:spacing w:val="-1"/>
          <w:sz w:val="24"/>
          <w:szCs w:val="24"/>
          <w:highlight w:val="none"/>
        </w:rPr>
        <w:t>地下水水质、水位监测点布设情况</w:t>
      </w:r>
    </w:p>
    <w:tbl>
      <w:tblPr>
        <w:tblStyle w:val="34"/>
        <w:tblW w:w="8164"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912"/>
        <w:gridCol w:w="1704"/>
        <w:gridCol w:w="1852"/>
        <w:gridCol w:w="1580"/>
        <w:gridCol w:w="1008"/>
        <w:gridCol w:w="1108"/>
      </w:tblGrid>
      <w:tr w14:paraId="135A094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78" w:hRule="atLeast"/>
          <w:jc w:val="center"/>
        </w:trPr>
        <w:tc>
          <w:tcPr>
            <w:tcW w:w="912" w:type="dxa"/>
            <w:tcBorders>
              <w:tl2br w:val="nil"/>
              <w:tr2bl w:val="nil"/>
            </w:tcBorders>
            <w:vAlign w:val="center"/>
          </w:tcPr>
          <w:p w14:paraId="68FDB7D2">
            <w:pPr>
              <w:pStyle w:val="35"/>
              <w:keepNext w:val="0"/>
              <w:keepLines w:val="0"/>
              <w:pageBreakBefore w:val="0"/>
              <w:kinsoku/>
              <w:wordWrap w:val="0"/>
              <w:overflowPunct/>
              <w:topLinePunct/>
              <w:autoSpaceDE/>
              <w:autoSpaceDN/>
              <w:bidi w:val="0"/>
              <w:adjustRightInd w:val="0"/>
              <w:snapToGrid w:val="0"/>
              <w:spacing w:before="35" w:line="204"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b/>
                <w:bCs/>
                <w:color w:val="0000FF"/>
                <w:spacing w:val="-5"/>
                <w:highlight w:val="none"/>
              </w:rPr>
              <w:t>编号</w:t>
            </w:r>
          </w:p>
        </w:tc>
        <w:tc>
          <w:tcPr>
            <w:tcW w:w="1704" w:type="dxa"/>
            <w:tcBorders>
              <w:right w:val="single" w:color="auto" w:sz="4" w:space="0"/>
              <w:tl2br w:val="nil"/>
              <w:tr2bl w:val="nil"/>
            </w:tcBorders>
            <w:vAlign w:val="center"/>
          </w:tcPr>
          <w:p w14:paraId="6A8B1E25">
            <w:pPr>
              <w:pStyle w:val="35"/>
              <w:keepNext w:val="0"/>
              <w:keepLines w:val="0"/>
              <w:pageBreakBefore w:val="0"/>
              <w:kinsoku/>
              <w:wordWrap w:val="0"/>
              <w:overflowPunct/>
              <w:topLinePunct/>
              <w:autoSpaceDE/>
              <w:autoSpaceDN/>
              <w:bidi w:val="0"/>
              <w:adjustRightInd w:val="0"/>
              <w:snapToGrid w:val="0"/>
              <w:spacing w:before="35" w:line="204"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b/>
                <w:bCs/>
                <w:color w:val="0000FF"/>
                <w:spacing w:val="-3"/>
                <w:highlight w:val="none"/>
              </w:rPr>
              <w:t>监测点名称</w:t>
            </w:r>
          </w:p>
        </w:tc>
        <w:tc>
          <w:tcPr>
            <w:tcW w:w="1852" w:type="dxa"/>
            <w:tcBorders>
              <w:left w:val="single" w:color="auto" w:sz="4" w:space="0"/>
              <w:tl2br w:val="nil"/>
              <w:tr2bl w:val="nil"/>
            </w:tcBorders>
            <w:vAlign w:val="center"/>
          </w:tcPr>
          <w:p w14:paraId="6D8ADB09">
            <w:pPr>
              <w:pStyle w:val="35"/>
              <w:keepNext w:val="0"/>
              <w:keepLines w:val="0"/>
              <w:pageBreakBefore w:val="0"/>
              <w:kinsoku/>
              <w:wordWrap w:val="0"/>
              <w:overflowPunct/>
              <w:topLinePunct/>
              <w:autoSpaceDE/>
              <w:autoSpaceDN/>
              <w:bidi w:val="0"/>
              <w:adjustRightInd w:val="0"/>
              <w:snapToGrid w:val="0"/>
              <w:spacing w:before="35" w:line="204" w:lineRule="auto"/>
              <w:jc w:val="center"/>
              <w:textAlignment w:val="baseline"/>
              <w:rPr>
                <w:rFonts w:hint="default" w:ascii="Times New Roman" w:hAnsi="Times New Roman" w:eastAsia="宋体" w:cs="Times New Roman"/>
                <w:b/>
                <w:bCs/>
                <w:color w:val="0000FF"/>
                <w:spacing w:val="-3"/>
                <w:highlight w:val="none"/>
                <w:lang w:val="en-US" w:eastAsia="zh-CN"/>
              </w:rPr>
            </w:pPr>
            <w:r>
              <w:rPr>
                <w:rFonts w:hint="default" w:ascii="Times New Roman" w:hAnsi="Times New Roman" w:cs="Times New Roman"/>
                <w:b/>
                <w:bCs/>
                <w:color w:val="0000FF"/>
                <w:spacing w:val="-3"/>
                <w:highlight w:val="none"/>
                <w:lang w:val="en-US" w:eastAsia="zh-CN"/>
              </w:rPr>
              <w:t>水井功能</w:t>
            </w:r>
          </w:p>
        </w:tc>
        <w:tc>
          <w:tcPr>
            <w:tcW w:w="1580" w:type="dxa"/>
            <w:tcBorders>
              <w:tl2br w:val="nil"/>
              <w:tr2bl w:val="nil"/>
            </w:tcBorders>
            <w:vAlign w:val="center"/>
          </w:tcPr>
          <w:p w14:paraId="6F71FC1C">
            <w:pPr>
              <w:pStyle w:val="35"/>
              <w:keepNext w:val="0"/>
              <w:keepLines w:val="0"/>
              <w:pageBreakBefore w:val="0"/>
              <w:kinsoku/>
              <w:wordWrap w:val="0"/>
              <w:overflowPunct/>
              <w:topLinePunct/>
              <w:autoSpaceDE/>
              <w:autoSpaceDN/>
              <w:bidi w:val="0"/>
              <w:adjustRightInd w:val="0"/>
              <w:snapToGrid w:val="0"/>
              <w:spacing w:before="35" w:line="204"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b/>
                <w:bCs/>
                <w:color w:val="0000FF"/>
                <w:spacing w:val="-3"/>
                <w:highlight w:val="none"/>
              </w:rPr>
              <w:t>水位</w:t>
            </w:r>
            <w:r>
              <w:rPr>
                <w:rFonts w:hint="default" w:ascii="Times New Roman" w:hAnsi="Times New Roman" w:cs="Times New Roman"/>
                <w:b/>
                <w:bCs/>
                <w:color w:val="0000FF"/>
                <w:spacing w:val="-3"/>
                <w:highlight w:val="none"/>
                <w:lang w:val="en-US" w:eastAsia="zh-CN"/>
              </w:rPr>
              <w:t>标高</w:t>
            </w:r>
            <w:r>
              <w:rPr>
                <w:rFonts w:hint="default" w:ascii="Times New Roman" w:hAnsi="Times New Roman" w:cs="Times New Roman"/>
                <w:b/>
                <w:bCs/>
                <w:color w:val="0000FF"/>
                <w:spacing w:val="-3"/>
                <w:highlight w:val="none"/>
              </w:rPr>
              <w:t>（</w:t>
            </w:r>
            <w:r>
              <w:rPr>
                <w:rFonts w:hint="default" w:ascii="Times New Roman" w:hAnsi="Times New Roman" w:eastAsia="Times New Roman" w:cs="Times New Roman"/>
                <w:b/>
                <w:bCs/>
                <w:color w:val="0000FF"/>
                <w:spacing w:val="-3"/>
                <w:highlight w:val="none"/>
              </w:rPr>
              <w:t>m</w:t>
            </w:r>
            <w:r>
              <w:rPr>
                <w:rFonts w:hint="default" w:ascii="Times New Roman" w:hAnsi="Times New Roman" w:cs="Times New Roman"/>
                <w:b/>
                <w:bCs/>
                <w:color w:val="0000FF"/>
                <w:spacing w:val="-3"/>
                <w:highlight w:val="none"/>
              </w:rPr>
              <w:t>）</w:t>
            </w:r>
          </w:p>
        </w:tc>
        <w:tc>
          <w:tcPr>
            <w:tcW w:w="1008" w:type="dxa"/>
            <w:tcBorders>
              <w:right w:val="single" w:color="auto" w:sz="4" w:space="0"/>
              <w:tl2br w:val="nil"/>
              <w:tr2bl w:val="nil"/>
            </w:tcBorders>
            <w:vAlign w:val="center"/>
          </w:tcPr>
          <w:p w14:paraId="1D7D3966">
            <w:pPr>
              <w:pStyle w:val="35"/>
              <w:keepNext w:val="0"/>
              <w:keepLines w:val="0"/>
              <w:pageBreakBefore w:val="0"/>
              <w:kinsoku/>
              <w:wordWrap w:val="0"/>
              <w:overflowPunct/>
              <w:topLinePunct/>
              <w:autoSpaceDE/>
              <w:autoSpaceDN/>
              <w:bidi w:val="0"/>
              <w:adjustRightInd w:val="0"/>
              <w:snapToGrid w:val="0"/>
              <w:spacing w:before="35" w:line="204"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b/>
                <w:bCs/>
                <w:color w:val="0000FF"/>
                <w:spacing w:val="-4"/>
                <w:highlight w:val="none"/>
              </w:rPr>
              <w:t>取水层</w:t>
            </w:r>
          </w:p>
        </w:tc>
        <w:tc>
          <w:tcPr>
            <w:tcW w:w="1108" w:type="dxa"/>
            <w:tcBorders>
              <w:left w:val="single" w:color="auto" w:sz="4" w:space="0"/>
              <w:tl2br w:val="nil"/>
              <w:tr2bl w:val="nil"/>
            </w:tcBorders>
            <w:vAlign w:val="center"/>
          </w:tcPr>
          <w:p w14:paraId="7E114C47">
            <w:pPr>
              <w:pStyle w:val="35"/>
              <w:keepNext w:val="0"/>
              <w:keepLines w:val="0"/>
              <w:pageBreakBefore w:val="0"/>
              <w:kinsoku/>
              <w:wordWrap w:val="0"/>
              <w:overflowPunct/>
              <w:topLinePunct/>
              <w:autoSpaceDE/>
              <w:autoSpaceDN/>
              <w:bidi w:val="0"/>
              <w:adjustRightInd w:val="0"/>
              <w:snapToGrid w:val="0"/>
              <w:spacing w:before="35" w:line="204" w:lineRule="auto"/>
              <w:jc w:val="center"/>
              <w:textAlignment w:val="baseline"/>
              <w:rPr>
                <w:rFonts w:hint="default" w:ascii="Times New Roman" w:hAnsi="Times New Roman" w:cs="Times New Roman"/>
                <w:b/>
                <w:bCs/>
                <w:color w:val="0000FF"/>
                <w:spacing w:val="-4"/>
                <w:highlight w:val="none"/>
              </w:rPr>
            </w:pPr>
            <w:r>
              <w:rPr>
                <w:rFonts w:hint="default" w:ascii="Times New Roman" w:hAnsi="Times New Roman" w:cs="Times New Roman"/>
                <w:b/>
                <w:bCs/>
                <w:color w:val="0000FF"/>
                <w:spacing w:val="-4"/>
                <w:highlight w:val="none"/>
              </w:rPr>
              <w:t>距离场区</w:t>
            </w:r>
          </w:p>
        </w:tc>
      </w:tr>
      <w:tr w14:paraId="73AB77F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24" w:hRule="atLeast"/>
          <w:jc w:val="center"/>
        </w:trPr>
        <w:tc>
          <w:tcPr>
            <w:tcW w:w="912" w:type="dxa"/>
            <w:tcBorders>
              <w:tl2br w:val="nil"/>
              <w:tr2bl w:val="nil"/>
            </w:tcBorders>
            <w:vAlign w:val="center"/>
          </w:tcPr>
          <w:p w14:paraId="271B3C07">
            <w:pPr>
              <w:keepNext w:val="0"/>
              <w:keepLines w:val="0"/>
              <w:pageBreakBefore w:val="0"/>
              <w:kinsoku/>
              <w:wordWrap w:val="0"/>
              <w:overflowPunct/>
              <w:topLinePunct/>
              <w:autoSpaceDE/>
              <w:autoSpaceDN/>
              <w:bidi w:val="0"/>
              <w:adjustRightInd w:val="0"/>
              <w:snapToGrid w:val="0"/>
              <w:spacing w:before="63" w:line="199" w:lineRule="auto"/>
              <w:jc w:val="center"/>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1</w:t>
            </w:r>
          </w:p>
        </w:tc>
        <w:tc>
          <w:tcPr>
            <w:tcW w:w="1704" w:type="dxa"/>
            <w:tcBorders>
              <w:right w:val="single" w:color="auto" w:sz="4" w:space="0"/>
              <w:tl2br w:val="nil"/>
              <w:tr2bl w:val="nil"/>
            </w:tcBorders>
            <w:vAlign w:val="center"/>
          </w:tcPr>
          <w:p w14:paraId="4C0A8B17">
            <w:pPr>
              <w:pStyle w:val="35"/>
              <w:keepNext w:val="0"/>
              <w:keepLines w:val="0"/>
              <w:pageBreakBefore w:val="0"/>
              <w:kinsoku/>
              <w:wordWrap w:val="0"/>
              <w:overflowPunct/>
              <w:topLinePunct/>
              <w:autoSpaceDE/>
              <w:autoSpaceDN/>
              <w:bidi w:val="0"/>
              <w:adjustRightInd w:val="0"/>
              <w:snapToGrid w:val="0"/>
              <w:spacing w:before="34" w:line="202" w:lineRule="auto"/>
              <w:jc w:val="center"/>
              <w:textAlignment w:val="baseline"/>
              <w:rPr>
                <w:rFonts w:hint="default" w:ascii="Times New Roman" w:hAnsi="Times New Roman" w:cs="Times New Roman"/>
                <w:color w:val="0000FF"/>
                <w:highlight w:val="none"/>
              </w:rPr>
            </w:pPr>
            <w:r>
              <w:rPr>
                <w:rFonts w:hint="default" w:ascii="Times New Roman" w:hAnsi="Times New Roman" w:eastAsia="宋体" w:cs="Times New Roman"/>
                <w:color w:val="0000FF"/>
                <w:spacing w:val="-4"/>
                <w:highlight w:val="none"/>
                <w:lang w:val="en-US" w:eastAsia="zh-CN"/>
              </w:rPr>
              <w:t>厂区水井</w:t>
            </w:r>
            <w:r>
              <w:rPr>
                <w:rFonts w:hint="default" w:ascii="Times New Roman" w:hAnsi="Times New Roman" w:eastAsia="Times New Roman" w:cs="Times New Roman"/>
                <w:color w:val="0000FF"/>
                <w:spacing w:val="-4"/>
                <w:highlight w:val="none"/>
              </w:rPr>
              <w:t>1#</w:t>
            </w:r>
          </w:p>
        </w:tc>
        <w:tc>
          <w:tcPr>
            <w:tcW w:w="1852" w:type="dxa"/>
            <w:tcBorders>
              <w:left w:val="single" w:color="auto" w:sz="4" w:space="0"/>
              <w:tl2br w:val="nil"/>
              <w:tr2bl w:val="nil"/>
            </w:tcBorders>
            <w:vAlign w:val="center"/>
          </w:tcPr>
          <w:p w14:paraId="60D724E6">
            <w:pPr>
              <w:pStyle w:val="35"/>
              <w:keepNext w:val="0"/>
              <w:keepLines w:val="0"/>
              <w:pageBreakBefore w:val="0"/>
              <w:kinsoku/>
              <w:wordWrap w:val="0"/>
              <w:overflowPunct/>
              <w:topLinePunct/>
              <w:autoSpaceDE/>
              <w:autoSpaceDN/>
              <w:bidi w:val="0"/>
              <w:adjustRightInd w:val="0"/>
              <w:snapToGrid w:val="0"/>
              <w:spacing w:before="34" w:line="202" w:lineRule="auto"/>
              <w:jc w:val="center"/>
              <w:textAlignment w:val="baseline"/>
              <w:rPr>
                <w:rFonts w:hint="default" w:ascii="Times New Roman" w:hAnsi="Times New Roman" w:eastAsia="宋体" w:cs="Times New Roman"/>
                <w:color w:val="0000FF"/>
                <w:spacing w:val="-4"/>
                <w:highlight w:val="none"/>
                <w:lang w:val="en-US" w:eastAsia="zh-CN"/>
              </w:rPr>
            </w:pPr>
            <w:r>
              <w:rPr>
                <w:rFonts w:hint="default" w:ascii="Times New Roman" w:hAnsi="Times New Roman" w:cs="Times New Roman"/>
                <w:color w:val="0000FF"/>
                <w:spacing w:val="-4"/>
                <w:highlight w:val="none"/>
                <w:lang w:val="en-US" w:eastAsia="zh-CN"/>
              </w:rPr>
              <w:t>生产用水</w:t>
            </w:r>
          </w:p>
        </w:tc>
        <w:tc>
          <w:tcPr>
            <w:tcW w:w="1580" w:type="dxa"/>
            <w:tcBorders>
              <w:tl2br w:val="nil"/>
              <w:tr2bl w:val="nil"/>
            </w:tcBorders>
            <w:vAlign w:val="center"/>
          </w:tcPr>
          <w:p w14:paraId="74046916">
            <w:pPr>
              <w:keepNext w:val="0"/>
              <w:keepLines w:val="0"/>
              <w:pageBreakBefore w:val="0"/>
              <w:kinsoku/>
              <w:wordWrap w:val="0"/>
              <w:overflowPunct/>
              <w:topLinePunct/>
              <w:autoSpaceDE/>
              <w:autoSpaceDN/>
              <w:bidi w:val="0"/>
              <w:adjustRightInd w:val="0"/>
              <w:snapToGrid w:val="0"/>
              <w:spacing w:before="63" w:line="199" w:lineRule="auto"/>
              <w:jc w:val="center"/>
              <w:textAlignment w:val="baseline"/>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79.5</w:t>
            </w:r>
          </w:p>
        </w:tc>
        <w:tc>
          <w:tcPr>
            <w:tcW w:w="1008" w:type="dxa"/>
            <w:tcBorders>
              <w:right w:val="single" w:color="auto" w:sz="4" w:space="0"/>
              <w:tl2br w:val="nil"/>
              <w:tr2bl w:val="nil"/>
            </w:tcBorders>
            <w:vAlign w:val="center"/>
          </w:tcPr>
          <w:p w14:paraId="5F9C41B3">
            <w:pPr>
              <w:pStyle w:val="35"/>
              <w:keepNext w:val="0"/>
              <w:keepLines w:val="0"/>
              <w:pageBreakBefore w:val="0"/>
              <w:kinsoku/>
              <w:wordWrap w:val="0"/>
              <w:overflowPunct/>
              <w:topLinePunct/>
              <w:autoSpaceDE/>
              <w:autoSpaceDN/>
              <w:bidi w:val="0"/>
              <w:adjustRightInd w:val="0"/>
              <w:snapToGrid w:val="0"/>
              <w:spacing w:before="34" w:line="202"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潜水层</w:t>
            </w:r>
          </w:p>
        </w:tc>
        <w:tc>
          <w:tcPr>
            <w:tcW w:w="1108" w:type="dxa"/>
            <w:tcBorders>
              <w:left w:val="single" w:color="auto" w:sz="4" w:space="0"/>
              <w:tl2br w:val="nil"/>
              <w:tr2bl w:val="nil"/>
            </w:tcBorders>
            <w:vAlign w:val="center"/>
          </w:tcPr>
          <w:p w14:paraId="2D642833">
            <w:pPr>
              <w:pStyle w:val="35"/>
              <w:keepNext w:val="0"/>
              <w:keepLines w:val="0"/>
              <w:pageBreakBefore w:val="0"/>
              <w:kinsoku/>
              <w:wordWrap w:val="0"/>
              <w:overflowPunct/>
              <w:topLinePunct/>
              <w:autoSpaceDE/>
              <w:autoSpaceDN/>
              <w:bidi w:val="0"/>
              <w:adjustRightInd w:val="0"/>
              <w:snapToGrid w:val="0"/>
              <w:spacing w:before="34" w:line="202"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0</w:t>
            </w:r>
          </w:p>
        </w:tc>
      </w:tr>
      <w:tr w14:paraId="3F786D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0" w:hRule="atLeast"/>
          <w:jc w:val="center"/>
        </w:trPr>
        <w:tc>
          <w:tcPr>
            <w:tcW w:w="912" w:type="dxa"/>
            <w:tcBorders>
              <w:tl2br w:val="nil"/>
              <w:tr2bl w:val="nil"/>
            </w:tcBorders>
            <w:vAlign w:val="center"/>
          </w:tcPr>
          <w:p w14:paraId="2688F329">
            <w:pPr>
              <w:keepNext w:val="0"/>
              <w:keepLines w:val="0"/>
              <w:pageBreakBefore w:val="0"/>
              <w:kinsoku/>
              <w:wordWrap w:val="0"/>
              <w:overflowPunct/>
              <w:topLinePunct/>
              <w:autoSpaceDE/>
              <w:autoSpaceDN/>
              <w:bidi w:val="0"/>
              <w:adjustRightInd w:val="0"/>
              <w:snapToGrid w:val="0"/>
              <w:spacing w:before="65" w:line="195" w:lineRule="auto"/>
              <w:jc w:val="center"/>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2</w:t>
            </w:r>
          </w:p>
        </w:tc>
        <w:tc>
          <w:tcPr>
            <w:tcW w:w="1704" w:type="dxa"/>
            <w:tcBorders>
              <w:right w:val="single" w:color="auto" w:sz="4" w:space="0"/>
              <w:tl2br w:val="nil"/>
              <w:tr2bl w:val="nil"/>
            </w:tcBorders>
            <w:vAlign w:val="center"/>
          </w:tcPr>
          <w:p w14:paraId="199181F3">
            <w:pPr>
              <w:pStyle w:val="35"/>
              <w:keepNext w:val="0"/>
              <w:keepLines w:val="0"/>
              <w:pageBreakBefore w:val="0"/>
              <w:kinsoku/>
              <w:wordWrap w:val="0"/>
              <w:overflowPunct/>
              <w:topLinePunct/>
              <w:autoSpaceDE/>
              <w:autoSpaceDN/>
              <w:bidi w:val="0"/>
              <w:adjustRightInd w:val="0"/>
              <w:snapToGrid w:val="0"/>
              <w:spacing w:before="37" w:line="197" w:lineRule="auto"/>
              <w:jc w:val="center"/>
              <w:textAlignment w:val="baseline"/>
              <w:rPr>
                <w:rFonts w:hint="default" w:ascii="Times New Roman" w:hAnsi="Times New Roman" w:cs="Times New Roman"/>
                <w:color w:val="0000FF"/>
                <w:highlight w:val="none"/>
              </w:rPr>
            </w:pPr>
            <w:r>
              <w:rPr>
                <w:rFonts w:hint="default" w:ascii="Times New Roman" w:hAnsi="Times New Roman" w:eastAsia="宋体" w:cs="Times New Roman"/>
                <w:color w:val="0000FF"/>
                <w:spacing w:val="-1"/>
                <w:highlight w:val="none"/>
                <w:lang w:val="en-US" w:eastAsia="zh-CN"/>
              </w:rPr>
              <w:t>康家屯</w:t>
            </w:r>
            <w:r>
              <w:rPr>
                <w:rFonts w:hint="default" w:ascii="Times New Roman" w:hAnsi="Times New Roman" w:cs="Times New Roman"/>
                <w:color w:val="0000FF"/>
                <w:spacing w:val="-1"/>
                <w:highlight w:val="none"/>
                <w:lang w:val="en-US" w:eastAsia="zh-CN"/>
              </w:rPr>
              <w:t>分散式自用水源井</w:t>
            </w:r>
            <w:r>
              <w:rPr>
                <w:rFonts w:hint="default" w:ascii="Times New Roman" w:hAnsi="Times New Roman" w:eastAsia="Times New Roman" w:cs="Times New Roman"/>
                <w:color w:val="0000FF"/>
                <w:spacing w:val="-1"/>
                <w:highlight w:val="none"/>
              </w:rPr>
              <w:t>2#</w:t>
            </w:r>
          </w:p>
        </w:tc>
        <w:tc>
          <w:tcPr>
            <w:tcW w:w="1852" w:type="dxa"/>
            <w:tcBorders>
              <w:left w:val="single" w:color="auto" w:sz="4" w:space="0"/>
              <w:tl2br w:val="nil"/>
              <w:tr2bl w:val="nil"/>
            </w:tcBorders>
            <w:vAlign w:val="center"/>
          </w:tcPr>
          <w:p w14:paraId="241C884E">
            <w:pPr>
              <w:pStyle w:val="35"/>
              <w:keepNext w:val="0"/>
              <w:keepLines w:val="0"/>
              <w:pageBreakBefore w:val="0"/>
              <w:kinsoku/>
              <w:wordWrap w:val="0"/>
              <w:overflowPunct/>
              <w:topLinePunct/>
              <w:autoSpaceDE/>
              <w:autoSpaceDN/>
              <w:bidi w:val="0"/>
              <w:adjustRightInd w:val="0"/>
              <w:snapToGrid w:val="0"/>
              <w:spacing w:before="34" w:line="202"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eastAsia="宋体" w:cs="Times New Roman"/>
                <w:color w:val="0000FF"/>
                <w:spacing w:val="-4"/>
                <w:highlight w:val="none"/>
                <w:lang w:val="en-US" w:eastAsia="zh-CN"/>
              </w:rPr>
              <w:t>生活用水</w:t>
            </w:r>
          </w:p>
        </w:tc>
        <w:tc>
          <w:tcPr>
            <w:tcW w:w="1580" w:type="dxa"/>
            <w:tcBorders>
              <w:tl2br w:val="nil"/>
              <w:tr2bl w:val="nil"/>
            </w:tcBorders>
            <w:vAlign w:val="center"/>
          </w:tcPr>
          <w:p w14:paraId="241787BD">
            <w:pPr>
              <w:pStyle w:val="35"/>
              <w:keepNext w:val="0"/>
              <w:keepLines w:val="0"/>
              <w:pageBreakBefore w:val="0"/>
              <w:kinsoku/>
              <w:wordWrap w:val="0"/>
              <w:overflowPunct/>
              <w:topLinePunct/>
              <w:autoSpaceDE/>
              <w:autoSpaceDN/>
              <w:bidi w:val="0"/>
              <w:adjustRightInd w:val="0"/>
              <w:snapToGrid w:val="0"/>
              <w:spacing w:before="34" w:line="202" w:lineRule="auto"/>
              <w:jc w:val="center"/>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宋体" w:cs="Times New Roman"/>
                <w:color w:val="0000FF"/>
                <w:spacing w:val="-1"/>
                <w:sz w:val="21"/>
                <w:szCs w:val="21"/>
                <w:highlight w:val="none"/>
                <w:lang w:val="en-US" w:eastAsia="zh-CN"/>
              </w:rPr>
              <w:t>81.2</w:t>
            </w:r>
          </w:p>
        </w:tc>
        <w:tc>
          <w:tcPr>
            <w:tcW w:w="1008" w:type="dxa"/>
            <w:tcBorders>
              <w:right w:val="single" w:color="auto" w:sz="4" w:space="0"/>
              <w:tl2br w:val="nil"/>
              <w:tr2bl w:val="nil"/>
            </w:tcBorders>
            <w:vAlign w:val="center"/>
          </w:tcPr>
          <w:p w14:paraId="63A655A8">
            <w:pPr>
              <w:pStyle w:val="35"/>
              <w:keepNext w:val="0"/>
              <w:keepLines w:val="0"/>
              <w:pageBreakBefore w:val="0"/>
              <w:kinsoku/>
              <w:wordWrap w:val="0"/>
              <w:overflowPunct/>
              <w:topLinePunct/>
              <w:autoSpaceDE/>
              <w:autoSpaceDN/>
              <w:bidi w:val="0"/>
              <w:adjustRightInd w:val="0"/>
              <w:snapToGrid w:val="0"/>
              <w:spacing w:before="37" w:line="197"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潜水层</w:t>
            </w:r>
          </w:p>
        </w:tc>
        <w:tc>
          <w:tcPr>
            <w:tcW w:w="1108" w:type="dxa"/>
            <w:tcBorders>
              <w:left w:val="single" w:color="auto" w:sz="4" w:space="0"/>
              <w:tl2br w:val="nil"/>
              <w:tr2bl w:val="nil"/>
            </w:tcBorders>
            <w:vAlign w:val="center"/>
          </w:tcPr>
          <w:p w14:paraId="4D95B53E">
            <w:pPr>
              <w:pStyle w:val="35"/>
              <w:keepNext w:val="0"/>
              <w:keepLines w:val="0"/>
              <w:pageBreakBefore w:val="0"/>
              <w:kinsoku/>
              <w:wordWrap w:val="0"/>
              <w:overflowPunct/>
              <w:topLinePunct/>
              <w:autoSpaceDE/>
              <w:autoSpaceDN/>
              <w:bidi w:val="0"/>
              <w:adjustRightInd w:val="0"/>
              <w:snapToGrid w:val="0"/>
              <w:spacing w:before="37" w:line="197"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720</w:t>
            </w:r>
          </w:p>
        </w:tc>
      </w:tr>
      <w:tr w14:paraId="115B65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75" w:hRule="atLeast"/>
          <w:jc w:val="center"/>
        </w:trPr>
        <w:tc>
          <w:tcPr>
            <w:tcW w:w="912" w:type="dxa"/>
            <w:tcBorders>
              <w:tl2br w:val="nil"/>
              <w:tr2bl w:val="nil"/>
            </w:tcBorders>
            <w:vAlign w:val="center"/>
          </w:tcPr>
          <w:p w14:paraId="30754D71">
            <w:pPr>
              <w:keepNext w:val="0"/>
              <w:keepLines w:val="0"/>
              <w:pageBreakBefore w:val="0"/>
              <w:kinsoku/>
              <w:wordWrap w:val="0"/>
              <w:overflowPunct/>
              <w:topLinePunct/>
              <w:autoSpaceDE/>
              <w:autoSpaceDN/>
              <w:bidi w:val="0"/>
              <w:adjustRightInd w:val="0"/>
              <w:snapToGrid w:val="0"/>
              <w:spacing w:before="71" w:line="192" w:lineRule="auto"/>
              <w:jc w:val="center"/>
              <w:textAlignment w:val="baseline"/>
              <w:rPr>
                <w:rFonts w:hint="default" w:ascii="Times New Roman" w:hAnsi="Times New Roman" w:eastAsia="Times New Roman" w:cs="Times New Roman"/>
                <w:color w:val="0000FF"/>
                <w:sz w:val="21"/>
                <w:szCs w:val="21"/>
                <w:highlight w:val="none"/>
              </w:rPr>
            </w:pPr>
            <w:r>
              <w:rPr>
                <w:rFonts w:hint="default" w:ascii="Times New Roman" w:hAnsi="Times New Roman" w:eastAsia="Times New Roman" w:cs="Times New Roman"/>
                <w:color w:val="0000FF"/>
                <w:sz w:val="21"/>
                <w:szCs w:val="21"/>
                <w:highlight w:val="none"/>
              </w:rPr>
              <w:t>3</w:t>
            </w:r>
          </w:p>
        </w:tc>
        <w:tc>
          <w:tcPr>
            <w:tcW w:w="1704" w:type="dxa"/>
            <w:tcBorders>
              <w:right w:val="single" w:color="auto" w:sz="4" w:space="0"/>
              <w:tl2br w:val="nil"/>
              <w:tr2bl w:val="nil"/>
            </w:tcBorders>
            <w:vAlign w:val="center"/>
          </w:tcPr>
          <w:p w14:paraId="6387B2A2">
            <w:pPr>
              <w:pStyle w:val="35"/>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cs="Times New Roman"/>
                <w:color w:val="0000FF"/>
                <w:highlight w:val="none"/>
              </w:rPr>
            </w:pPr>
            <w:r>
              <w:rPr>
                <w:rFonts w:hint="default" w:ascii="Times New Roman" w:hAnsi="Times New Roman" w:eastAsia="宋体" w:cs="Times New Roman"/>
                <w:color w:val="0000FF"/>
                <w:spacing w:val="-1"/>
                <w:highlight w:val="none"/>
                <w:lang w:val="en-US" w:eastAsia="zh-CN"/>
              </w:rPr>
              <w:t>灌溉井</w:t>
            </w:r>
            <w:r>
              <w:rPr>
                <w:rFonts w:hint="default" w:ascii="Times New Roman" w:hAnsi="Times New Roman" w:eastAsia="Times New Roman" w:cs="Times New Roman"/>
                <w:color w:val="0000FF"/>
                <w:spacing w:val="-1"/>
                <w:highlight w:val="none"/>
              </w:rPr>
              <w:t>3#</w:t>
            </w:r>
          </w:p>
        </w:tc>
        <w:tc>
          <w:tcPr>
            <w:tcW w:w="1852" w:type="dxa"/>
            <w:tcBorders>
              <w:left w:val="single" w:color="auto" w:sz="4" w:space="0"/>
              <w:tl2br w:val="nil"/>
              <w:tr2bl w:val="nil"/>
            </w:tcBorders>
            <w:vAlign w:val="center"/>
          </w:tcPr>
          <w:p w14:paraId="65E3F097">
            <w:pPr>
              <w:pStyle w:val="35"/>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农业用水</w:t>
            </w:r>
          </w:p>
        </w:tc>
        <w:tc>
          <w:tcPr>
            <w:tcW w:w="1580" w:type="dxa"/>
            <w:tcBorders>
              <w:tl2br w:val="nil"/>
              <w:tr2bl w:val="nil"/>
            </w:tcBorders>
            <w:vAlign w:val="center"/>
          </w:tcPr>
          <w:p w14:paraId="09E97618">
            <w:pPr>
              <w:keepNext w:val="0"/>
              <w:keepLines w:val="0"/>
              <w:pageBreakBefore w:val="0"/>
              <w:kinsoku/>
              <w:wordWrap w:val="0"/>
              <w:overflowPunct/>
              <w:topLinePunct/>
              <w:autoSpaceDE/>
              <w:autoSpaceDN/>
              <w:bidi w:val="0"/>
              <w:adjustRightInd w:val="0"/>
              <w:snapToGrid w:val="0"/>
              <w:spacing w:before="71" w:line="192" w:lineRule="auto"/>
              <w:jc w:val="center"/>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宋体" w:cs="Times New Roman"/>
                <w:color w:val="0000FF"/>
                <w:sz w:val="21"/>
                <w:szCs w:val="21"/>
                <w:highlight w:val="none"/>
                <w:lang w:val="en-US" w:eastAsia="zh-CN"/>
              </w:rPr>
              <w:t>78.3</w:t>
            </w:r>
          </w:p>
        </w:tc>
        <w:tc>
          <w:tcPr>
            <w:tcW w:w="1008" w:type="dxa"/>
            <w:tcBorders>
              <w:right w:val="single" w:color="auto" w:sz="4" w:space="0"/>
              <w:tl2br w:val="nil"/>
              <w:tr2bl w:val="nil"/>
            </w:tcBorders>
            <w:vAlign w:val="center"/>
          </w:tcPr>
          <w:p w14:paraId="743F9307">
            <w:pPr>
              <w:pStyle w:val="35"/>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cs="Times New Roman"/>
                <w:color w:val="0000FF"/>
                <w:highlight w:val="none"/>
              </w:rPr>
            </w:pPr>
            <w:r>
              <w:rPr>
                <w:rFonts w:hint="default" w:ascii="Times New Roman" w:hAnsi="Times New Roman" w:cs="Times New Roman"/>
                <w:color w:val="0000FF"/>
                <w:spacing w:val="-1"/>
                <w:highlight w:val="none"/>
              </w:rPr>
              <w:t>潜水层</w:t>
            </w:r>
          </w:p>
        </w:tc>
        <w:tc>
          <w:tcPr>
            <w:tcW w:w="1108" w:type="dxa"/>
            <w:tcBorders>
              <w:left w:val="single" w:color="auto" w:sz="4" w:space="0"/>
              <w:tl2br w:val="nil"/>
              <w:tr2bl w:val="nil"/>
            </w:tcBorders>
            <w:vAlign w:val="center"/>
          </w:tcPr>
          <w:p w14:paraId="0D0F8DCF">
            <w:pPr>
              <w:pStyle w:val="35"/>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230</w:t>
            </w:r>
          </w:p>
        </w:tc>
      </w:tr>
      <w:tr w14:paraId="58C6D9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5" w:hRule="atLeast"/>
          <w:jc w:val="center"/>
        </w:trPr>
        <w:tc>
          <w:tcPr>
            <w:tcW w:w="912" w:type="dxa"/>
            <w:tcBorders>
              <w:tl2br w:val="nil"/>
              <w:tr2bl w:val="nil"/>
            </w:tcBorders>
            <w:vAlign w:val="center"/>
          </w:tcPr>
          <w:p w14:paraId="76E6D65E">
            <w:pPr>
              <w:keepNext w:val="0"/>
              <w:keepLines w:val="0"/>
              <w:pageBreakBefore w:val="0"/>
              <w:kinsoku/>
              <w:wordWrap w:val="0"/>
              <w:overflowPunct/>
              <w:topLinePunct/>
              <w:autoSpaceDE/>
              <w:autoSpaceDN/>
              <w:bidi w:val="0"/>
              <w:adjustRightInd w:val="0"/>
              <w:snapToGrid w:val="0"/>
              <w:spacing w:before="71" w:line="192" w:lineRule="auto"/>
              <w:jc w:val="center"/>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宋体" w:cs="Times New Roman"/>
                <w:color w:val="0000FF"/>
                <w:sz w:val="21"/>
                <w:szCs w:val="21"/>
                <w:highlight w:val="none"/>
                <w:lang w:val="en-US" w:eastAsia="zh-CN"/>
              </w:rPr>
              <w:t>4</w:t>
            </w:r>
          </w:p>
        </w:tc>
        <w:tc>
          <w:tcPr>
            <w:tcW w:w="1704" w:type="dxa"/>
            <w:tcBorders>
              <w:right w:val="single" w:color="auto" w:sz="4" w:space="0"/>
              <w:tl2br w:val="nil"/>
              <w:tr2bl w:val="nil"/>
            </w:tcBorders>
            <w:vAlign w:val="center"/>
          </w:tcPr>
          <w:p w14:paraId="4185E973">
            <w:pPr>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eastAsia="宋体" w:cs="Times New Roman"/>
                <w:color w:val="0000FF"/>
                <w:spacing w:val="-1"/>
                <w:highlight w:val="none"/>
                <w:lang w:val="en-US" w:eastAsia="zh-CN"/>
              </w:rPr>
              <w:t>灌溉井4</w:t>
            </w:r>
            <w:r>
              <w:rPr>
                <w:rFonts w:hint="default" w:ascii="Times New Roman" w:hAnsi="Times New Roman" w:eastAsia="Times New Roman" w:cs="Times New Roman"/>
                <w:color w:val="0000FF"/>
                <w:spacing w:val="-1"/>
                <w:highlight w:val="none"/>
              </w:rPr>
              <w:t>#</w:t>
            </w:r>
          </w:p>
        </w:tc>
        <w:tc>
          <w:tcPr>
            <w:tcW w:w="1852" w:type="dxa"/>
            <w:tcBorders>
              <w:left w:val="single" w:color="auto" w:sz="4" w:space="0"/>
              <w:tl2br w:val="nil"/>
              <w:tr2bl w:val="nil"/>
            </w:tcBorders>
            <w:vAlign w:val="center"/>
          </w:tcPr>
          <w:p w14:paraId="2DA22DB1">
            <w:pPr>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农业用水</w:t>
            </w:r>
          </w:p>
        </w:tc>
        <w:tc>
          <w:tcPr>
            <w:tcW w:w="1580" w:type="dxa"/>
            <w:tcBorders>
              <w:tl2br w:val="nil"/>
              <w:tr2bl w:val="nil"/>
            </w:tcBorders>
            <w:vAlign w:val="center"/>
          </w:tcPr>
          <w:p w14:paraId="317D9412">
            <w:pPr>
              <w:keepNext w:val="0"/>
              <w:keepLines w:val="0"/>
              <w:pageBreakBefore w:val="0"/>
              <w:kinsoku/>
              <w:wordWrap w:val="0"/>
              <w:overflowPunct/>
              <w:topLinePunct/>
              <w:autoSpaceDE/>
              <w:autoSpaceDN/>
              <w:bidi w:val="0"/>
              <w:adjustRightInd w:val="0"/>
              <w:snapToGrid w:val="0"/>
              <w:spacing w:before="71" w:line="192" w:lineRule="auto"/>
              <w:jc w:val="center"/>
              <w:textAlignment w:val="baseline"/>
              <w:rPr>
                <w:rFonts w:hint="default" w:ascii="Times New Roman" w:hAnsi="Times New Roman" w:eastAsia="宋体" w:cs="Times New Roman"/>
                <w:color w:val="0000FF"/>
                <w:spacing w:val="-1"/>
                <w:sz w:val="21"/>
                <w:szCs w:val="21"/>
                <w:highlight w:val="none"/>
                <w:lang w:val="en-US" w:eastAsia="zh-CN"/>
              </w:rPr>
            </w:pPr>
            <w:r>
              <w:rPr>
                <w:rFonts w:hint="default" w:ascii="Times New Roman" w:hAnsi="Times New Roman" w:eastAsia="宋体" w:cs="Times New Roman"/>
                <w:color w:val="0000FF"/>
                <w:sz w:val="21"/>
                <w:szCs w:val="21"/>
                <w:highlight w:val="none"/>
                <w:lang w:val="en-US" w:eastAsia="zh-CN"/>
              </w:rPr>
              <w:t>80.2</w:t>
            </w:r>
          </w:p>
        </w:tc>
        <w:tc>
          <w:tcPr>
            <w:tcW w:w="1008" w:type="dxa"/>
            <w:tcBorders>
              <w:right w:val="single" w:color="auto" w:sz="4" w:space="0"/>
              <w:tl2br w:val="nil"/>
              <w:tr2bl w:val="nil"/>
            </w:tcBorders>
            <w:shd w:val="clear" w:color="auto" w:fill="auto"/>
            <w:vAlign w:val="center"/>
          </w:tcPr>
          <w:p w14:paraId="588B5592">
            <w:pPr>
              <w:pStyle w:val="35"/>
              <w:keepNext w:val="0"/>
              <w:keepLines w:val="0"/>
              <w:pageBreakBefore w:val="0"/>
              <w:kinsoku/>
              <w:wordWrap w:val="0"/>
              <w:overflowPunct/>
              <w:topLinePunct/>
              <w:autoSpaceDE/>
              <w:autoSpaceDN/>
              <w:bidi w:val="0"/>
              <w:adjustRightInd w:val="0"/>
              <w:snapToGrid w:val="0"/>
              <w:spacing w:before="34" w:line="202" w:lineRule="auto"/>
              <w:jc w:val="center"/>
              <w:textAlignment w:val="baseline"/>
              <w:rPr>
                <w:rFonts w:hint="default" w:ascii="Times New Roman" w:hAnsi="Times New Roman" w:eastAsia="宋体" w:cs="Times New Roman"/>
                <w:snapToGrid w:val="0"/>
                <w:color w:val="0000FF"/>
                <w:kern w:val="0"/>
                <w:sz w:val="21"/>
                <w:szCs w:val="21"/>
                <w:highlight w:val="none"/>
                <w:lang w:val="en-US" w:eastAsia="en-US" w:bidi="ar-SA"/>
              </w:rPr>
            </w:pPr>
            <w:r>
              <w:rPr>
                <w:rFonts w:hint="default" w:ascii="Times New Roman" w:hAnsi="Times New Roman" w:cs="Times New Roman"/>
                <w:color w:val="0000FF"/>
                <w:spacing w:val="-1"/>
                <w:highlight w:val="none"/>
              </w:rPr>
              <w:t>潜水层</w:t>
            </w:r>
          </w:p>
        </w:tc>
        <w:tc>
          <w:tcPr>
            <w:tcW w:w="1108" w:type="dxa"/>
            <w:tcBorders>
              <w:left w:val="single" w:color="auto" w:sz="4" w:space="0"/>
              <w:tl2br w:val="nil"/>
              <w:tr2bl w:val="nil"/>
            </w:tcBorders>
            <w:shd w:val="clear" w:color="auto" w:fill="auto"/>
            <w:vAlign w:val="center"/>
          </w:tcPr>
          <w:p w14:paraId="38D4715F">
            <w:pPr>
              <w:pStyle w:val="35"/>
              <w:keepNext w:val="0"/>
              <w:keepLines w:val="0"/>
              <w:pageBreakBefore w:val="0"/>
              <w:kinsoku/>
              <w:wordWrap w:val="0"/>
              <w:overflowPunct/>
              <w:topLinePunct/>
              <w:autoSpaceDE/>
              <w:autoSpaceDN/>
              <w:bidi w:val="0"/>
              <w:adjustRightInd w:val="0"/>
              <w:snapToGrid w:val="0"/>
              <w:spacing w:before="34" w:line="202"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440</w:t>
            </w:r>
          </w:p>
        </w:tc>
      </w:tr>
      <w:tr w14:paraId="526C20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78" w:hRule="atLeast"/>
          <w:jc w:val="center"/>
        </w:trPr>
        <w:tc>
          <w:tcPr>
            <w:tcW w:w="912" w:type="dxa"/>
            <w:tcBorders>
              <w:tl2br w:val="nil"/>
              <w:tr2bl w:val="nil"/>
            </w:tcBorders>
            <w:vAlign w:val="center"/>
          </w:tcPr>
          <w:p w14:paraId="546F30C8">
            <w:pPr>
              <w:keepNext w:val="0"/>
              <w:keepLines w:val="0"/>
              <w:pageBreakBefore w:val="0"/>
              <w:kinsoku/>
              <w:wordWrap w:val="0"/>
              <w:overflowPunct/>
              <w:topLinePunct/>
              <w:autoSpaceDE/>
              <w:autoSpaceDN/>
              <w:bidi w:val="0"/>
              <w:adjustRightInd w:val="0"/>
              <w:snapToGrid w:val="0"/>
              <w:spacing w:before="71" w:line="192" w:lineRule="auto"/>
              <w:jc w:val="center"/>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宋体" w:cs="Times New Roman"/>
                <w:color w:val="0000FF"/>
                <w:sz w:val="21"/>
                <w:szCs w:val="21"/>
                <w:highlight w:val="none"/>
                <w:lang w:val="en-US" w:eastAsia="zh-CN"/>
              </w:rPr>
              <w:t>5</w:t>
            </w:r>
          </w:p>
        </w:tc>
        <w:tc>
          <w:tcPr>
            <w:tcW w:w="1704" w:type="dxa"/>
            <w:tcBorders>
              <w:right w:val="single" w:color="auto" w:sz="4" w:space="0"/>
              <w:tl2br w:val="nil"/>
              <w:tr2bl w:val="nil"/>
            </w:tcBorders>
            <w:vAlign w:val="center"/>
          </w:tcPr>
          <w:p w14:paraId="2B2782D8">
            <w:pPr>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eastAsia="宋体" w:cs="Times New Roman"/>
                <w:color w:val="0000FF"/>
                <w:spacing w:val="-1"/>
                <w:highlight w:val="none"/>
                <w:lang w:val="en-US" w:eastAsia="zh-CN"/>
              </w:rPr>
              <w:t>灌溉井5</w:t>
            </w:r>
            <w:r>
              <w:rPr>
                <w:rFonts w:hint="default" w:ascii="Times New Roman" w:hAnsi="Times New Roman" w:eastAsia="Times New Roman" w:cs="Times New Roman"/>
                <w:color w:val="0000FF"/>
                <w:spacing w:val="-1"/>
                <w:highlight w:val="none"/>
              </w:rPr>
              <w:t>#</w:t>
            </w:r>
          </w:p>
        </w:tc>
        <w:tc>
          <w:tcPr>
            <w:tcW w:w="1852" w:type="dxa"/>
            <w:tcBorders>
              <w:left w:val="single" w:color="auto" w:sz="4" w:space="0"/>
              <w:tl2br w:val="nil"/>
              <w:tr2bl w:val="nil"/>
            </w:tcBorders>
            <w:vAlign w:val="center"/>
          </w:tcPr>
          <w:p w14:paraId="1FF4829F">
            <w:pPr>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农业用水</w:t>
            </w:r>
          </w:p>
        </w:tc>
        <w:tc>
          <w:tcPr>
            <w:tcW w:w="1580" w:type="dxa"/>
            <w:tcBorders>
              <w:tl2br w:val="nil"/>
              <w:tr2bl w:val="nil"/>
            </w:tcBorders>
            <w:vAlign w:val="center"/>
          </w:tcPr>
          <w:p w14:paraId="67F9E4F3">
            <w:pPr>
              <w:keepNext w:val="0"/>
              <w:keepLines w:val="0"/>
              <w:pageBreakBefore w:val="0"/>
              <w:kinsoku/>
              <w:wordWrap w:val="0"/>
              <w:overflowPunct/>
              <w:topLinePunct/>
              <w:autoSpaceDE/>
              <w:autoSpaceDN/>
              <w:bidi w:val="0"/>
              <w:adjustRightInd w:val="0"/>
              <w:snapToGrid w:val="0"/>
              <w:spacing w:before="71" w:line="192" w:lineRule="auto"/>
              <w:jc w:val="center"/>
              <w:textAlignment w:val="baseline"/>
              <w:rPr>
                <w:rFonts w:hint="default" w:ascii="Times New Roman" w:hAnsi="Times New Roman" w:eastAsia="宋体" w:cs="Times New Roman"/>
                <w:color w:val="0000FF"/>
                <w:spacing w:val="-1"/>
                <w:sz w:val="21"/>
                <w:szCs w:val="21"/>
                <w:highlight w:val="none"/>
                <w:lang w:val="en-US" w:eastAsia="zh-CN"/>
              </w:rPr>
            </w:pPr>
            <w:r>
              <w:rPr>
                <w:rFonts w:hint="default" w:ascii="Times New Roman" w:hAnsi="Times New Roman" w:eastAsia="宋体" w:cs="Times New Roman"/>
                <w:color w:val="0000FF"/>
                <w:spacing w:val="-1"/>
                <w:sz w:val="21"/>
                <w:szCs w:val="21"/>
                <w:highlight w:val="none"/>
                <w:lang w:val="en-US" w:eastAsia="zh-CN"/>
              </w:rPr>
              <w:t>80.</w:t>
            </w:r>
            <w:r>
              <w:rPr>
                <w:rFonts w:hint="eastAsia" w:ascii="Times New Roman" w:hAnsi="Times New Roman" w:eastAsia="宋体" w:cs="Times New Roman"/>
                <w:color w:val="0000FF"/>
                <w:spacing w:val="-1"/>
                <w:sz w:val="21"/>
                <w:szCs w:val="21"/>
                <w:highlight w:val="none"/>
                <w:lang w:val="en-US" w:eastAsia="zh-CN"/>
              </w:rPr>
              <w:t>9</w:t>
            </w:r>
          </w:p>
        </w:tc>
        <w:tc>
          <w:tcPr>
            <w:tcW w:w="1008" w:type="dxa"/>
            <w:tcBorders>
              <w:right w:val="single" w:color="auto" w:sz="4" w:space="0"/>
              <w:tl2br w:val="nil"/>
              <w:tr2bl w:val="nil"/>
            </w:tcBorders>
            <w:shd w:val="clear" w:color="auto" w:fill="auto"/>
            <w:vAlign w:val="center"/>
          </w:tcPr>
          <w:p w14:paraId="537802F2">
            <w:pPr>
              <w:pStyle w:val="35"/>
              <w:keepNext w:val="0"/>
              <w:keepLines w:val="0"/>
              <w:pageBreakBefore w:val="0"/>
              <w:kinsoku/>
              <w:wordWrap w:val="0"/>
              <w:overflowPunct/>
              <w:topLinePunct/>
              <w:autoSpaceDE/>
              <w:autoSpaceDN/>
              <w:bidi w:val="0"/>
              <w:adjustRightInd w:val="0"/>
              <w:snapToGrid w:val="0"/>
              <w:spacing w:before="37" w:line="197" w:lineRule="auto"/>
              <w:jc w:val="center"/>
              <w:textAlignment w:val="baseline"/>
              <w:rPr>
                <w:rFonts w:hint="default" w:ascii="Times New Roman" w:hAnsi="Times New Roman" w:eastAsia="宋体" w:cs="Times New Roman"/>
                <w:snapToGrid w:val="0"/>
                <w:color w:val="0000FF"/>
                <w:kern w:val="0"/>
                <w:sz w:val="21"/>
                <w:szCs w:val="21"/>
                <w:highlight w:val="none"/>
                <w:lang w:val="en-US" w:eastAsia="en-US" w:bidi="ar-SA"/>
              </w:rPr>
            </w:pPr>
            <w:r>
              <w:rPr>
                <w:rFonts w:hint="default" w:ascii="Times New Roman" w:hAnsi="Times New Roman" w:cs="Times New Roman"/>
                <w:color w:val="0000FF"/>
                <w:spacing w:val="-1"/>
                <w:highlight w:val="none"/>
              </w:rPr>
              <w:t>潜水层</w:t>
            </w:r>
          </w:p>
        </w:tc>
        <w:tc>
          <w:tcPr>
            <w:tcW w:w="1108" w:type="dxa"/>
            <w:tcBorders>
              <w:left w:val="single" w:color="auto" w:sz="4" w:space="0"/>
              <w:tl2br w:val="nil"/>
              <w:tr2bl w:val="nil"/>
            </w:tcBorders>
            <w:shd w:val="clear" w:color="auto" w:fill="auto"/>
            <w:vAlign w:val="center"/>
          </w:tcPr>
          <w:p w14:paraId="57EA0909">
            <w:pPr>
              <w:pStyle w:val="35"/>
              <w:keepNext w:val="0"/>
              <w:keepLines w:val="0"/>
              <w:pageBreakBefore w:val="0"/>
              <w:kinsoku/>
              <w:wordWrap w:val="0"/>
              <w:overflowPunct/>
              <w:topLinePunct/>
              <w:autoSpaceDE/>
              <w:autoSpaceDN/>
              <w:bidi w:val="0"/>
              <w:adjustRightInd w:val="0"/>
              <w:snapToGrid w:val="0"/>
              <w:spacing w:before="37" w:line="197"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521</w:t>
            </w:r>
          </w:p>
        </w:tc>
      </w:tr>
      <w:tr w14:paraId="583FF0A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75" w:hRule="atLeast"/>
          <w:jc w:val="center"/>
        </w:trPr>
        <w:tc>
          <w:tcPr>
            <w:tcW w:w="912" w:type="dxa"/>
            <w:tcBorders>
              <w:tl2br w:val="nil"/>
              <w:tr2bl w:val="nil"/>
            </w:tcBorders>
            <w:vAlign w:val="center"/>
          </w:tcPr>
          <w:p w14:paraId="2E23CF30">
            <w:pPr>
              <w:keepNext w:val="0"/>
              <w:keepLines w:val="0"/>
              <w:pageBreakBefore w:val="0"/>
              <w:kinsoku/>
              <w:wordWrap w:val="0"/>
              <w:overflowPunct/>
              <w:topLinePunct/>
              <w:autoSpaceDE/>
              <w:autoSpaceDN/>
              <w:bidi w:val="0"/>
              <w:adjustRightInd w:val="0"/>
              <w:snapToGrid w:val="0"/>
              <w:spacing w:before="71" w:line="192" w:lineRule="auto"/>
              <w:jc w:val="center"/>
              <w:textAlignment w:val="baseline"/>
              <w:rPr>
                <w:rFonts w:hint="default" w:ascii="Times New Roman" w:hAnsi="Times New Roman" w:eastAsia="宋体" w:cs="Times New Roman"/>
                <w:color w:val="0000FF"/>
                <w:sz w:val="21"/>
                <w:szCs w:val="21"/>
                <w:highlight w:val="none"/>
                <w:lang w:val="en-US" w:eastAsia="zh-CN"/>
              </w:rPr>
            </w:pPr>
            <w:r>
              <w:rPr>
                <w:rFonts w:hint="default" w:ascii="Times New Roman" w:hAnsi="Times New Roman" w:eastAsia="宋体" w:cs="Times New Roman"/>
                <w:color w:val="0000FF"/>
                <w:sz w:val="21"/>
                <w:szCs w:val="21"/>
                <w:highlight w:val="none"/>
                <w:lang w:val="en-US" w:eastAsia="zh-CN"/>
              </w:rPr>
              <w:t>6</w:t>
            </w:r>
          </w:p>
        </w:tc>
        <w:tc>
          <w:tcPr>
            <w:tcW w:w="1704" w:type="dxa"/>
            <w:tcBorders>
              <w:right w:val="single" w:color="auto" w:sz="4" w:space="0"/>
              <w:tl2br w:val="nil"/>
              <w:tr2bl w:val="nil"/>
            </w:tcBorders>
            <w:vAlign w:val="center"/>
          </w:tcPr>
          <w:p w14:paraId="28704395">
            <w:pPr>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eastAsia="宋体" w:cs="Times New Roman"/>
                <w:color w:val="0000FF"/>
                <w:spacing w:val="-1"/>
                <w:highlight w:val="none"/>
                <w:lang w:val="en-US" w:eastAsia="zh-CN"/>
              </w:rPr>
              <w:t>灌溉井6</w:t>
            </w:r>
            <w:r>
              <w:rPr>
                <w:rFonts w:hint="default" w:ascii="Times New Roman" w:hAnsi="Times New Roman" w:eastAsia="Times New Roman" w:cs="Times New Roman"/>
                <w:color w:val="0000FF"/>
                <w:spacing w:val="-1"/>
                <w:highlight w:val="none"/>
              </w:rPr>
              <w:t>#</w:t>
            </w:r>
          </w:p>
        </w:tc>
        <w:tc>
          <w:tcPr>
            <w:tcW w:w="1852" w:type="dxa"/>
            <w:tcBorders>
              <w:left w:val="single" w:color="auto" w:sz="4" w:space="0"/>
              <w:tl2br w:val="nil"/>
              <w:tr2bl w:val="nil"/>
            </w:tcBorders>
            <w:vAlign w:val="center"/>
          </w:tcPr>
          <w:p w14:paraId="3615EC71">
            <w:pPr>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color w:val="0000FF"/>
                <w:spacing w:val="-1"/>
                <w:highlight w:val="none"/>
                <w:lang w:val="en-US" w:eastAsia="zh-CN"/>
              </w:rPr>
            </w:pPr>
            <w:r>
              <w:rPr>
                <w:rFonts w:hint="default" w:ascii="Times New Roman" w:hAnsi="Times New Roman" w:cs="Times New Roman"/>
                <w:color w:val="0000FF"/>
                <w:spacing w:val="-1"/>
                <w:highlight w:val="none"/>
                <w:lang w:val="en-US" w:eastAsia="zh-CN"/>
              </w:rPr>
              <w:t>农业用水</w:t>
            </w:r>
          </w:p>
        </w:tc>
        <w:tc>
          <w:tcPr>
            <w:tcW w:w="1580" w:type="dxa"/>
            <w:tcBorders>
              <w:tl2br w:val="nil"/>
              <w:tr2bl w:val="nil"/>
            </w:tcBorders>
            <w:vAlign w:val="center"/>
          </w:tcPr>
          <w:p w14:paraId="05957FB5">
            <w:pPr>
              <w:keepNext w:val="0"/>
              <w:keepLines w:val="0"/>
              <w:pageBreakBefore w:val="0"/>
              <w:kinsoku/>
              <w:wordWrap w:val="0"/>
              <w:overflowPunct/>
              <w:topLinePunct/>
              <w:autoSpaceDE/>
              <w:autoSpaceDN/>
              <w:bidi w:val="0"/>
              <w:adjustRightInd w:val="0"/>
              <w:snapToGrid w:val="0"/>
              <w:spacing w:before="71" w:line="192" w:lineRule="auto"/>
              <w:jc w:val="center"/>
              <w:textAlignment w:val="baseline"/>
              <w:rPr>
                <w:rFonts w:hint="default" w:ascii="Times New Roman" w:hAnsi="Times New Roman" w:eastAsia="宋体" w:cs="Times New Roman"/>
                <w:color w:val="0000FF"/>
                <w:spacing w:val="-1"/>
                <w:sz w:val="21"/>
                <w:szCs w:val="21"/>
                <w:highlight w:val="none"/>
                <w:lang w:val="en-US" w:eastAsia="zh-CN"/>
              </w:rPr>
            </w:pPr>
            <w:r>
              <w:rPr>
                <w:rFonts w:hint="default" w:ascii="Times New Roman" w:hAnsi="Times New Roman" w:eastAsia="宋体" w:cs="Times New Roman"/>
                <w:color w:val="0000FF"/>
                <w:spacing w:val="-1"/>
                <w:sz w:val="21"/>
                <w:szCs w:val="21"/>
                <w:highlight w:val="none"/>
                <w:lang w:val="en-US" w:eastAsia="zh-CN"/>
              </w:rPr>
              <w:t>79.1</w:t>
            </w:r>
          </w:p>
        </w:tc>
        <w:tc>
          <w:tcPr>
            <w:tcW w:w="1008" w:type="dxa"/>
            <w:tcBorders>
              <w:right w:val="single" w:color="auto" w:sz="4" w:space="0"/>
              <w:tl2br w:val="nil"/>
              <w:tr2bl w:val="nil"/>
            </w:tcBorders>
            <w:shd w:val="clear" w:color="auto" w:fill="auto"/>
            <w:vAlign w:val="center"/>
          </w:tcPr>
          <w:p w14:paraId="17C07882">
            <w:pPr>
              <w:pStyle w:val="35"/>
              <w:keepNext w:val="0"/>
              <w:keepLines w:val="0"/>
              <w:pageBreakBefore w:val="0"/>
              <w:kinsoku/>
              <w:wordWrap w:val="0"/>
              <w:overflowPunct/>
              <w:topLinePunct/>
              <w:autoSpaceDE/>
              <w:autoSpaceDN/>
              <w:bidi w:val="0"/>
              <w:adjustRightInd w:val="0"/>
              <w:snapToGrid w:val="0"/>
              <w:spacing w:before="44" w:line="194" w:lineRule="auto"/>
              <w:jc w:val="center"/>
              <w:textAlignment w:val="baseline"/>
              <w:rPr>
                <w:rFonts w:hint="default" w:ascii="Times New Roman" w:hAnsi="Times New Roman" w:eastAsia="宋体" w:cs="Times New Roman"/>
                <w:snapToGrid w:val="0"/>
                <w:color w:val="0000FF"/>
                <w:kern w:val="0"/>
                <w:sz w:val="21"/>
                <w:szCs w:val="21"/>
                <w:highlight w:val="none"/>
                <w:lang w:val="en-US" w:eastAsia="en-US" w:bidi="ar-SA"/>
              </w:rPr>
            </w:pPr>
            <w:r>
              <w:rPr>
                <w:rFonts w:hint="default" w:ascii="Times New Roman" w:hAnsi="Times New Roman" w:cs="Times New Roman"/>
                <w:color w:val="0000FF"/>
                <w:spacing w:val="-1"/>
                <w:highlight w:val="none"/>
              </w:rPr>
              <w:t>潜水层</w:t>
            </w:r>
          </w:p>
        </w:tc>
        <w:tc>
          <w:tcPr>
            <w:tcW w:w="1108" w:type="dxa"/>
            <w:tcBorders>
              <w:left w:val="single" w:color="auto" w:sz="4" w:space="0"/>
              <w:tl2br w:val="nil"/>
              <w:tr2bl w:val="nil"/>
            </w:tcBorders>
            <w:shd w:val="clear" w:color="auto" w:fill="auto"/>
            <w:vAlign w:val="center"/>
          </w:tcPr>
          <w:p w14:paraId="3F601C6D">
            <w:pPr>
              <w:pStyle w:val="35"/>
              <w:keepNext w:val="0"/>
              <w:keepLines w:val="0"/>
              <w:pageBreakBefore w:val="0"/>
              <w:kinsoku/>
              <w:wordWrap w:val="0"/>
              <w:overflowPunct/>
              <w:topLinePunct/>
              <w:autoSpaceDE/>
              <w:autoSpaceDN/>
              <w:bidi w:val="0"/>
              <w:adjustRightInd w:val="0"/>
              <w:snapToGrid w:val="0"/>
              <w:spacing w:before="37" w:line="197" w:lineRule="auto"/>
              <w:jc w:val="center"/>
              <w:textAlignment w:val="baseline"/>
              <w:rPr>
                <w:rFonts w:hint="default" w:ascii="Times New Roman" w:hAnsi="Times New Roman" w:eastAsia="宋体" w:cs="Times New Roman"/>
                <w:snapToGrid w:val="0"/>
                <w:color w:val="0000FF"/>
                <w:spacing w:val="-1"/>
                <w:kern w:val="0"/>
                <w:sz w:val="21"/>
                <w:szCs w:val="21"/>
                <w:highlight w:val="none"/>
                <w:lang w:val="en-US" w:eastAsia="zh-CN" w:bidi="ar-SA"/>
              </w:rPr>
            </w:pPr>
            <w:r>
              <w:rPr>
                <w:rFonts w:hint="default" w:ascii="Times New Roman" w:hAnsi="Times New Roman" w:cs="Times New Roman"/>
                <w:color w:val="0000FF"/>
                <w:spacing w:val="-1"/>
                <w:highlight w:val="none"/>
                <w:lang w:val="en-US" w:eastAsia="zh-CN"/>
              </w:rPr>
              <w:t>370</w:t>
            </w:r>
          </w:p>
        </w:tc>
      </w:tr>
    </w:tbl>
    <w:p w14:paraId="785F3E74">
      <w:pPr>
        <w:keepNext w:val="0"/>
        <w:keepLines w:val="0"/>
        <w:pageBreakBefore w:val="0"/>
        <w:kinsoku/>
        <w:wordWrap w:val="0"/>
        <w:overflowPunct/>
        <w:topLinePunct/>
        <w:autoSpaceDE/>
        <w:autoSpaceDN/>
        <w:bidi w:val="0"/>
        <w:adjustRightInd w:val="0"/>
        <w:snapToGrid w:val="0"/>
        <w:spacing w:before="172" w:line="233" w:lineRule="auto"/>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4449445" cy="3406775"/>
            <wp:effectExtent l="0" t="0" r="8255"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8"/>
                    <a:stretch>
                      <a:fillRect/>
                    </a:stretch>
                  </pic:blipFill>
                  <pic:spPr>
                    <a:xfrm>
                      <a:off x="0" y="0"/>
                      <a:ext cx="4449445" cy="3406775"/>
                    </a:xfrm>
                    <a:prstGeom prst="rect">
                      <a:avLst/>
                    </a:prstGeom>
                    <a:noFill/>
                    <a:ln>
                      <a:noFill/>
                    </a:ln>
                  </pic:spPr>
                </pic:pic>
              </a:graphicData>
            </a:graphic>
          </wp:inline>
        </w:drawing>
      </w:r>
    </w:p>
    <w:p w14:paraId="74F1DBB3">
      <w:pPr>
        <w:keepNext w:val="0"/>
        <w:keepLines w:val="0"/>
        <w:pageBreakBefore w:val="0"/>
        <w:kinsoku/>
        <w:wordWrap w:val="0"/>
        <w:overflowPunct/>
        <w:topLinePunct/>
        <w:autoSpaceDE/>
        <w:autoSpaceDN/>
        <w:bidi w:val="0"/>
        <w:adjustRightInd w:val="0"/>
        <w:snapToGrid w:val="0"/>
        <w:spacing w:before="172" w:line="233" w:lineRule="auto"/>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3"/>
          <w:sz w:val="24"/>
          <w:szCs w:val="24"/>
          <w:highlight w:val="none"/>
        </w:rPr>
        <w:t>图</w:t>
      </w:r>
      <w:r>
        <w:rPr>
          <w:rFonts w:hint="default" w:ascii="Times New Roman" w:hAnsi="Times New Roman" w:eastAsia="Times New Roman" w:cs="Times New Roman"/>
          <w:b/>
          <w:bCs/>
          <w:color w:val="auto"/>
          <w:spacing w:val="-3"/>
          <w:sz w:val="24"/>
          <w:szCs w:val="24"/>
          <w:highlight w:val="none"/>
        </w:rPr>
        <w:t>4.3-2</w:t>
      </w:r>
      <w:r>
        <w:rPr>
          <w:rFonts w:hint="default" w:ascii="Times New Roman" w:hAnsi="Times New Roman" w:eastAsia="宋体" w:cs="Times New Roman"/>
          <w:b/>
          <w:bCs/>
          <w:color w:val="auto"/>
          <w:spacing w:val="-3"/>
          <w:sz w:val="24"/>
          <w:szCs w:val="24"/>
          <w:highlight w:val="none"/>
        </w:rPr>
        <w:t>地下水检测点位示意图</w:t>
      </w:r>
    </w:p>
    <w:p w14:paraId="7C1B4293">
      <w:pPr>
        <w:keepNext w:val="0"/>
        <w:keepLines w:val="0"/>
        <w:pageBreakBefore w:val="0"/>
        <w:kinsoku/>
        <w:wordWrap w:val="0"/>
        <w:overflowPunct/>
        <w:topLinePunct/>
        <w:autoSpaceDE/>
        <w:autoSpaceDN/>
        <w:bidi w:val="0"/>
        <w:adjustRightInd w:val="0"/>
        <w:snapToGrid w:val="0"/>
        <w:spacing w:before="165" w:line="233" w:lineRule="auto"/>
        <w:textAlignment w:val="baseline"/>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color w:val="auto"/>
          <w:spacing w:val="-2"/>
          <w:sz w:val="24"/>
          <w:szCs w:val="24"/>
          <w:highlight w:val="none"/>
          <w:lang w:eastAsia="zh-CN"/>
        </w:rPr>
        <w:t>（</w:t>
      </w:r>
      <w:r>
        <w:rPr>
          <w:rFonts w:hint="default" w:ascii="Times New Roman" w:hAnsi="Times New Roman" w:eastAsia="宋体" w:cs="Times New Roman"/>
          <w:b w:val="0"/>
          <w:bCs w:val="0"/>
          <w:color w:val="auto"/>
          <w:spacing w:val="-2"/>
          <w:sz w:val="24"/>
          <w:szCs w:val="24"/>
          <w:highlight w:val="none"/>
          <w:lang w:val="en-US" w:eastAsia="zh-CN"/>
        </w:rPr>
        <w:t>2</w:t>
      </w:r>
      <w:r>
        <w:rPr>
          <w:rFonts w:hint="default" w:ascii="Times New Roman" w:hAnsi="Times New Roman" w:eastAsia="宋体" w:cs="Times New Roman"/>
          <w:b w:val="0"/>
          <w:bCs w:val="0"/>
          <w:color w:val="auto"/>
          <w:spacing w:val="-2"/>
          <w:sz w:val="24"/>
          <w:szCs w:val="24"/>
          <w:highlight w:val="none"/>
          <w:lang w:eastAsia="zh-CN"/>
        </w:rPr>
        <w:t>）</w:t>
      </w:r>
      <w:r>
        <w:rPr>
          <w:rFonts w:hint="default" w:ascii="Times New Roman" w:hAnsi="Times New Roman" w:eastAsia="宋体" w:cs="Times New Roman"/>
          <w:b w:val="0"/>
          <w:bCs w:val="0"/>
          <w:color w:val="auto"/>
          <w:spacing w:val="-2"/>
          <w:sz w:val="24"/>
          <w:szCs w:val="24"/>
          <w:highlight w:val="none"/>
        </w:rPr>
        <w:t>监测时间及频率</w:t>
      </w:r>
    </w:p>
    <w:p w14:paraId="053727A9">
      <w:pPr>
        <w:keepNext w:val="0"/>
        <w:keepLines w:val="0"/>
        <w:pageBreakBefore w:val="0"/>
        <w:kinsoku/>
        <w:wordWrap w:val="0"/>
        <w:overflowPunct/>
        <w:topLinePunct/>
        <w:autoSpaceDE/>
        <w:autoSpaceDN/>
        <w:bidi w:val="0"/>
        <w:adjustRightInd w:val="0"/>
        <w:snapToGrid w:val="0"/>
        <w:spacing w:before="162" w:line="233" w:lineRule="auto"/>
        <w:ind w:left="484"/>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监测点于</w:t>
      </w:r>
      <w:r>
        <w:rPr>
          <w:rFonts w:hint="default" w:ascii="Times New Roman" w:hAnsi="Times New Roman" w:eastAsia="Times New Roman" w:cs="Times New Roman"/>
          <w:color w:val="auto"/>
          <w:spacing w:val="-3"/>
          <w:sz w:val="24"/>
          <w:szCs w:val="24"/>
          <w:highlight w:val="none"/>
        </w:rPr>
        <w:t>202</w:t>
      </w:r>
      <w:r>
        <w:rPr>
          <w:rFonts w:hint="default" w:ascii="Times New Roman" w:hAnsi="Times New Roman" w:eastAsia="宋体" w:cs="Times New Roman"/>
          <w:color w:val="auto"/>
          <w:spacing w:val="-3"/>
          <w:sz w:val="24"/>
          <w:szCs w:val="24"/>
          <w:highlight w:val="none"/>
          <w:lang w:val="en-US" w:eastAsia="zh-CN"/>
        </w:rPr>
        <w:t>5</w:t>
      </w:r>
      <w:r>
        <w:rPr>
          <w:rFonts w:hint="default" w:ascii="Times New Roman" w:hAnsi="Times New Roman" w:eastAsia="宋体" w:cs="Times New Roman"/>
          <w:color w:val="auto"/>
          <w:spacing w:val="-3"/>
          <w:sz w:val="24"/>
          <w:szCs w:val="24"/>
          <w:highlight w:val="none"/>
        </w:rPr>
        <w:t>年</w:t>
      </w:r>
      <w:r>
        <w:rPr>
          <w:rFonts w:hint="default" w:ascii="Times New Roman" w:hAnsi="Times New Roman" w:eastAsia="宋体" w:cs="Times New Roman"/>
          <w:color w:val="auto"/>
          <w:spacing w:val="-3"/>
          <w:sz w:val="24"/>
          <w:szCs w:val="24"/>
          <w:highlight w:val="none"/>
          <w:lang w:val="en-US" w:eastAsia="zh-CN"/>
        </w:rPr>
        <w:t>5</w:t>
      </w:r>
      <w:r>
        <w:rPr>
          <w:rFonts w:hint="default" w:ascii="Times New Roman" w:hAnsi="Times New Roman" w:eastAsia="宋体" w:cs="Times New Roman"/>
          <w:color w:val="auto"/>
          <w:spacing w:val="-3"/>
          <w:sz w:val="24"/>
          <w:szCs w:val="24"/>
          <w:highlight w:val="none"/>
        </w:rPr>
        <w:t>月</w:t>
      </w:r>
      <w:r>
        <w:rPr>
          <w:rFonts w:hint="default" w:ascii="Times New Roman" w:hAnsi="Times New Roman" w:eastAsia="宋体" w:cs="Times New Roman"/>
          <w:color w:val="auto"/>
          <w:sz w:val="24"/>
          <w:szCs w:val="24"/>
          <w:highlight w:val="none"/>
          <w:lang w:val="en-US" w:eastAsia="zh-CN"/>
        </w:rPr>
        <w:t>17</w:t>
      </w:r>
      <w:r>
        <w:rPr>
          <w:rFonts w:hint="default" w:ascii="Times New Roman" w:hAnsi="Times New Roman" w:eastAsia="宋体" w:cs="Times New Roman"/>
          <w:color w:val="auto"/>
          <w:highlight w:val="none"/>
          <w:lang w:val="en-US" w:eastAsia="zh-CN"/>
        </w:rPr>
        <w:t>日</w:t>
      </w:r>
      <w:r>
        <w:rPr>
          <w:rFonts w:hint="default" w:ascii="Times New Roman" w:hAnsi="Times New Roman" w:eastAsia="宋体" w:cs="Times New Roman"/>
          <w:color w:val="auto"/>
          <w:spacing w:val="-3"/>
          <w:sz w:val="24"/>
          <w:szCs w:val="24"/>
          <w:highlight w:val="none"/>
        </w:rPr>
        <w:t>监测，监测频率</w:t>
      </w:r>
      <w:r>
        <w:rPr>
          <w:rFonts w:hint="default" w:ascii="Times New Roman" w:hAnsi="Times New Roman" w:eastAsia="宋体" w:cs="Times New Roman"/>
          <w:color w:val="auto"/>
          <w:spacing w:val="-4"/>
          <w:sz w:val="24"/>
          <w:szCs w:val="24"/>
          <w:highlight w:val="none"/>
        </w:rPr>
        <w:t>为一次。</w:t>
      </w:r>
    </w:p>
    <w:p w14:paraId="09916D08">
      <w:pPr>
        <w:keepNext w:val="0"/>
        <w:keepLines w:val="0"/>
        <w:pageBreakBefore w:val="0"/>
        <w:kinsoku/>
        <w:wordWrap w:val="0"/>
        <w:overflowPunct/>
        <w:topLinePunct/>
        <w:autoSpaceDE/>
        <w:autoSpaceDN/>
        <w:bidi w:val="0"/>
        <w:adjustRightInd w:val="0"/>
        <w:snapToGrid w:val="0"/>
        <w:spacing w:before="165" w:line="234" w:lineRule="auto"/>
        <w:textAlignment w:val="baseline"/>
        <w:rPr>
          <w:rFonts w:hint="default" w:ascii="Times New Roman" w:hAnsi="Times New Roman" w:eastAsia="宋体" w:cs="Times New Roman"/>
          <w:b w:val="0"/>
          <w:bCs w:val="0"/>
          <w:color w:val="auto"/>
          <w:sz w:val="24"/>
          <w:szCs w:val="24"/>
          <w:highlight w:val="none"/>
        </w:rPr>
      </w:pPr>
      <w:r>
        <w:rPr>
          <w:rFonts w:hint="default" w:ascii="Times New Roman" w:hAnsi="Times New Roman" w:eastAsia="宋体" w:cs="Times New Roman"/>
          <w:b w:val="0"/>
          <w:bCs w:val="0"/>
          <w:color w:val="auto"/>
          <w:spacing w:val="-2"/>
          <w:sz w:val="24"/>
          <w:szCs w:val="24"/>
          <w:highlight w:val="none"/>
          <w:lang w:eastAsia="zh-CN"/>
        </w:rPr>
        <w:t>（</w:t>
      </w:r>
      <w:r>
        <w:rPr>
          <w:rFonts w:hint="default" w:ascii="Times New Roman" w:hAnsi="Times New Roman" w:eastAsia="宋体" w:cs="Times New Roman"/>
          <w:b w:val="0"/>
          <w:bCs w:val="0"/>
          <w:color w:val="auto"/>
          <w:spacing w:val="-2"/>
          <w:sz w:val="24"/>
          <w:szCs w:val="24"/>
          <w:highlight w:val="none"/>
          <w:lang w:val="en-US" w:eastAsia="zh-CN"/>
        </w:rPr>
        <w:t>3</w:t>
      </w:r>
      <w:r>
        <w:rPr>
          <w:rFonts w:hint="default" w:ascii="Times New Roman" w:hAnsi="Times New Roman" w:eastAsia="宋体" w:cs="Times New Roman"/>
          <w:b w:val="0"/>
          <w:bCs w:val="0"/>
          <w:color w:val="auto"/>
          <w:spacing w:val="-2"/>
          <w:sz w:val="24"/>
          <w:szCs w:val="24"/>
          <w:highlight w:val="none"/>
          <w:lang w:eastAsia="zh-CN"/>
        </w:rPr>
        <w:t>）</w:t>
      </w:r>
      <w:r>
        <w:rPr>
          <w:rFonts w:hint="default" w:ascii="Times New Roman" w:hAnsi="Times New Roman" w:eastAsia="宋体" w:cs="Times New Roman"/>
          <w:b w:val="0"/>
          <w:bCs w:val="0"/>
          <w:color w:val="auto"/>
          <w:spacing w:val="-2"/>
          <w:sz w:val="24"/>
          <w:szCs w:val="24"/>
          <w:highlight w:val="none"/>
        </w:rPr>
        <w:t>监测项目及分析方法</w:t>
      </w:r>
    </w:p>
    <w:p w14:paraId="248DFA5D">
      <w:pPr>
        <w:keepNext w:val="0"/>
        <w:keepLines w:val="0"/>
        <w:pageBreakBefore w:val="0"/>
        <w:kinsoku/>
        <w:wordWrap w:val="0"/>
        <w:overflowPunct/>
        <w:topLinePunct/>
        <w:autoSpaceDE/>
        <w:autoSpaceDN/>
        <w:bidi w:val="0"/>
        <w:adjustRightInd w:val="0"/>
        <w:snapToGrid w:val="0"/>
        <w:spacing w:before="163" w:line="357" w:lineRule="auto"/>
        <w:ind w:left="2" w:right="11" w:firstLine="601"/>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监测项目为</w:t>
      </w:r>
      <w:r>
        <w:rPr>
          <w:rFonts w:hint="default" w:ascii="Times New Roman" w:hAnsi="Times New Roman" w:eastAsia="Times New Roman" w:cs="Times New Roman"/>
          <w:color w:val="auto"/>
          <w:spacing w:val="-4"/>
          <w:position w:val="-1"/>
          <w:sz w:val="24"/>
          <w:szCs w:val="24"/>
          <w:highlight w:val="none"/>
        </w:rPr>
        <w:t>K</w:t>
      </w:r>
      <w:r>
        <w:rPr>
          <w:rFonts w:hint="default" w:ascii="Times New Roman" w:hAnsi="Times New Roman" w:eastAsia="Times New Roman" w:cs="Times New Roman"/>
          <w:color w:val="auto"/>
          <w:spacing w:val="-4"/>
          <w:position w:val="9"/>
          <w:sz w:val="16"/>
          <w:szCs w:val="16"/>
          <w:highlight w:val="none"/>
        </w:rPr>
        <w:t>+</w:t>
      </w:r>
      <w:r>
        <w:rPr>
          <w:rFonts w:hint="default" w:ascii="Times New Roman" w:hAnsi="Times New Roman" w:eastAsia="宋体" w:cs="Times New Roman"/>
          <w:color w:val="auto"/>
          <w:spacing w:val="-4"/>
          <w:position w:val="-1"/>
          <w:sz w:val="24"/>
          <w:szCs w:val="24"/>
          <w:highlight w:val="none"/>
        </w:rPr>
        <w:t>，</w:t>
      </w:r>
      <w:r>
        <w:rPr>
          <w:rFonts w:hint="default" w:ascii="Times New Roman" w:hAnsi="Times New Roman" w:eastAsia="Times New Roman" w:cs="Times New Roman"/>
          <w:color w:val="auto"/>
          <w:spacing w:val="-4"/>
          <w:position w:val="-1"/>
          <w:sz w:val="24"/>
          <w:szCs w:val="24"/>
          <w:highlight w:val="none"/>
        </w:rPr>
        <w:t>Na</w:t>
      </w:r>
      <w:r>
        <w:rPr>
          <w:rFonts w:hint="default" w:ascii="Times New Roman" w:hAnsi="Times New Roman" w:eastAsia="Times New Roman" w:cs="Times New Roman"/>
          <w:color w:val="auto"/>
          <w:spacing w:val="-4"/>
          <w:position w:val="9"/>
          <w:sz w:val="16"/>
          <w:szCs w:val="16"/>
          <w:highlight w:val="none"/>
        </w:rPr>
        <w:t>+</w:t>
      </w:r>
      <w:r>
        <w:rPr>
          <w:rFonts w:hint="default" w:ascii="Times New Roman" w:hAnsi="Times New Roman" w:eastAsia="宋体" w:cs="Times New Roman"/>
          <w:color w:val="auto"/>
          <w:spacing w:val="-4"/>
          <w:position w:val="-1"/>
          <w:sz w:val="24"/>
          <w:szCs w:val="24"/>
          <w:highlight w:val="none"/>
        </w:rPr>
        <w:t>，</w:t>
      </w:r>
      <w:r>
        <w:rPr>
          <w:rFonts w:hint="default" w:ascii="Times New Roman" w:hAnsi="Times New Roman" w:eastAsia="Times New Roman" w:cs="Times New Roman"/>
          <w:color w:val="auto"/>
          <w:spacing w:val="-4"/>
          <w:position w:val="-1"/>
          <w:sz w:val="24"/>
          <w:szCs w:val="24"/>
          <w:highlight w:val="none"/>
        </w:rPr>
        <w:t>Ca</w:t>
      </w:r>
      <w:r>
        <w:rPr>
          <w:rFonts w:hint="default" w:ascii="Times New Roman" w:hAnsi="Times New Roman" w:eastAsia="Times New Roman" w:cs="Times New Roman"/>
          <w:color w:val="auto"/>
          <w:spacing w:val="-4"/>
          <w:position w:val="9"/>
          <w:sz w:val="16"/>
          <w:szCs w:val="16"/>
          <w:highlight w:val="none"/>
        </w:rPr>
        <w:t>2+</w:t>
      </w:r>
      <w:r>
        <w:rPr>
          <w:rFonts w:hint="default" w:ascii="Times New Roman" w:hAnsi="Times New Roman" w:eastAsia="宋体" w:cs="Times New Roman"/>
          <w:color w:val="auto"/>
          <w:spacing w:val="-4"/>
          <w:position w:val="-1"/>
          <w:sz w:val="24"/>
          <w:szCs w:val="24"/>
          <w:highlight w:val="none"/>
        </w:rPr>
        <w:t>，</w:t>
      </w:r>
      <w:r>
        <w:rPr>
          <w:rFonts w:hint="default" w:ascii="Times New Roman" w:hAnsi="Times New Roman" w:eastAsia="Times New Roman" w:cs="Times New Roman"/>
          <w:color w:val="auto"/>
          <w:spacing w:val="-4"/>
          <w:position w:val="-1"/>
          <w:sz w:val="24"/>
          <w:szCs w:val="24"/>
          <w:highlight w:val="none"/>
        </w:rPr>
        <w:t>Mg</w:t>
      </w:r>
      <w:r>
        <w:rPr>
          <w:rFonts w:hint="default" w:ascii="Times New Roman" w:hAnsi="Times New Roman" w:eastAsia="Times New Roman" w:cs="Times New Roman"/>
          <w:color w:val="auto"/>
          <w:spacing w:val="-4"/>
          <w:position w:val="9"/>
          <w:sz w:val="16"/>
          <w:szCs w:val="16"/>
          <w:highlight w:val="none"/>
        </w:rPr>
        <w:t>2+</w:t>
      </w:r>
      <w:r>
        <w:rPr>
          <w:rFonts w:hint="default" w:ascii="Times New Roman" w:hAnsi="Times New Roman" w:eastAsia="宋体" w:cs="Times New Roman"/>
          <w:color w:val="auto"/>
          <w:spacing w:val="-4"/>
          <w:position w:val="-1"/>
          <w:sz w:val="24"/>
          <w:szCs w:val="24"/>
          <w:highlight w:val="none"/>
        </w:rPr>
        <w:t>，</w:t>
      </w:r>
      <w:r>
        <w:rPr>
          <w:rFonts w:hint="default" w:ascii="Times New Roman" w:hAnsi="Times New Roman" w:eastAsia="Times New Roman" w:cs="Times New Roman"/>
          <w:color w:val="auto"/>
          <w:spacing w:val="-4"/>
          <w:position w:val="-1"/>
          <w:sz w:val="24"/>
          <w:szCs w:val="24"/>
          <w:highlight w:val="none"/>
        </w:rPr>
        <w:t>CO</w:t>
      </w:r>
      <w:r>
        <w:rPr>
          <w:rFonts w:hint="default" w:ascii="Times New Roman" w:hAnsi="Times New Roman" w:eastAsia="Times New Roman" w:cs="Times New Roman"/>
          <w:color w:val="auto"/>
          <w:spacing w:val="-4"/>
          <w:position w:val="-4"/>
          <w:sz w:val="16"/>
          <w:szCs w:val="16"/>
          <w:highlight w:val="none"/>
        </w:rPr>
        <w:t>3</w:t>
      </w:r>
      <w:r>
        <w:rPr>
          <w:rFonts w:hint="default" w:ascii="Times New Roman" w:hAnsi="Times New Roman" w:eastAsia="Times New Roman" w:cs="Times New Roman"/>
          <w:color w:val="auto"/>
          <w:spacing w:val="-4"/>
          <w:position w:val="9"/>
          <w:sz w:val="16"/>
          <w:szCs w:val="16"/>
          <w:highlight w:val="none"/>
        </w:rPr>
        <w:t>2-</w:t>
      </w:r>
      <w:r>
        <w:rPr>
          <w:rFonts w:hint="default" w:ascii="Times New Roman" w:hAnsi="Times New Roman" w:eastAsia="宋体" w:cs="Times New Roman"/>
          <w:color w:val="auto"/>
          <w:spacing w:val="-4"/>
          <w:position w:val="-1"/>
          <w:sz w:val="24"/>
          <w:szCs w:val="24"/>
          <w:highlight w:val="none"/>
        </w:rPr>
        <w:t>，</w:t>
      </w:r>
      <w:r>
        <w:rPr>
          <w:rFonts w:hint="default" w:ascii="Times New Roman" w:hAnsi="Times New Roman" w:eastAsia="Times New Roman" w:cs="Times New Roman"/>
          <w:color w:val="auto"/>
          <w:spacing w:val="-4"/>
          <w:position w:val="-1"/>
          <w:sz w:val="24"/>
          <w:szCs w:val="24"/>
          <w:highlight w:val="none"/>
        </w:rPr>
        <w:t>HCO</w:t>
      </w:r>
      <w:r>
        <w:rPr>
          <w:rFonts w:hint="default" w:ascii="Times New Roman" w:hAnsi="Times New Roman" w:eastAsia="Times New Roman" w:cs="Times New Roman"/>
          <w:color w:val="auto"/>
          <w:spacing w:val="-4"/>
          <w:position w:val="9"/>
          <w:sz w:val="16"/>
          <w:szCs w:val="16"/>
          <w:highlight w:val="none"/>
        </w:rPr>
        <w:t>3-</w:t>
      </w:r>
      <w:r>
        <w:rPr>
          <w:rFonts w:hint="default" w:ascii="Times New Roman" w:hAnsi="Times New Roman" w:eastAsia="宋体" w:cs="Times New Roman"/>
          <w:color w:val="auto"/>
          <w:spacing w:val="-4"/>
          <w:position w:val="-1"/>
          <w:sz w:val="24"/>
          <w:szCs w:val="24"/>
          <w:highlight w:val="none"/>
        </w:rPr>
        <w:t>、</w:t>
      </w:r>
      <w:r>
        <w:rPr>
          <w:rFonts w:hint="default" w:ascii="Times New Roman" w:hAnsi="Times New Roman" w:eastAsia="Times New Roman" w:cs="Times New Roman"/>
          <w:color w:val="auto"/>
          <w:spacing w:val="-4"/>
          <w:position w:val="-1"/>
          <w:sz w:val="24"/>
          <w:szCs w:val="24"/>
          <w:highlight w:val="none"/>
        </w:rPr>
        <w:t>SO</w:t>
      </w:r>
      <w:r>
        <w:rPr>
          <w:rFonts w:hint="default" w:ascii="Times New Roman" w:hAnsi="Times New Roman" w:eastAsia="Times New Roman" w:cs="Times New Roman"/>
          <w:color w:val="auto"/>
          <w:spacing w:val="-4"/>
          <w:position w:val="-4"/>
          <w:sz w:val="16"/>
          <w:szCs w:val="16"/>
          <w:highlight w:val="none"/>
        </w:rPr>
        <w:t>4</w:t>
      </w:r>
      <w:r>
        <w:rPr>
          <w:rFonts w:hint="default" w:ascii="Times New Roman" w:hAnsi="Times New Roman" w:eastAsia="Times New Roman" w:cs="Times New Roman"/>
          <w:color w:val="auto"/>
          <w:spacing w:val="-4"/>
          <w:position w:val="9"/>
          <w:sz w:val="16"/>
          <w:szCs w:val="16"/>
          <w:highlight w:val="none"/>
        </w:rPr>
        <w:t>2-</w:t>
      </w:r>
      <w:r>
        <w:rPr>
          <w:rFonts w:hint="default" w:ascii="Times New Roman" w:hAnsi="Times New Roman" w:eastAsia="宋体" w:cs="Times New Roman"/>
          <w:color w:val="auto"/>
          <w:spacing w:val="-4"/>
          <w:position w:val="-1"/>
          <w:sz w:val="24"/>
          <w:szCs w:val="24"/>
          <w:highlight w:val="none"/>
        </w:rPr>
        <w:t>、</w:t>
      </w:r>
      <w:r>
        <w:rPr>
          <w:rFonts w:hint="default" w:ascii="Times New Roman" w:hAnsi="Times New Roman" w:eastAsia="Times New Roman" w:cs="Times New Roman"/>
          <w:color w:val="auto"/>
          <w:spacing w:val="-4"/>
          <w:position w:val="-1"/>
          <w:sz w:val="24"/>
          <w:szCs w:val="24"/>
          <w:highlight w:val="none"/>
        </w:rPr>
        <w:t>Cl</w:t>
      </w:r>
      <w:r>
        <w:rPr>
          <w:rFonts w:hint="default" w:ascii="Times New Roman" w:hAnsi="Times New Roman" w:eastAsia="Times New Roman" w:cs="Times New Roman"/>
          <w:color w:val="auto"/>
          <w:spacing w:val="-4"/>
          <w:position w:val="9"/>
          <w:sz w:val="16"/>
          <w:szCs w:val="16"/>
          <w:highlight w:val="none"/>
        </w:rPr>
        <w:t>-</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lang w:val="en-US" w:eastAsia="zh-CN"/>
        </w:rPr>
        <w:t>水位、</w:t>
      </w:r>
      <w:r>
        <w:rPr>
          <w:rFonts w:hint="default" w:ascii="Times New Roman" w:hAnsi="Times New Roman" w:eastAsia="Times New Roman" w:cs="Times New Roman"/>
          <w:color w:val="auto"/>
          <w:sz w:val="24"/>
          <w:szCs w:val="24"/>
          <w:highlight w:val="none"/>
        </w:rPr>
        <w:t>pH</w:t>
      </w:r>
      <w:r>
        <w:rPr>
          <w:rFonts w:hint="default" w:ascii="Times New Roman" w:hAnsi="Times New Roman" w:eastAsia="宋体" w:cs="Times New Roman"/>
          <w:color w:val="auto"/>
          <w:sz w:val="24"/>
          <w:szCs w:val="24"/>
          <w:highlight w:val="none"/>
        </w:rPr>
        <w:t>值、氨氮、硝酸盐</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氮</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以N计</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、亚硝酸盐</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氮</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以N计</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、挥</w:t>
      </w:r>
      <w:r>
        <w:rPr>
          <w:rFonts w:hint="default" w:ascii="Times New Roman" w:hAnsi="Times New Roman" w:eastAsia="宋体" w:cs="Times New Roman"/>
          <w:color w:val="auto"/>
          <w:spacing w:val="-1"/>
          <w:sz w:val="24"/>
          <w:szCs w:val="24"/>
          <w:highlight w:val="none"/>
        </w:rPr>
        <w:t>发酚、氰化物、砷、汞</w:t>
      </w:r>
      <w:r>
        <w:rPr>
          <w:rFonts w:hint="default" w:ascii="Times New Roman" w:hAnsi="Times New Roman" w:eastAsia="宋体" w:cs="Times New Roman"/>
          <w:color w:val="auto"/>
          <w:spacing w:val="-3"/>
          <w:sz w:val="24"/>
          <w:szCs w:val="24"/>
          <w:highlight w:val="none"/>
        </w:rPr>
        <w:t>、总硬度、</w:t>
      </w:r>
      <w:r>
        <w:rPr>
          <w:rFonts w:hint="default" w:ascii="Times New Roman" w:hAnsi="Times New Roman" w:eastAsia="宋体" w:cs="Times New Roman"/>
          <w:color w:val="auto"/>
          <w:spacing w:val="-1"/>
          <w:sz w:val="24"/>
          <w:szCs w:val="24"/>
          <w:highlight w:val="none"/>
        </w:rPr>
        <w:t>铬</w:t>
      </w:r>
      <w:r>
        <w:rPr>
          <w:rFonts w:hint="default" w:ascii="Times New Roman" w:hAnsi="Times New Roman" w:eastAsia="宋体" w:cs="Times New Roman"/>
          <w:color w:val="auto"/>
          <w:spacing w:val="-3"/>
          <w:sz w:val="24"/>
          <w:szCs w:val="24"/>
          <w:highlight w:val="none"/>
        </w:rPr>
        <w:t>（六价）</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宋体" w:cs="Times New Roman"/>
          <w:color w:val="auto"/>
          <w:spacing w:val="-3"/>
          <w:sz w:val="24"/>
          <w:szCs w:val="24"/>
          <w:highlight w:val="none"/>
        </w:rPr>
        <w:t>铅、氟化物、镉、铁、锰、硫酸盐、溶解性总固体</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lang w:val="en-US" w:eastAsia="zh-CN"/>
        </w:rPr>
        <w:t>高锰酸盐指数（以O</w:t>
      </w:r>
      <w:r>
        <w:rPr>
          <w:rFonts w:hint="default" w:ascii="Times New Roman" w:hAnsi="Times New Roman" w:eastAsia="宋体" w:cs="Times New Roman"/>
          <w:color w:val="auto"/>
          <w:spacing w:val="-3"/>
          <w:sz w:val="24"/>
          <w:szCs w:val="24"/>
          <w:highlight w:val="none"/>
          <w:vertAlign w:val="subscript"/>
          <w:lang w:val="en-US" w:eastAsia="zh-CN"/>
        </w:rPr>
        <w:t>2</w:t>
      </w:r>
      <w:r>
        <w:rPr>
          <w:rFonts w:hint="default" w:ascii="Times New Roman" w:hAnsi="Times New Roman" w:eastAsia="宋体" w:cs="Times New Roman"/>
          <w:color w:val="auto"/>
          <w:spacing w:val="-3"/>
          <w:sz w:val="24"/>
          <w:szCs w:val="24"/>
          <w:highlight w:val="none"/>
          <w:lang w:val="en-US" w:eastAsia="zh-CN"/>
        </w:rPr>
        <w:t>计）</w:t>
      </w:r>
      <w:r>
        <w:rPr>
          <w:rFonts w:hint="default" w:ascii="Times New Roman" w:hAnsi="Times New Roman" w:eastAsia="宋体" w:cs="Times New Roman"/>
          <w:color w:val="auto"/>
          <w:spacing w:val="-3"/>
          <w:sz w:val="24"/>
          <w:szCs w:val="24"/>
          <w:highlight w:val="none"/>
        </w:rPr>
        <w:t>、氯</w:t>
      </w:r>
      <w:r>
        <w:rPr>
          <w:rFonts w:hint="default" w:ascii="Times New Roman" w:hAnsi="Times New Roman" w:eastAsia="宋体" w:cs="Times New Roman"/>
          <w:color w:val="auto"/>
          <w:spacing w:val="-4"/>
          <w:position w:val="-1"/>
          <w:sz w:val="24"/>
          <w:szCs w:val="24"/>
          <w:highlight w:val="none"/>
        </w:rPr>
        <w:t>化物、总大肠菌群、细菌总数</w:t>
      </w:r>
      <w:r>
        <w:rPr>
          <w:rFonts w:hint="default" w:ascii="Times New Roman" w:hAnsi="Times New Roman" w:eastAsia="宋体" w:cs="Times New Roman"/>
          <w:color w:val="auto"/>
          <w:spacing w:val="-8"/>
          <w:sz w:val="24"/>
          <w:szCs w:val="24"/>
          <w:highlight w:val="none"/>
        </w:rPr>
        <w:t>。</w:t>
      </w:r>
    </w:p>
    <w:p w14:paraId="246865D4">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4.3.3.2地下水环境现状评价</w:t>
      </w:r>
    </w:p>
    <w:p w14:paraId="4DEF1995">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（1）评价标准</w:t>
      </w:r>
    </w:p>
    <w:p w14:paraId="68B54ECE">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项目区域地下水环境质量现状评价执行《地下水质量标准》（GB/T14848-2017）中的Ⅲ类标准，评价标准限值见表4-</w:t>
      </w:r>
      <w:r>
        <w:rPr>
          <w:rFonts w:hint="default" w:ascii="Times New Roman" w:hAnsi="Times New Roman" w:eastAsia="宋体" w:cs="Times New Roman"/>
          <w:color w:val="auto"/>
          <w:spacing w:val="0"/>
          <w:sz w:val="24"/>
          <w:szCs w:val="24"/>
          <w:highlight w:val="none"/>
          <w:lang w:val="en-US" w:eastAsia="zh-CN"/>
        </w:rPr>
        <w:t>3</w:t>
      </w:r>
      <w:r>
        <w:rPr>
          <w:rFonts w:hint="default" w:ascii="Times New Roman" w:hAnsi="Times New Roman" w:eastAsia="宋体" w:cs="Times New Roman"/>
          <w:color w:val="auto"/>
          <w:spacing w:val="0"/>
          <w:sz w:val="24"/>
          <w:szCs w:val="24"/>
          <w:highlight w:val="none"/>
        </w:rPr>
        <w:t>-</w:t>
      </w:r>
      <w:r>
        <w:rPr>
          <w:rFonts w:hint="eastAsia" w:ascii="Times New Roman" w:hAnsi="Times New Roman" w:eastAsia="宋体" w:cs="Times New Roman"/>
          <w:color w:val="auto"/>
          <w:spacing w:val="0"/>
          <w:sz w:val="24"/>
          <w:szCs w:val="24"/>
          <w:highlight w:val="none"/>
          <w:lang w:val="en-US" w:eastAsia="zh-CN"/>
        </w:rPr>
        <w:t>7</w:t>
      </w:r>
      <w:r>
        <w:rPr>
          <w:rFonts w:hint="default" w:ascii="Times New Roman" w:hAnsi="Times New Roman" w:eastAsia="宋体" w:cs="Times New Roman"/>
          <w:color w:val="auto"/>
          <w:spacing w:val="0"/>
          <w:sz w:val="24"/>
          <w:szCs w:val="24"/>
          <w:highlight w:val="none"/>
        </w:rPr>
        <w:t>。</w:t>
      </w:r>
    </w:p>
    <w:p w14:paraId="0E9D2156">
      <w:pPr>
        <w:keepNext w:val="0"/>
        <w:keepLines w:val="0"/>
        <w:pageBreakBefore w:val="0"/>
        <w:kinsoku/>
        <w:wordWrap w:val="0"/>
        <w:overflowPunct/>
        <w:topLinePunct/>
        <w:autoSpaceDE/>
        <w:autoSpaceDN/>
        <w:bidi w:val="0"/>
        <w:adjustRightInd w:val="0"/>
        <w:snapToGrid w:val="0"/>
        <w:spacing w:line="212" w:lineRule="auto"/>
        <w:ind w:left="2315"/>
        <w:textAlignment w:val="baseline"/>
        <w:rPr>
          <w:rFonts w:hint="default" w:ascii="Times New Roman" w:hAnsi="Times New Roman" w:eastAsia="宋体" w:cs="Times New Roman"/>
          <w:b/>
          <w:bCs/>
          <w:color w:val="auto"/>
          <w:spacing w:val="-1"/>
          <w:sz w:val="24"/>
          <w:szCs w:val="24"/>
          <w:highlight w:val="none"/>
        </w:rPr>
      </w:pPr>
      <w:r>
        <w:rPr>
          <w:rFonts w:hint="default" w:ascii="Times New Roman" w:hAnsi="Times New Roman" w:eastAsia="宋体" w:cs="Times New Roman"/>
          <w:b/>
          <w:bCs/>
          <w:color w:val="auto"/>
          <w:spacing w:val="-1"/>
          <w:sz w:val="24"/>
          <w:szCs w:val="24"/>
          <w:highlight w:val="none"/>
        </w:rPr>
        <w:t>表4-</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宋体" w:cs="Times New Roman"/>
          <w:b/>
          <w:bCs/>
          <w:color w:val="auto"/>
          <w:spacing w:val="-1"/>
          <w:sz w:val="24"/>
          <w:szCs w:val="24"/>
          <w:highlight w:val="none"/>
        </w:rPr>
        <w:t>-</w:t>
      </w:r>
      <w:r>
        <w:rPr>
          <w:rFonts w:hint="eastAsia" w:ascii="Times New Roman" w:hAnsi="Times New Roman" w:eastAsia="宋体" w:cs="Times New Roman"/>
          <w:b/>
          <w:bCs/>
          <w:color w:val="auto"/>
          <w:spacing w:val="-1"/>
          <w:sz w:val="24"/>
          <w:szCs w:val="24"/>
          <w:highlight w:val="none"/>
          <w:lang w:val="en-US" w:eastAsia="zh-CN"/>
        </w:rPr>
        <w:t>7</w:t>
      </w:r>
      <w:r>
        <w:rPr>
          <w:rFonts w:hint="default" w:ascii="Times New Roman" w:hAnsi="Times New Roman" w:eastAsia="宋体" w:cs="Times New Roman"/>
          <w:b/>
          <w:bCs/>
          <w:color w:val="auto"/>
          <w:spacing w:val="-1"/>
          <w:sz w:val="24"/>
          <w:szCs w:val="24"/>
          <w:highlight w:val="none"/>
        </w:rPr>
        <w:t>地下水评价因子及执行标准</w:t>
      </w:r>
    </w:p>
    <w:tbl>
      <w:tblPr>
        <w:tblStyle w:val="26"/>
        <w:tblW w:w="5017"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4278"/>
        <w:gridCol w:w="4278"/>
      </w:tblGrid>
      <w:tr w14:paraId="30AB3EE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7" w:hRule="atLeast"/>
          <w:jc w:val="center"/>
        </w:trPr>
        <w:tc>
          <w:tcPr>
            <w:tcW w:w="2500" w:type="pct"/>
            <w:shd w:val="clear" w:color="auto" w:fill="auto"/>
            <w:vAlign w:val="center"/>
          </w:tcPr>
          <w:p w14:paraId="1DAB85A5">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评价因子</w:t>
            </w:r>
          </w:p>
        </w:tc>
        <w:tc>
          <w:tcPr>
            <w:tcW w:w="2500" w:type="pct"/>
            <w:shd w:val="clear" w:color="auto" w:fill="auto"/>
            <w:vAlign w:val="center"/>
          </w:tcPr>
          <w:p w14:paraId="5832D1E6">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水质类别</w:t>
            </w:r>
            <w:r>
              <w:rPr>
                <w:rFonts w:hint="default" w:ascii="Times New Roman" w:hAnsi="Times New Roman" w:eastAsia="宋体" w:cs="Times New Roman"/>
                <w:snapToGrid w:val="0"/>
                <w:color w:val="auto"/>
                <w:sz w:val="21"/>
                <w:szCs w:val="21"/>
                <w:highlight w:val="none"/>
              </w:rPr>
              <w:fldChar w:fldCharType="begin"/>
            </w:r>
            <w:r>
              <w:rPr>
                <w:rFonts w:hint="default" w:ascii="Times New Roman" w:hAnsi="Times New Roman" w:eastAsia="宋体" w:cs="Times New Roman"/>
                <w:snapToGrid w:val="0"/>
                <w:color w:val="auto"/>
                <w:sz w:val="21"/>
                <w:szCs w:val="21"/>
                <w:highlight w:val="none"/>
              </w:rPr>
              <w:instrText xml:space="preserve"> = 3 \* ROMAN </w:instrText>
            </w:r>
            <w:r>
              <w:rPr>
                <w:rFonts w:hint="default" w:ascii="Times New Roman" w:hAnsi="Times New Roman" w:eastAsia="宋体" w:cs="Times New Roman"/>
                <w:snapToGrid w:val="0"/>
                <w:color w:val="auto"/>
                <w:sz w:val="21"/>
                <w:szCs w:val="21"/>
                <w:highlight w:val="none"/>
              </w:rPr>
              <w:fldChar w:fldCharType="separate"/>
            </w:r>
            <w:r>
              <w:rPr>
                <w:rFonts w:hint="default" w:ascii="Times New Roman" w:hAnsi="Times New Roman" w:eastAsia="宋体" w:cs="Times New Roman"/>
                <w:snapToGrid w:val="0"/>
                <w:color w:val="auto"/>
                <w:sz w:val="21"/>
                <w:szCs w:val="21"/>
                <w:highlight w:val="none"/>
              </w:rPr>
              <w:t>Ⅲ</w:t>
            </w:r>
            <w:r>
              <w:rPr>
                <w:rFonts w:hint="default" w:ascii="Times New Roman" w:hAnsi="Times New Roman" w:eastAsia="宋体" w:cs="Times New Roman"/>
                <w:snapToGrid w:val="0"/>
                <w:color w:val="auto"/>
                <w:sz w:val="21"/>
                <w:szCs w:val="21"/>
                <w:highlight w:val="none"/>
              </w:rPr>
              <w:fldChar w:fldCharType="end"/>
            </w:r>
            <w:r>
              <w:rPr>
                <w:rFonts w:hint="default" w:ascii="Times New Roman" w:hAnsi="Times New Roman" w:eastAsia="宋体" w:cs="Times New Roman"/>
                <w:snapToGrid w:val="0"/>
                <w:color w:val="auto"/>
                <w:sz w:val="21"/>
                <w:szCs w:val="21"/>
                <w:highlight w:val="none"/>
              </w:rPr>
              <w:t>类</w:t>
            </w:r>
          </w:p>
        </w:tc>
      </w:tr>
      <w:tr w14:paraId="52998CF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34999976">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pH</w:t>
            </w:r>
          </w:p>
        </w:tc>
        <w:tc>
          <w:tcPr>
            <w:tcW w:w="2500" w:type="pct"/>
            <w:shd w:val="clear" w:color="auto" w:fill="auto"/>
            <w:vAlign w:val="center"/>
          </w:tcPr>
          <w:p w14:paraId="03A1006A">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6.5～8.5</w:t>
            </w:r>
          </w:p>
        </w:tc>
      </w:tr>
      <w:tr w14:paraId="5348713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67C2C5BC">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color w:val="auto"/>
                <w:sz w:val="21"/>
                <w:szCs w:val="21"/>
                <w:highlight w:val="none"/>
              </w:rPr>
              <w:t>耗氧量（COD</w:t>
            </w:r>
            <w:r>
              <w:rPr>
                <w:rFonts w:hint="default" w:ascii="Times New Roman" w:hAnsi="Times New Roman" w:eastAsia="宋体" w:cs="Times New Roman"/>
                <w:color w:val="auto"/>
                <w:sz w:val="21"/>
                <w:szCs w:val="21"/>
                <w:highlight w:val="none"/>
                <w:vertAlign w:val="subscript"/>
              </w:rPr>
              <w:t>Mn</w:t>
            </w:r>
            <w:r>
              <w:rPr>
                <w:rFonts w:hint="default" w:ascii="Times New Roman" w:hAnsi="Times New Roman" w:eastAsia="宋体" w:cs="Times New Roman"/>
                <w:color w:val="auto"/>
                <w:sz w:val="21"/>
                <w:szCs w:val="21"/>
                <w:highlight w:val="none"/>
              </w:rPr>
              <w:t>法，以O</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计）</w:t>
            </w:r>
            <w:r>
              <w:rPr>
                <w:rFonts w:hint="default" w:ascii="Times New Roman" w:hAnsi="Times New Roman" w:eastAsia="宋体" w:cs="Times New Roman"/>
                <w:snapToGrid w:val="0"/>
                <w:color w:val="auto"/>
                <w:sz w:val="21"/>
                <w:szCs w:val="21"/>
                <w:highlight w:val="none"/>
              </w:rPr>
              <w:t>，mg/L</w:t>
            </w:r>
          </w:p>
        </w:tc>
        <w:tc>
          <w:tcPr>
            <w:tcW w:w="2500" w:type="pct"/>
            <w:shd w:val="clear" w:color="auto" w:fill="auto"/>
            <w:vAlign w:val="center"/>
          </w:tcPr>
          <w:p w14:paraId="3628B8DB">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≤3.0</w:t>
            </w:r>
          </w:p>
        </w:tc>
      </w:tr>
      <w:tr w14:paraId="10E15B5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1D2B312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氨氮（以N计），mg/L</w:t>
            </w:r>
          </w:p>
        </w:tc>
        <w:tc>
          <w:tcPr>
            <w:tcW w:w="2500" w:type="pct"/>
            <w:shd w:val="clear" w:color="auto" w:fill="auto"/>
            <w:vAlign w:val="center"/>
          </w:tcPr>
          <w:p w14:paraId="1D09828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≤0.5</w:t>
            </w:r>
          </w:p>
        </w:tc>
      </w:tr>
      <w:tr w14:paraId="6FF657A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3079304E">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铁，mg/L</w:t>
            </w:r>
          </w:p>
        </w:tc>
        <w:tc>
          <w:tcPr>
            <w:tcW w:w="2500" w:type="pct"/>
            <w:shd w:val="clear" w:color="auto" w:fill="auto"/>
            <w:vAlign w:val="center"/>
          </w:tcPr>
          <w:p w14:paraId="343F002C">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≤0.3</w:t>
            </w:r>
          </w:p>
        </w:tc>
      </w:tr>
      <w:tr w14:paraId="44CCD5D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588E4A75">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锰，mg/L</w:t>
            </w:r>
          </w:p>
        </w:tc>
        <w:tc>
          <w:tcPr>
            <w:tcW w:w="2500" w:type="pct"/>
            <w:shd w:val="clear" w:color="auto" w:fill="auto"/>
            <w:vAlign w:val="center"/>
          </w:tcPr>
          <w:p w14:paraId="65CB56C6">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w:t>
            </w:r>
          </w:p>
        </w:tc>
      </w:tr>
      <w:tr w14:paraId="5955775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0133EF13">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六价铬，mg/L</w:t>
            </w:r>
          </w:p>
        </w:tc>
        <w:tc>
          <w:tcPr>
            <w:tcW w:w="2500" w:type="pct"/>
            <w:shd w:val="clear" w:color="auto" w:fill="auto"/>
            <w:vAlign w:val="center"/>
          </w:tcPr>
          <w:p w14:paraId="40676333">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≤0.05</w:t>
            </w:r>
          </w:p>
        </w:tc>
      </w:tr>
      <w:tr w14:paraId="3AD964F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3ECF30EC">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挥发性酚类，mg/L</w:t>
            </w:r>
          </w:p>
        </w:tc>
        <w:tc>
          <w:tcPr>
            <w:tcW w:w="2500" w:type="pct"/>
            <w:shd w:val="clear" w:color="auto" w:fill="auto"/>
            <w:vAlign w:val="center"/>
          </w:tcPr>
          <w:p w14:paraId="2D94A70D">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≤0.002</w:t>
            </w:r>
          </w:p>
        </w:tc>
      </w:tr>
      <w:tr w14:paraId="7B975F2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4103C10F">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总硬度（以CaCO</w:t>
            </w:r>
            <w:r>
              <w:rPr>
                <w:rFonts w:hint="default" w:ascii="Times New Roman" w:hAnsi="Times New Roman" w:eastAsia="宋体" w:cs="Times New Roman"/>
                <w:snapToGrid w:val="0"/>
                <w:color w:val="auto"/>
                <w:sz w:val="21"/>
                <w:szCs w:val="21"/>
                <w:highlight w:val="none"/>
                <w:vertAlign w:val="subscript"/>
              </w:rPr>
              <w:t>3</w:t>
            </w:r>
            <w:r>
              <w:rPr>
                <w:rFonts w:hint="default" w:ascii="Times New Roman" w:hAnsi="Times New Roman" w:eastAsia="宋体" w:cs="Times New Roman"/>
                <w:snapToGrid w:val="0"/>
                <w:color w:val="auto"/>
                <w:sz w:val="21"/>
                <w:szCs w:val="21"/>
                <w:highlight w:val="none"/>
              </w:rPr>
              <w:t>计），mg/L</w:t>
            </w:r>
          </w:p>
        </w:tc>
        <w:tc>
          <w:tcPr>
            <w:tcW w:w="2500" w:type="pct"/>
            <w:shd w:val="clear" w:color="auto" w:fill="auto"/>
            <w:vAlign w:val="center"/>
          </w:tcPr>
          <w:p w14:paraId="4812280D">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≤450</w:t>
            </w:r>
          </w:p>
        </w:tc>
      </w:tr>
      <w:tr w14:paraId="3DED6EF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9" w:hRule="atLeast"/>
          <w:jc w:val="center"/>
        </w:trPr>
        <w:tc>
          <w:tcPr>
            <w:tcW w:w="2500" w:type="pct"/>
            <w:shd w:val="clear" w:color="auto" w:fill="auto"/>
            <w:vAlign w:val="center"/>
          </w:tcPr>
          <w:p w14:paraId="792937BF">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亚硝酸盐（以N计），mg/L</w:t>
            </w:r>
          </w:p>
        </w:tc>
        <w:tc>
          <w:tcPr>
            <w:tcW w:w="2500" w:type="pct"/>
            <w:shd w:val="clear" w:color="auto" w:fill="auto"/>
            <w:vAlign w:val="center"/>
          </w:tcPr>
          <w:p w14:paraId="3D4C949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w:t>
            </w:r>
          </w:p>
        </w:tc>
      </w:tr>
      <w:tr w14:paraId="357A47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58C6310D">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氰化物，mg/L</w:t>
            </w:r>
          </w:p>
        </w:tc>
        <w:tc>
          <w:tcPr>
            <w:tcW w:w="2500" w:type="pct"/>
            <w:shd w:val="clear" w:color="auto" w:fill="auto"/>
            <w:vAlign w:val="center"/>
          </w:tcPr>
          <w:p w14:paraId="4654923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≤0.05</w:t>
            </w:r>
          </w:p>
        </w:tc>
      </w:tr>
      <w:tr w14:paraId="059C2B1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2F1BE5A7">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氟化物</w:t>
            </w:r>
          </w:p>
        </w:tc>
        <w:tc>
          <w:tcPr>
            <w:tcW w:w="2500" w:type="pct"/>
            <w:shd w:val="clear" w:color="auto" w:fill="auto"/>
            <w:vAlign w:val="center"/>
          </w:tcPr>
          <w:p w14:paraId="5C46078A">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w:t>
            </w:r>
          </w:p>
        </w:tc>
      </w:tr>
      <w:tr w14:paraId="564403C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532E427C">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硝酸盐（以N计），mg/L</w:t>
            </w:r>
          </w:p>
        </w:tc>
        <w:tc>
          <w:tcPr>
            <w:tcW w:w="2500" w:type="pct"/>
            <w:shd w:val="clear" w:color="auto" w:fill="auto"/>
            <w:vAlign w:val="center"/>
          </w:tcPr>
          <w:p w14:paraId="30B9782C">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≤20</w:t>
            </w:r>
          </w:p>
        </w:tc>
      </w:tr>
      <w:tr w14:paraId="1EF1E44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0A50DFCE">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溶解性总固体，mg/L</w:t>
            </w:r>
          </w:p>
        </w:tc>
        <w:tc>
          <w:tcPr>
            <w:tcW w:w="2500" w:type="pct"/>
            <w:shd w:val="clear" w:color="auto" w:fill="auto"/>
            <w:vAlign w:val="center"/>
          </w:tcPr>
          <w:p w14:paraId="5BA68966">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≤1000</w:t>
            </w:r>
          </w:p>
        </w:tc>
      </w:tr>
      <w:tr w14:paraId="2D81A15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40D01412">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铅，mg/L</w:t>
            </w:r>
          </w:p>
        </w:tc>
        <w:tc>
          <w:tcPr>
            <w:tcW w:w="2500" w:type="pct"/>
            <w:shd w:val="clear" w:color="auto" w:fill="auto"/>
            <w:vAlign w:val="center"/>
          </w:tcPr>
          <w:p w14:paraId="099ED5ED">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≤0.05</w:t>
            </w:r>
          </w:p>
        </w:tc>
      </w:tr>
      <w:tr w14:paraId="1FF1B63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611761F1">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氯化物，mg/L</w:t>
            </w:r>
          </w:p>
        </w:tc>
        <w:tc>
          <w:tcPr>
            <w:tcW w:w="2500" w:type="pct"/>
            <w:shd w:val="clear" w:color="auto" w:fill="auto"/>
            <w:vAlign w:val="center"/>
          </w:tcPr>
          <w:p w14:paraId="59154480">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≤250</w:t>
            </w:r>
          </w:p>
        </w:tc>
      </w:tr>
      <w:tr w14:paraId="124D30A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16E771E3">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硫酸盐，mg/L</w:t>
            </w:r>
          </w:p>
        </w:tc>
        <w:tc>
          <w:tcPr>
            <w:tcW w:w="2500" w:type="pct"/>
            <w:shd w:val="clear" w:color="auto" w:fill="auto"/>
            <w:vAlign w:val="center"/>
          </w:tcPr>
          <w:p w14:paraId="4808BD26">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≤250</w:t>
            </w:r>
          </w:p>
        </w:tc>
      </w:tr>
      <w:tr w14:paraId="7402901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3651167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color w:val="auto"/>
                <w:sz w:val="21"/>
                <w:szCs w:val="21"/>
                <w:highlight w:val="none"/>
              </w:rPr>
              <w:t>菌落总数</w:t>
            </w:r>
            <w:r>
              <w:rPr>
                <w:rFonts w:hint="default" w:ascii="Times New Roman" w:hAnsi="Times New Roman" w:eastAsia="宋体" w:cs="Times New Roman"/>
                <w:snapToGrid w:val="0"/>
                <w:color w:val="auto"/>
                <w:sz w:val="21"/>
                <w:szCs w:val="21"/>
                <w:highlight w:val="none"/>
              </w:rPr>
              <w:t>，CFU/L（个/mL）</w:t>
            </w:r>
          </w:p>
        </w:tc>
        <w:tc>
          <w:tcPr>
            <w:tcW w:w="2500" w:type="pct"/>
            <w:shd w:val="clear" w:color="auto" w:fill="auto"/>
            <w:vAlign w:val="center"/>
          </w:tcPr>
          <w:p w14:paraId="5FD7C738">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≤100</w:t>
            </w:r>
          </w:p>
        </w:tc>
      </w:tr>
      <w:tr w14:paraId="0A9633E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215E15DA">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砷，mg/L</w:t>
            </w:r>
          </w:p>
        </w:tc>
        <w:tc>
          <w:tcPr>
            <w:tcW w:w="2500" w:type="pct"/>
            <w:shd w:val="clear" w:color="auto" w:fill="auto"/>
            <w:vAlign w:val="center"/>
          </w:tcPr>
          <w:p w14:paraId="317903DE">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≤0.01</w:t>
            </w:r>
          </w:p>
        </w:tc>
      </w:tr>
      <w:tr w14:paraId="11AA5AC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29" w:hRule="atLeast"/>
          <w:jc w:val="center"/>
        </w:trPr>
        <w:tc>
          <w:tcPr>
            <w:tcW w:w="2500" w:type="pct"/>
            <w:shd w:val="clear" w:color="auto" w:fill="auto"/>
            <w:vAlign w:val="center"/>
          </w:tcPr>
          <w:p w14:paraId="3F5270CC">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汞，mg/L</w:t>
            </w:r>
          </w:p>
        </w:tc>
        <w:tc>
          <w:tcPr>
            <w:tcW w:w="2500" w:type="pct"/>
            <w:shd w:val="clear" w:color="auto" w:fill="auto"/>
            <w:vAlign w:val="center"/>
          </w:tcPr>
          <w:p w14:paraId="58BE2550">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≤0.001</w:t>
            </w:r>
          </w:p>
        </w:tc>
      </w:tr>
      <w:tr w14:paraId="0D310E3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4F699A00">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镉，mg/L</w:t>
            </w:r>
          </w:p>
        </w:tc>
        <w:tc>
          <w:tcPr>
            <w:tcW w:w="2500" w:type="pct"/>
            <w:shd w:val="clear" w:color="auto" w:fill="auto"/>
            <w:vAlign w:val="center"/>
          </w:tcPr>
          <w:p w14:paraId="2145C8B2">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≤0.005</w:t>
            </w:r>
          </w:p>
        </w:tc>
      </w:tr>
      <w:tr w14:paraId="574FE4B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2DFAF447">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总大肠菌群，MPN/100mL</w:t>
            </w:r>
          </w:p>
        </w:tc>
        <w:tc>
          <w:tcPr>
            <w:tcW w:w="2500" w:type="pct"/>
            <w:shd w:val="clear" w:color="auto" w:fill="auto"/>
            <w:vAlign w:val="center"/>
          </w:tcPr>
          <w:p w14:paraId="0F7A0649">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≤3.0</w:t>
            </w:r>
          </w:p>
        </w:tc>
      </w:tr>
      <w:tr w14:paraId="287EE04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2500" w:type="pct"/>
            <w:shd w:val="clear" w:color="auto" w:fill="auto"/>
            <w:vAlign w:val="center"/>
          </w:tcPr>
          <w:p w14:paraId="2F0694FA">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Na</w:t>
            </w:r>
            <w:r>
              <w:rPr>
                <w:rFonts w:hint="default" w:ascii="Times New Roman" w:hAnsi="Times New Roman" w:eastAsia="宋体" w:cs="Times New Roman"/>
                <w:snapToGrid w:val="0"/>
                <w:color w:val="auto"/>
                <w:sz w:val="21"/>
                <w:szCs w:val="21"/>
                <w:highlight w:val="none"/>
                <w:vertAlign w:val="superscript"/>
              </w:rPr>
              <w:t>+</w:t>
            </w:r>
          </w:p>
        </w:tc>
        <w:tc>
          <w:tcPr>
            <w:tcW w:w="2500" w:type="pct"/>
            <w:shd w:val="clear" w:color="auto" w:fill="auto"/>
            <w:vAlign w:val="center"/>
          </w:tcPr>
          <w:p w14:paraId="2A8E19C2">
            <w:pPr>
              <w:pStyle w:val="38"/>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≤200</w:t>
            </w:r>
          </w:p>
        </w:tc>
      </w:tr>
    </w:tbl>
    <w:p w14:paraId="69F95C69">
      <w:pPr>
        <w:pStyle w:val="11"/>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firstLine="488" w:firstLineChars="200"/>
        <w:textAlignment w:val="baseline"/>
        <w:rPr>
          <w:rFonts w:hint="default" w:ascii="Times New Roman" w:hAnsi="Times New Roman" w:eastAsia="宋体" w:cs="Times New Roman"/>
          <w:color w:val="auto"/>
          <w:spacing w:val="2"/>
          <w:sz w:val="24"/>
          <w:szCs w:val="24"/>
          <w:highlight w:val="none"/>
          <w:lang w:val="en-US" w:eastAsia="zh-CN"/>
        </w:rPr>
      </w:pPr>
      <w:r>
        <w:rPr>
          <w:rFonts w:hint="default" w:ascii="Times New Roman" w:hAnsi="Times New Roman" w:eastAsia="宋体" w:cs="Times New Roman"/>
          <w:snapToGrid w:val="0"/>
          <w:color w:val="auto"/>
          <w:spacing w:val="2"/>
          <w:kern w:val="0"/>
          <w:sz w:val="24"/>
          <w:szCs w:val="24"/>
          <w:highlight w:val="none"/>
          <w:lang w:val="en-US" w:eastAsia="zh-CN" w:bidi="ar-SA"/>
        </w:rPr>
        <w:t>（2）</w:t>
      </w:r>
      <w:r>
        <w:rPr>
          <w:rFonts w:hint="default" w:ascii="Times New Roman" w:hAnsi="Times New Roman" w:eastAsia="宋体" w:cs="Times New Roman"/>
          <w:color w:val="auto"/>
          <w:spacing w:val="2"/>
          <w:sz w:val="24"/>
          <w:szCs w:val="24"/>
          <w:highlight w:val="none"/>
          <w:lang w:val="en-US" w:eastAsia="zh-CN"/>
        </w:rPr>
        <w:t>评价方法</w:t>
      </w:r>
    </w:p>
    <w:p w14:paraId="7BC5E53D">
      <w:pPr>
        <w:pStyle w:val="11"/>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firstLine="48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地下水环境质量执行《地下水质量标准》（</w:t>
      </w:r>
      <w:r>
        <w:rPr>
          <w:rFonts w:hint="default" w:ascii="Times New Roman" w:hAnsi="Times New Roman" w:eastAsia="Times New Roman" w:cs="Times New Roman"/>
          <w:color w:val="auto"/>
          <w:sz w:val="24"/>
          <w:szCs w:val="24"/>
          <w:highlight w:val="none"/>
        </w:rPr>
        <w:t>GB</w:t>
      </w:r>
      <w:r>
        <w:rPr>
          <w:rFonts w:hint="default" w:ascii="Times New Roman" w:hAnsi="Times New Roman" w:eastAsia="Times New Roman" w:cs="Times New Roman"/>
          <w:color w:val="auto"/>
          <w:spacing w:val="2"/>
          <w:sz w:val="24"/>
          <w:szCs w:val="24"/>
          <w:highlight w:val="none"/>
        </w:rPr>
        <w:t>/</w:t>
      </w:r>
      <w:r>
        <w:rPr>
          <w:rFonts w:hint="default" w:ascii="Times New Roman" w:hAnsi="Times New Roman" w:eastAsia="Times New Roman" w:cs="Times New Roman"/>
          <w:color w:val="auto"/>
          <w:spacing w:val="1"/>
          <w:sz w:val="24"/>
          <w:szCs w:val="24"/>
          <w:highlight w:val="none"/>
        </w:rPr>
        <w:t>T14848</w:t>
      </w:r>
      <w:r>
        <w:rPr>
          <w:rFonts w:hint="eastAsia" w:ascii="Times New Roman" w:hAnsi="Times New Roman" w:eastAsia="宋体" w:cs="Times New Roman"/>
          <w:color w:val="auto"/>
          <w:spacing w:val="1"/>
          <w:sz w:val="24"/>
          <w:szCs w:val="24"/>
          <w:highlight w:val="none"/>
          <w:lang w:val="en-US" w:eastAsia="zh-CN"/>
        </w:rPr>
        <w:t>-</w:t>
      </w:r>
      <w:r>
        <w:rPr>
          <w:rFonts w:hint="default" w:ascii="Times New Roman" w:hAnsi="Times New Roman" w:eastAsia="Times New Roman" w:cs="Times New Roman"/>
          <w:color w:val="auto"/>
          <w:spacing w:val="1"/>
          <w:sz w:val="24"/>
          <w:szCs w:val="24"/>
          <w:highlight w:val="none"/>
        </w:rPr>
        <w:t>2017</w:t>
      </w:r>
      <w:r>
        <w:rPr>
          <w:rFonts w:hint="default" w:ascii="Times New Roman" w:hAnsi="Times New Roman" w:eastAsia="宋体" w:cs="Times New Roman"/>
          <w:color w:val="auto"/>
          <w:spacing w:val="1"/>
          <w:sz w:val="24"/>
          <w:szCs w:val="24"/>
          <w:highlight w:val="none"/>
        </w:rPr>
        <w:t>）中Ⅲ类标准，</w:t>
      </w:r>
      <w:r>
        <w:rPr>
          <w:rFonts w:hint="default" w:ascii="Times New Roman" w:hAnsi="Times New Roman" w:eastAsia="宋体" w:cs="Times New Roman"/>
          <w:color w:val="auto"/>
          <w:spacing w:val="-1"/>
          <w:sz w:val="24"/>
          <w:szCs w:val="24"/>
          <w:highlight w:val="none"/>
        </w:rPr>
        <w:t>采用标准指数法对</w:t>
      </w:r>
      <w:r>
        <w:rPr>
          <w:rFonts w:hint="default" w:ascii="Times New Roman" w:hAnsi="Times New Roman" w:eastAsia="Times New Roman" w:cs="Times New Roman"/>
          <w:color w:val="auto"/>
          <w:spacing w:val="-1"/>
          <w:sz w:val="24"/>
          <w:szCs w:val="24"/>
          <w:highlight w:val="none"/>
        </w:rPr>
        <w:t>pH</w:t>
      </w:r>
      <w:r>
        <w:rPr>
          <w:rFonts w:hint="default" w:ascii="Times New Roman" w:hAnsi="Times New Roman" w:eastAsia="宋体" w:cs="Times New Roman"/>
          <w:color w:val="auto"/>
          <w:spacing w:val="-1"/>
          <w:sz w:val="24"/>
          <w:szCs w:val="24"/>
          <w:highlight w:val="none"/>
        </w:rPr>
        <w:t>值、氨氮、硝酸盐、亚硝酸盐、挥发酚、氰化物、砷、汞、铬</w:t>
      </w:r>
      <w:r>
        <w:rPr>
          <w:rFonts w:hint="default" w:ascii="Times New Roman" w:hAnsi="Times New Roman" w:eastAsia="宋体" w:cs="Times New Roman"/>
          <w:color w:val="auto"/>
          <w:spacing w:val="-3"/>
          <w:sz w:val="24"/>
          <w:szCs w:val="24"/>
          <w:highlight w:val="none"/>
        </w:rPr>
        <w:t>（六价）、总硬度、铅、氟化物、镉、铁、锰、溶解性总固体、耗氧量、硫酸盐、氯</w:t>
      </w:r>
      <w:r>
        <w:rPr>
          <w:rFonts w:hint="default" w:ascii="Times New Roman" w:hAnsi="Times New Roman" w:eastAsia="宋体" w:cs="Times New Roman"/>
          <w:color w:val="auto"/>
          <w:spacing w:val="-2"/>
          <w:position w:val="-1"/>
          <w:sz w:val="24"/>
          <w:szCs w:val="24"/>
          <w:highlight w:val="none"/>
        </w:rPr>
        <w:t>化物、总大肠菌群、细菌总数和</w:t>
      </w:r>
      <w:r>
        <w:rPr>
          <w:rFonts w:hint="default" w:ascii="Times New Roman" w:hAnsi="Times New Roman" w:eastAsia="Times New Roman" w:cs="Times New Roman"/>
          <w:color w:val="auto"/>
          <w:spacing w:val="-2"/>
          <w:position w:val="-1"/>
          <w:sz w:val="24"/>
          <w:szCs w:val="24"/>
          <w:highlight w:val="none"/>
        </w:rPr>
        <w:t>K</w:t>
      </w:r>
      <w:r>
        <w:rPr>
          <w:rFonts w:hint="default" w:ascii="Times New Roman" w:hAnsi="Times New Roman" w:eastAsia="Times New Roman" w:cs="Times New Roman"/>
          <w:color w:val="auto"/>
          <w:spacing w:val="-2"/>
          <w:position w:val="9"/>
          <w:sz w:val="16"/>
          <w:szCs w:val="16"/>
          <w:highlight w:val="none"/>
        </w:rPr>
        <w:t>+</w:t>
      </w:r>
      <w:r>
        <w:rPr>
          <w:rFonts w:hint="default" w:ascii="Times New Roman" w:hAnsi="Times New Roman" w:eastAsia="宋体" w:cs="Times New Roman"/>
          <w:color w:val="auto"/>
          <w:spacing w:val="-2"/>
          <w:position w:val="-1"/>
          <w:sz w:val="24"/>
          <w:szCs w:val="24"/>
          <w:highlight w:val="none"/>
        </w:rPr>
        <w:t>，</w:t>
      </w:r>
      <w:r>
        <w:rPr>
          <w:rFonts w:hint="default" w:ascii="Times New Roman" w:hAnsi="Times New Roman" w:eastAsia="Times New Roman" w:cs="Times New Roman"/>
          <w:color w:val="auto"/>
          <w:spacing w:val="-2"/>
          <w:position w:val="-1"/>
          <w:sz w:val="24"/>
          <w:szCs w:val="24"/>
          <w:highlight w:val="none"/>
        </w:rPr>
        <w:t>Na</w:t>
      </w:r>
      <w:r>
        <w:rPr>
          <w:rFonts w:hint="default" w:ascii="Times New Roman" w:hAnsi="Times New Roman" w:eastAsia="Times New Roman" w:cs="Times New Roman"/>
          <w:color w:val="auto"/>
          <w:spacing w:val="-3"/>
          <w:position w:val="9"/>
          <w:sz w:val="16"/>
          <w:szCs w:val="16"/>
          <w:highlight w:val="none"/>
        </w:rPr>
        <w:t>+</w:t>
      </w:r>
      <w:r>
        <w:rPr>
          <w:rFonts w:hint="default" w:ascii="Times New Roman" w:hAnsi="Times New Roman" w:eastAsia="宋体" w:cs="Times New Roman"/>
          <w:color w:val="auto"/>
          <w:spacing w:val="-3"/>
          <w:position w:val="-1"/>
          <w:sz w:val="24"/>
          <w:szCs w:val="24"/>
          <w:highlight w:val="none"/>
        </w:rPr>
        <w:t>，</w:t>
      </w:r>
      <w:r>
        <w:rPr>
          <w:rFonts w:hint="default" w:ascii="Times New Roman" w:hAnsi="Times New Roman" w:eastAsia="Times New Roman" w:cs="Times New Roman"/>
          <w:color w:val="auto"/>
          <w:spacing w:val="-3"/>
          <w:position w:val="-1"/>
          <w:sz w:val="24"/>
          <w:szCs w:val="24"/>
          <w:highlight w:val="none"/>
        </w:rPr>
        <w:t>Ca</w:t>
      </w:r>
      <w:r>
        <w:rPr>
          <w:rFonts w:hint="default" w:ascii="Times New Roman" w:hAnsi="Times New Roman" w:eastAsia="Times New Roman" w:cs="Times New Roman"/>
          <w:color w:val="auto"/>
          <w:spacing w:val="-3"/>
          <w:position w:val="9"/>
          <w:sz w:val="16"/>
          <w:szCs w:val="16"/>
          <w:highlight w:val="none"/>
        </w:rPr>
        <w:t>2+</w:t>
      </w:r>
      <w:r>
        <w:rPr>
          <w:rFonts w:hint="default" w:ascii="Times New Roman" w:hAnsi="Times New Roman" w:eastAsia="宋体" w:cs="Times New Roman"/>
          <w:color w:val="auto"/>
          <w:spacing w:val="-3"/>
          <w:position w:val="-1"/>
          <w:sz w:val="24"/>
          <w:szCs w:val="24"/>
          <w:highlight w:val="none"/>
        </w:rPr>
        <w:t>，</w:t>
      </w:r>
      <w:r>
        <w:rPr>
          <w:rFonts w:hint="default" w:ascii="Times New Roman" w:hAnsi="Times New Roman" w:eastAsia="Times New Roman" w:cs="Times New Roman"/>
          <w:color w:val="auto"/>
          <w:spacing w:val="-3"/>
          <w:position w:val="-1"/>
          <w:sz w:val="24"/>
          <w:szCs w:val="24"/>
          <w:highlight w:val="none"/>
        </w:rPr>
        <w:t>Mg</w:t>
      </w:r>
      <w:r>
        <w:rPr>
          <w:rFonts w:hint="default" w:ascii="Times New Roman" w:hAnsi="Times New Roman" w:eastAsia="Times New Roman" w:cs="Times New Roman"/>
          <w:color w:val="auto"/>
          <w:spacing w:val="-3"/>
          <w:position w:val="9"/>
          <w:sz w:val="16"/>
          <w:szCs w:val="16"/>
          <w:highlight w:val="none"/>
        </w:rPr>
        <w:t>2+</w:t>
      </w:r>
      <w:r>
        <w:rPr>
          <w:rFonts w:hint="default" w:ascii="Times New Roman" w:hAnsi="Times New Roman" w:eastAsia="宋体" w:cs="Times New Roman"/>
          <w:color w:val="auto"/>
          <w:spacing w:val="-3"/>
          <w:position w:val="-1"/>
          <w:sz w:val="24"/>
          <w:szCs w:val="24"/>
          <w:highlight w:val="none"/>
        </w:rPr>
        <w:t>，</w:t>
      </w:r>
      <w:r>
        <w:rPr>
          <w:rFonts w:hint="default" w:ascii="Times New Roman" w:hAnsi="Times New Roman" w:eastAsia="Times New Roman" w:cs="Times New Roman"/>
          <w:color w:val="auto"/>
          <w:spacing w:val="-3"/>
          <w:position w:val="-1"/>
          <w:sz w:val="24"/>
          <w:szCs w:val="24"/>
          <w:highlight w:val="none"/>
        </w:rPr>
        <w:t>CO</w:t>
      </w:r>
      <w:r>
        <w:rPr>
          <w:rFonts w:hint="default" w:ascii="Times New Roman" w:hAnsi="Times New Roman" w:eastAsia="Times New Roman" w:cs="Times New Roman"/>
          <w:color w:val="auto"/>
          <w:spacing w:val="-3"/>
          <w:position w:val="-4"/>
          <w:sz w:val="16"/>
          <w:szCs w:val="16"/>
          <w:highlight w:val="none"/>
        </w:rPr>
        <w:t>3</w:t>
      </w:r>
      <w:r>
        <w:rPr>
          <w:rFonts w:hint="default" w:ascii="Times New Roman" w:hAnsi="Times New Roman" w:eastAsia="Times New Roman" w:cs="Times New Roman"/>
          <w:color w:val="auto"/>
          <w:spacing w:val="-3"/>
          <w:position w:val="9"/>
          <w:sz w:val="16"/>
          <w:szCs w:val="16"/>
          <w:highlight w:val="none"/>
        </w:rPr>
        <w:t>2-</w:t>
      </w:r>
      <w:r>
        <w:rPr>
          <w:rFonts w:hint="default" w:ascii="Times New Roman" w:hAnsi="Times New Roman" w:eastAsia="宋体" w:cs="Times New Roman"/>
          <w:color w:val="auto"/>
          <w:spacing w:val="-3"/>
          <w:position w:val="-1"/>
          <w:sz w:val="24"/>
          <w:szCs w:val="24"/>
          <w:highlight w:val="none"/>
        </w:rPr>
        <w:t>，</w:t>
      </w:r>
      <w:r>
        <w:rPr>
          <w:rFonts w:hint="default" w:ascii="Times New Roman" w:hAnsi="Times New Roman" w:eastAsia="Times New Roman" w:cs="Times New Roman"/>
          <w:color w:val="auto"/>
          <w:spacing w:val="-3"/>
          <w:position w:val="-1"/>
          <w:sz w:val="24"/>
          <w:szCs w:val="24"/>
          <w:highlight w:val="none"/>
        </w:rPr>
        <w:t>HCO</w:t>
      </w:r>
      <w:r>
        <w:rPr>
          <w:rFonts w:hint="default" w:ascii="Times New Roman" w:hAnsi="Times New Roman" w:eastAsia="Times New Roman" w:cs="Times New Roman"/>
          <w:color w:val="auto"/>
          <w:spacing w:val="-3"/>
          <w:position w:val="9"/>
          <w:sz w:val="16"/>
          <w:szCs w:val="16"/>
          <w:highlight w:val="none"/>
        </w:rPr>
        <w:t>3-</w:t>
      </w:r>
      <w:r>
        <w:rPr>
          <w:rFonts w:hint="default" w:ascii="Times New Roman" w:hAnsi="Times New Roman" w:eastAsia="宋体" w:cs="Times New Roman"/>
          <w:color w:val="auto"/>
          <w:spacing w:val="-3"/>
          <w:position w:val="-1"/>
          <w:sz w:val="24"/>
          <w:szCs w:val="24"/>
          <w:highlight w:val="none"/>
        </w:rPr>
        <w:t>、</w:t>
      </w:r>
      <w:r>
        <w:rPr>
          <w:rFonts w:hint="default" w:ascii="Times New Roman" w:hAnsi="Times New Roman" w:eastAsia="Times New Roman" w:cs="Times New Roman"/>
          <w:color w:val="auto"/>
          <w:spacing w:val="-3"/>
          <w:position w:val="-1"/>
          <w:sz w:val="24"/>
          <w:szCs w:val="24"/>
          <w:highlight w:val="none"/>
        </w:rPr>
        <w:t>SO</w:t>
      </w:r>
      <w:r>
        <w:rPr>
          <w:rFonts w:hint="default" w:ascii="Times New Roman" w:hAnsi="Times New Roman" w:eastAsia="Times New Roman" w:cs="Times New Roman"/>
          <w:color w:val="auto"/>
          <w:spacing w:val="-3"/>
          <w:position w:val="-4"/>
          <w:sz w:val="16"/>
          <w:szCs w:val="16"/>
          <w:highlight w:val="none"/>
        </w:rPr>
        <w:t>4</w:t>
      </w:r>
      <w:r>
        <w:rPr>
          <w:rFonts w:hint="default" w:ascii="Times New Roman" w:hAnsi="Times New Roman" w:eastAsia="Times New Roman" w:cs="Times New Roman"/>
          <w:color w:val="auto"/>
          <w:spacing w:val="-3"/>
          <w:position w:val="9"/>
          <w:sz w:val="16"/>
          <w:szCs w:val="16"/>
          <w:highlight w:val="none"/>
        </w:rPr>
        <w:t>2-</w:t>
      </w:r>
      <w:r>
        <w:rPr>
          <w:rFonts w:hint="default" w:ascii="Times New Roman" w:hAnsi="Times New Roman" w:eastAsia="宋体" w:cs="Times New Roman"/>
          <w:color w:val="auto"/>
          <w:spacing w:val="-3"/>
          <w:position w:val="-1"/>
          <w:sz w:val="24"/>
          <w:szCs w:val="24"/>
          <w:highlight w:val="none"/>
        </w:rPr>
        <w:t>、</w:t>
      </w:r>
      <w:r>
        <w:rPr>
          <w:rFonts w:hint="default" w:ascii="Times New Roman" w:hAnsi="Times New Roman" w:eastAsia="Times New Roman" w:cs="Times New Roman"/>
          <w:color w:val="auto"/>
          <w:spacing w:val="-3"/>
          <w:position w:val="-1"/>
          <w:sz w:val="24"/>
          <w:szCs w:val="24"/>
          <w:highlight w:val="none"/>
        </w:rPr>
        <w:t>Cl</w:t>
      </w:r>
      <w:r>
        <w:rPr>
          <w:rFonts w:hint="default" w:ascii="Times New Roman" w:hAnsi="Times New Roman" w:eastAsia="Times New Roman" w:cs="Times New Roman"/>
          <w:color w:val="auto"/>
          <w:spacing w:val="-3"/>
          <w:position w:val="9"/>
          <w:sz w:val="16"/>
          <w:szCs w:val="16"/>
          <w:highlight w:val="none"/>
        </w:rPr>
        <w:t>-</w:t>
      </w:r>
      <w:r>
        <w:rPr>
          <w:rFonts w:hint="default" w:ascii="Times New Roman" w:hAnsi="Times New Roman" w:eastAsia="宋体" w:cs="Times New Roman"/>
          <w:color w:val="auto"/>
          <w:spacing w:val="-4"/>
          <w:sz w:val="24"/>
          <w:szCs w:val="24"/>
          <w:highlight w:val="none"/>
        </w:rPr>
        <w:t>共</w:t>
      </w:r>
      <w:r>
        <w:rPr>
          <w:rFonts w:hint="default" w:ascii="Times New Roman" w:hAnsi="Times New Roman" w:eastAsia="Times New Roman" w:cs="Times New Roman"/>
          <w:color w:val="auto"/>
          <w:spacing w:val="-4"/>
          <w:sz w:val="24"/>
          <w:szCs w:val="24"/>
          <w:highlight w:val="none"/>
        </w:rPr>
        <w:t>29</w:t>
      </w:r>
      <w:r>
        <w:rPr>
          <w:rFonts w:hint="default" w:ascii="Times New Roman" w:hAnsi="Times New Roman" w:eastAsia="宋体" w:cs="Times New Roman"/>
          <w:color w:val="auto"/>
          <w:spacing w:val="-4"/>
          <w:sz w:val="24"/>
          <w:szCs w:val="24"/>
          <w:highlight w:val="none"/>
        </w:rPr>
        <w:t>项水质因子进行评价。</w:t>
      </w:r>
    </w:p>
    <w:p w14:paraId="3A2CC816">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采用标准指数法对地表水现状监测结果进行评价，评价</w:t>
      </w:r>
      <w:r>
        <w:rPr>
          <w:rFonts w:hint="default" w:ascii="Times New Roman" w:hAnsi="Times New Roman" w:eastAsia="宋体" w:cs="Times New Roman"/>
          <w:color w:val="auto"/>
          <w:spacing w:val="-3"/>
          <w:sz w:val="24"/>
          <w:szCs w:val="24"/>
          <w:highlight w:val="none"/>
        </w:rPr>
        <w:t>模式如下：</w:t>
      </w:r>
    </w:p>
    <w:p w14:paraId="5CDB3026">
      <w:pPr>
        <w:keepNext w:val="0"/>
        <w:keepLines w:val="0"/>
        <w:pageBreakBefore w:val="0"/>
        <w:widowControl/>
        <w:kinsoku/>
        <w:wordWrap w:val="0"/>
        <w:overflowPunct/>
        <w:topLinePunct/>
        <w:autoSpaceDE/>
        <w:autoSpaceDN/>
        <w:bidi w:val="0"/>
        <w:adjustRightInd w:val="0"/>
        <w:snapToGrid w:val="0"/>
        <w:spacing w:line="360" w:lineRule="auto"/>
        <w:ind w:left="0" w:right="0" w:firstLine="420" w:firstLineChars="20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10"/>
          <w:highlight w:val="none"/>
        </w:rPr>
        <w:drawing>
          <wp:inline distT="0" distB="0" distL="0" distR="0">
            <wp:extent cx="438150" cy="324485"/>
            <wp:effectExtent l="0" t="0" r="0" b="18415"/>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79"/>
                    <a:stretch>
                      <a:fillRect/>
                    </a:stretch>
                  </pic:blipFill>
                  <pic:spPr>
                    <a:xfrm>
                      <a:off x="0" y="0"/>
                      <a:ext cx="438150" cy="325040"/>
                    </a:xfrm>
                    <a:prstGeom prst="rect">
                      <a:avLst/>
                    </a:prstGeom>
                  </pic:spPr>
                </pic:pic>
              </a:graphicData>
            </a:graphic>
          </wp:inline>
        </w:drawing>
      </w:r>
    </w:p>
    <w:p w14:paraId="099CB71D">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式中：</w:t>
      </w:r>
      <w:r>
        <w:rPr>
          <w:rFonts w:hint="default" w:ascii="Times New Roman" w:hAnsi="Times New Roman" w:eastAsia="Times New Roman" w:cs="Times New Roman"/>
          <w:color w:val="auto"/>
          <w:spacing w:val="-3"/>
          <w:sz w:val="24"/>
          <w:szCs w:val="24"/>
          <w:highlight w:val="none"/>
        </w:rPr>
        <w:t>P</w:t>
      </w:r>
      <w:r>
        <w:rPr>
          <w:rFonts w:hint="default" w:ascii="Times New Roman" w:hAnsi="Times New Roman" w:eastAsia="Times New Roman" w:cs="Times New Roman"/>
          <w:color w:val="auto"/>
          <w:spacing w:val="-3"/>
          <w:position w:val="-3"/>
          <w:sz w:val="16"/>
          <w:szCs w:val="16"/>
          <w:highlight w:val="none"/>
        </w:rPr>
        <w:t>i</w:t>
      </w:r>
      <w:r>
        <w:rPr>
          <w:rFonts w:hint="default" w:ascii="Times New Roman" w:hAnsi="Times New Roman" w:eastAsia="Times New Roman"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rPr>
        <w:t>第</w:t>
      </w:r>
      <w:r>
        <w:rPr>
          <w:rFonts w:hint="default" w:ascii="Times New Roman" w:hAnsi="Times New Roman" w:eastAsia="Times New Roman" w:cs="Times New Roman"/>
          <w:color w:val="auto"/>
          <w:spacing w:val="-3"/>
          <w:sz w:val="24"/>
          <w:szCs w:val="24"/>
          <w:highlight w:val="none"/>
        </w:rPr>
        <w:t>i</w:t>
      </w:r>
      <w:r>
        <w:rPr>
          <w:rFonts w:hint="default" w:ascii="Times New Roman" w:hAnsi="Times New Roman" w:eastAsia="宋体" w:cs="Times New Roman"/>
          <w:color w:val="auto"/>
          <w:spacing w:val="-3"/>
          <w:sz w:val="24"/>
          <w:szCs w:val="24"/>
          <w:highlight w:val="none"/>
        </w:rPr>
        <w:t>个水质因子的标准指数，无量纲；</w:t>
      </w:r>
    </w:p>
    <w:p w14:paraId="1DA7968B">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
          <w:sz w:val="24"/>
          <w:szCs w:val="24"/>
          <w:highlight w:val="none"/>
        </w:rPr>
        <w:t>C</w:t>
      </w:r>
      <w:r>
        <w:rPr>
          <w:rFonts w:hint="default" w:ascii="Times New Roman" w:hAnsi="Times New Roman" w:eastAsia="Times New Roman" w:cs="Times New Roman"/>
          <w:color w:val="auto"/>
          <w:spacing w:val="-1"/>
          <w:position w:val="-3"/>
          <w:sz w:val="16"/>
          <w:szCs w:val="16"/>
          <w:highlight w:val="none"/>
        </w:rPr>
        <w:t>i</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第</w:t>
      </w:r>
      <w:r>
        <w:rPr>
          <w:rFonts w:hint="default" w:ascii="Times New Roman" w:hAnsi="Times New Roman" w:eastAsia="Times New Roman" w:cs="Times New Roman"/>
          <w:color w:val="auto"/>
          <w:spacing w:val="-1"/>
          <w:sz w:val="24"/>
          <w:szCs w:val="24"/>
          <w:highlight w:val="none"/>
        </w:rPr>
        <w:t>i</w:t>
      </w:r>
      <w:r>
        <w:rPr>
          <w:rFonts w:hint="default" w:ascii="Times New Roman" w:hAnsi="Times New Roman" w:eastAsia="宋体" w:cs="Times New Roman"/>
          <w:color w:val="auto"/>
          <w:spacing w:val="-1"/>
          <w:sz w:val="24"/>
          <w:szCs w:val="24"/>
          <w:highlight w:val="none"/>
        </w:rPr>
        <w:t>个水质因子的监测浓度值，</w:t>
      </w:r>
      <w:r>
        <w:rPr>
          <w:rFonts w:hint="default" w:ascii="Times New Roman" w:hAnsi="Times New Roman" w:eastAsia="Times New Roman" w:cs="Times New Roman"/>
          <w:color w:val="auto"/>
          <w:spacing w:val="-1"/>
          <w:sz w:val="24"/>
          <w:szCs w:val="24"/>
          <w:highlight w:val="none"/>
        </w:rPr>
        <w:t>mg/L</w:t>
      </w:r>
      <w:r>
        <w:rPr>
          <w:rFonts w:hint="default" w:ascii="Times New Roman" w:hAnsi="Times New Roman" w:eastAsia="宋体" w:cs="Times New Roman"/>
          <w:color w:val="auto"/>
          <w:spacing w:val="-1"/>
          <w:sz w:val="24"/>
          <w:szCs w:val="24"/>
          <w:highlight w:val="none"/>
        </w:rPr>
        <w:t>；</w:t>
      </w:r>
    </w:p>
    <w:p w14:paraId="6A1637A7">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
          <w:sz w:val="24"/>
          <w:szCs w:val="24"/>
          <w:highlight w:val="none"/>
        </w:rPr>
        <w:t>C</w:t>
      </w:r>
      <w:r>
        <w:rPr>
          <w:rFonts w:hint="default" w:ascii="Times New Roman" w:hAnsi="Times New Roman" w:eastAsia="Times New Roman" w:cs="Times New Roman"/>
          <w:color w:val="auto"/>
          <w:spacing w:val="-1"/>
          <w:position w:val="-2"/>
          <w:sz w:val="16"/>
          <w:szCs w:val="16"/>
          <w:highlight w:val="none"/>
        </w:rPr>
        <w:t>si</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第</w:t>
      </w:r>
      <w:r>
        <w:rPr>
          <w:rFonts w:hint="default" w:ascii="Times New Roman" w:hAnsi="Times New Roman" w:eastAsia="Times New Roman" w:cs="Times New Roman"/>
          <w:color w:val="auto"/>
          <w:spacing w:val="-1"/>
          <w:sz w:val="24"/>
          <w:szCs w:val="24"/>
          <w:highlight w:val="none"/>
        </w:rPr>
        <w:t>i</w:t>
      </w:r>
      <w:r>
        <w:rPr>
          <w:rFonts w:hint="default" w:ascii="Times New Roman" w:hAnsi="Times New Roman" w:eastAsia="宋体" w:cs="Times New Roman"/>
          <w:color w:val="auto"/>
          <w:spacing w:val="-1"/>
          <w:sz w:val="24"/>
          <w:szCs w:val="24"/>
          <w:highlight w:val="none"/>
        </w:rPr>
        <w:t>个水质因子的标准浓度值，</w:t>
      </w:r>
      <w:r>
        <w:rPr>
          <w:rFonts w:hint="default" w:ascii="Times New Roman" w:hAnsi="Times New Roman" w:eastAsia="Times New Roman" w:cs="Times New Roman"/>
          <w:color w:val="auto"/>
          <w:spacing w:val="-1"/>
          <w:sz w:val="24"/>
          <w:szCs w:val="24"/>
          <w:highlight w:val="none"/>
        </w:rPr>
        <w:t>mg/L</w:t>
      </w:r>
      <w:r>
        <w:rPr>
          <w:rFonts w:hint="default" w:ascii="Times New Roman" w:hAnsi="Times New Roman" w:eastAsia="宋体" w:cs="Times New Roman"/>
          <w:color w:val="auto"/>
          <w:spacing w:val="-1"/>
          <w:sz w:val="24"/>
          <w:szCs w:val="24"/>
          <w:highlight w:val="none"/>
        </w:rPr>
        <w:t>。</w:t>
      </w:r>
    </w:p>
    <w:p w14:paraId="1ABB1BF8">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5"/>
          <w:sz w:val="24"/>
          <w:szCs w:val="24"/>
          <w:highlight w:val="none"/>
        </w:rPr>
        <w:t>pH</w:t>
      </w:r>
      <w:r>
        <w:rPr>
          <w:rFonts w:hint="default" w:ascii="Times New Roman" w:hAnsi="Times New Roman" w:eastAsia="宋体" w:cs="Times New Roman"/>
          <w:color w:val="auto"/>
          <w:spacing w:val="-5"/>
          <w:sz w:val="24"/>
          <w:szCs w:val="24"/>
          <w:highlight w:val="none"/>
        </w:rPr>
        <w:t>的标准指数公式：</w:t>
      </w:r>
    </w:p>
    <w:p w14:paraId="0EDEADA9">
      <w:pPr>
        <w:keepNext w:val="0"/>
        <w:keepLines w:val="0"/>
        <w:pageBreakBefore w:val="0"/>
        <w:widowControl/>
        <w:kinsoku/>
        <w:wordWrap w:val="0"/>
        <w:overflowPunct/>
        <w:topLinePunct/>
        <w:autoSpaceDE/>
        <w:autoSpaceDN/>
        <w:bidi w:val="0"/>
        <w:adjustRightInd w:val="0"/>
        <w:snapToGrid w:val="0"/>
        <w:spacing w:line="360" w:lineRule="auto"/>
        <w:ind w:left="0" w:right="0" w:firstLine="420" w:firstLineChars="200"/>
        <w:jc w:val="center"/>
        <w:textAlignment w:val="baseline"/>
        <w:rPr>
          <w:rFonts w:hint="default" w:ascii="Times New Roman" w:hAnsi="Times New Roman" w:eastAsia="Times New Roman" w:cs="Times New Roman"/>
          <w:color w:val="auto"/>
          <w:sz w:val="24"/>
          <w:szCs w:val="24"/>
          <w:highlight w:val="none"/>
        </w:rPr>
      </w:pPr>
      <w:r>
        <w:rPr>
          <w:rFonts w:hint="default" w:ascii="Times New Roman" w:hAnsi="Times New Roman" w:cs="Times New Roman"/>
          <w:color w:val="auto"/>
          <w:highlight w:val="none"/>
        </w:rPr>
        <w:drawing>
          <wp:inline distT="0" distB="0" distL="0" distR="0">
            <wp:extent cx="990600" cy="327025"/>
            <wp:effectExtent l="0" t="0" r="0" b="15875"/>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80"/>
                    <a:stretch>
                      <a:fillRect/>
                    </a:stretch>
                  </pic:blipFill>
                  <pic:spPr>
                    <a:xfrm>
                      <a:off x="0" y="0"/>
                      <a:ext cx="990600" cy="327313"/>
                    </a:xfrm>
                    <a:prstGeom prst="rect">
                      <a:avLst/>
                    </a:prstGeom>
                  </pic:spPr>
                </pic:pic>
              </a:graphicData>
            </a:graphic>
          </wp:inline>
        </w:drawing>
      </w:r>
      <w:r>
        <w:rPr>
          <w:rFonts w:hint="default" w:ascii="Times New Roman" w:hAnsi="Times New Roman" w:eastAsia="宋体" w:cs="Times New Roman"/>
          <w:color w:val="auto"/>
          <w:highlight w:val="none"/>
          <w:lang w:val="en-US" w:eastAsia="zh-CN"/>
        </w:rPr>
        <w:t xml:space="preserve">  </w:t>
      </w:r>
      <w:r>
        <w:rPr>
          <w:rFonts w:hint="default" w:ascii="Times New Roman" w:hAnsi="Times New Roman" w:eastAsia="Times New Roman" w:cs="Times New Roman"/>
          <w:color w:val="auto"/>
          <w:spacing w:val="-1"/>
          <w:sz w:val="24"/>
          <w:szCs w:val="24"/>
          <w:highlight w:val="none"/>
        </w:rPr>
        <w:t>pH</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7.0</w:t>
      </w:r>
    </w:p>
    <w:p w14:paraId="263D1B23">
      <w:pPr>
        <w:keepNext w:val="0"/>
        <w:keepLines w:val="0"/>
        <w:pageBreakBefore w:val="0"/>
        <w:widowControl/>
        <w:kinsoku/>
        <w:wordWrap w:val="0"/>
        <w:overflowPunct/>
        <w:topLinePunct/>
        <w:autoSpaceDE/>
        <w:autoSpaceDN/>
        <w:bidi w:val="0"/>
        <w:adjustRightInd w:val="0"/>
        <w:snapToGrid w:val="0"/>
        <w:spacing w:line="360" w:lineRule="auto"/>
        <w:ind w:left="0" w:right="0" w:firstLine="420" w:firstLineChars="200"/>
        <w:jc w:val="center"/>
        <w:textAlignment w:val="baseline"/>
        <w:rPr>
          <w:rFonts w:hint="default" w:ascii="Times New Roman" w:hAnsi="Times New Roman" w:eastAsia="Times New Roman" w:cs="Times New Roman"/>
          <w:color w:val="auto"/>
          <w:sz w:val="24"/>
          <w:szCs w:val="24"/>
          <w:highlight w:val="none"/>
        </w:rPr>
      </w:pPr>
      <w:r>
        <w:rPr>
          <w:rFonts w:hint="default" w:ascii="Times New Roman" w:hAnsi="Times New Roman" w:cs="Times New Roman"/>
          <w:color w:val="auto"/>
          <w:highlight w:val="none"/>
        </w:rPr>
        <w:drawing>
          <wp:inline distT="0" distB="0" distL="0" distR="0">
            <wp:extent cx="990600" cy="327025"/>
            <wp:effectExtent l="0" t="0" r="0" b="15875"/>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81"/>
                    <a:stretch>
                      <a:fillRect/>
                    </a:stretch>
                  </pic:blipFill>
                  <pic:spPr>
                    <a:xfrm>
                      <a:off x="0" y="0"/>
                      <a:ext cx="990600" cy="327314"/>
                    </a:xfrm>
                    <a:prstGeom prst="rect">
                      <a:avLst/>
                    </a:prstGeom>
                  </pic:spPr>
                </pic:pic>
              </a:graphicData>
            </a:graphic>
          </wp:inline>
        </w:drawing>
      </w:r>
      <w:r>
        <w:rPr>
          <w:rFonts w:hint="default" w:ascii="Times New Roman" w:hAnsi="Times New Roman" w:eastAsia="Times New Roman" w:cs="Times New Roman"/>
          <w:color w:val="auto"/>
          <w:spacing w:val="-1"/>
          <w:sz w:val="24"/>
          <w:szCs w:val="24"/>
          <w:highlight w:val="none"/>
        </w:rPr>
        <w:t>pH</w:t>
      </w:r>
      <w:r>
        <w:rPr>
          <w:rFonts w:hint="default" w:ascii="Times New Roman" w:hAnsi="Times New Roman" w:eastAsia="Times New Roman" w:cs="Times New Roman"/>
          <w:color w:val="auto"/>
          <w:sz w:val="24"/>
          <w:szCs w:val="24"/>
          <w:highlight w:val="none"/>
        </w:rPr>
        <w:t>≤</w:t>
      </w:r>
      <w:r>
        <w:rPr>
          <w:rFonts w:hint="default" w:ascii="Times New Roman" w:hAnsi="Times New Roman" w:eastAsia="Times New Roman" w:cs="Times New Roman"/>
          <w:color w:val="auto"/>
          <w:spacing w:val="-1"/>
          <w:sz w:val="24"/>
          <w:szCs w:val="24"/>
          <w:highlight w:val="none"/>
        </w:rPr>
        <w:t>7.0</w:t>
      </w:r>
    </w:p>
    <w:p w14:paraId="6BC41563">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式中：</w:t>
      </w:r>
      <w:r>
        <w:rPr>
          <w:rFonts w:hint="default" w:ascii="Times New Roman" w:hAnsi="Times New Roman" w:eastAsia="Times New Roman" w:cs="Times New Roman"/>
          <w:color w:val="auto"/>
          <w:spacing w:val="-2"/>
          <w:sz w:val="24"/>
          <w:szCs w:val="24"/>
          <w:highlight w:val="none"/>
        </w:rPr>
        <w:t>P</w:t>
      </w:r>
      <w:r>
        <w:rPr>
          <w:rFonts w:hint="default" w:ascii="Times New Roman" w:hAnsi="Times New Roman" w:eastAsia="Times New Roman" w:cs="Times New Roman"/>
          <w:color w:val="auto"/>
          <w:spacing w:val="-2"/>
          <w:position w:val="-3"/>
          <w:sz w:val="16"/>
          <w:szCs w:val="16"/>
          <w:highlight w:val="none"/>
        </w:rPr>
        <w:t>pH</w:t>
      </w:r>
      <w:r>
        <w:rPr>
          <w:rFonts w:hint="default" w:ascii="Times New Roman" w:hAnsi="Times New Roman" w:eastAsia="Times New Roman" w:cs="Times New Roman"/>
          <w:color w:val="auto"/>
          <w:spacing w:val="-2"/>
          <w:sz w:val="24"/>
          <w:szCs w:val="24"/>
          <w:highlight w:val="none"/>
        </w:rPr>
        <w:t>——pH</w:t>
      </w:r>
      <w:r>
        <w:rPr>
          <w:rFonts w:hint="default" w:ascii="Times New Roman" w:hAnsi="Times New Roman" w:eastAsia="宋体" w:cs="Times New Roman"/>
          <w:color w:val="auto"/>
          <w:spacing w:val="-2"/>
          <w:sz w:val="24"/>
          <w:szCs w:val="24"/>
          <w:highlight w:val="none"/>
        </w:rPr>
        <w:t>值的标准指数，无量纲；</w:t>
      </w:r>
      <w:r>
        <w:rPr>
          <w:rFonts w:hint="default" w:ascii="Times New Roman" w:hAnsi="Times New Roman" w:eastAsia="Times New Roman" w:cs="Times New Roman"/>
          <w:color w:val="auto"/>
          <w:spacing w:val="-2"/>
          <w:sz w:val="24"/>
          <w:szCs w:val="24"/>
          <w:highlight w:val="none"/>
        </w:rPr>
        <w:t>pH——pH</w:t>
      </w:r>
      <w:r>
        <w:rPr>
          <w:rFonts w:hint="default" w:ascii="Times New Roman" w:hAnsi="Times New Roman" w:eastAsia="宋体" w:cs="Times New Roman"/>
          <w:color w:val="auto"/>
          <w:spacing w:val="-2"/>
          <w:sz w:val="24"/>
          <w:szCs w:val="24"/>
          <w:highlight w:val="none"/>
        </w:rPr>
        <w:t>监测值；</w:t>
      </w:r>
    </w:p>
    <w:p w14:paraId="41D170E9">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1"/>
          <w:sz w:val="24"/>
          <w:szCs w:val="24"/>
          <w:highlight w:val="none"/>
        </w:rPr>
        <w:t>pH</w:t>
      </w:r>
      <w:r>
        <w:rPr>
          <w:rFonts w:hint="default" w:ascii="Times New Roman" w:hAnsi="Times New Roman" w:eastAsia="Times New Roman" w:cs="Times New Roman"/>
          <w:color w:val="auto"/>
          <w:spacing w:val="-1"/>
          <w:position w:val="-2"/>
          <w:sz w:val="16"/>
          <w:szCs w:val="16"/>
          <w:highlight w:val="none"/>
        </w:rPr>
        <w:t>su</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标准中</w:t>
      </w:r>
      <w:r>
        <w:rPr>
          <w:rFonts w:hint="default" w:ascii="Times New Roman" w:hAnsi="Times New Roman" w:eastAsia="Times New Roman" w:cs="Times New Roman"/>
          <w:color w:val="auto"/>
          <w:spacing w:val="-1"/>
          <w:sz w:val="24"/>
          <w:szCs w:val="24"/>
          <w:highlight w:val="none"/>
        </w:rPr>
        <w:t>pH</w:t>
      </w:r>
      <w:r>
        <w:rPr>
          <w:rFonts w:hint="default" w:ascii="Times New Roman" w:hAnsi="Times New Roman" w:eastAsia="宋体" w:cs="Times New Roman"/>
          <w:color w:val="auto"/>
          <w:spacing w:val="-1"/>
          <w:sz w:val="24"/>
          <w:szCs w:val="24"/>
          <w:highlight w:val="none"/>
        </w:rPr>
        <w:t>值上限值；</w:t>
      </w:r>
      <w:r>
        <w:rPr>
          <w:rFonts w:hint="default" w:ascii="Times New Roman" w:hAnsi="Times New Roman" w:eastAsia="Times New Roman" w:cs="Times New Roman"/>
          <w:color w:val="auto"/>
          <w:spacing w:val="-1"/>
          <w:sz w:val="24"/>
          <w:szCs w:val="24"/>
          <w:highlight w:val="none"/>
        </w:rPr>
        <w:t>pH</w:t>
      </w:r>
      <w:r>
        <w:rPr>
          <w:rFonts w:hint="default" w:ascii="Times New Roman" w:hAnsi="Times New Roman" w:eastAsia="Times New Roman" w:cs="Times New Roman"/>
          <w:color w:val="auto"/>
          <w:spacing w:val="-1"/>
          <w:position w:val="-2"/>
          <w:sz w:val="16"/>
          <w:szCs w:val="16"/>
          <w:highlight w:val="none"/>
        </w:rPr>
        <w:t>sd</w:t>
      </w:r>
      <w:r>
        <w:rPr>
          <w:rFonts w:hint="default" w:ascii="Times New Roman" w:hAnsi="Times New Roman" w:eastAsia="Times New Roman" w:cs="Times New Roman"/>
          <w:color w:val="auto"/>
          <w:spacing w:val="-1"/>
          <w:sz w:val="24"/>
          <w:szCs w:val="24"/>
          <w:highlight w:val="none"/>
        </w:rPr>
        <w:t>——</w:t>
      </w:r>
      <w:r>
        <w:rPr>
          <w:rFonts w:hint="default" w:ascii="Times New Roman" w:hAnsi="Times New Roman" w:eastAsia="宋体" w:cs="Times New Roman"/>
          <w:color w:val="auto"/>
          <w:spacing w:val="-1"/>
          <w:sz w:val="24"/>
          <w:szCs w:val="24"/>
          <w:highlight w:val="none"/>
        </w:rPr>
        <w:t>标准中</w:t>
      </w:r>
      <w:r>
        <w:rPr>
          <w:rFonts w:hint="default" w:ascii="Times New Roman" w:hAnsi="Times New Roman" w:eastAsia="Times New Roman" w:cs="Times New Roman"/>
          <w:color w:val="auto"/>
          <w:spacing w:val="-1"/>
          <w:sz w:val="24"/>
          <w:szCs w:val="24"/>
          <w:highlight w:val="none"/>
        </w:rPr>
        <w:t>pH</w:t>
      </w:r>
      <w:r>
        <w:rPr>
          <w:rFonts w:hint="default" w:ascii="Times New Roman" w:hAnsi="Times New Roman" w:eastAsia="宋体" w:cs="Times New Roman"/>
          <w:color w:val="auto"/>
          <w:spacing w:val="-1"/>
          <w:sz w:val="24"/>
          <w:szCs w:val="24"/>
          <w:highlight w:val="none"/>
        </w:rPr>
        <w:t>值下限值。</w:t>
      </w:r>
    </w:p>
    <w:p w14:paraId="0EB0DC59">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当单项标准指数＞</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时，表示该水质参数所表征的污染物已满足不了标准要求，</w:t>
      </w:r>
      <w:r>
        <w:rPr>
          <w:rFonts w:hint="default" w:ascii="Times New Roman" w:hAnsi="Times New Roman" w:eastAsia="宋体" w:cs="Times New Roman"/>
          <w:color w:val="auto"/>
          <w:spacing w:val="-3"/>
          <w:sz w:val="24"/>
          <w:szCs w:val="24"/>
          <w:highlight w:val="none"/>
        </w:rPr>
        <w:t>水体已受到污染；反之，则满足标准要求。</w:t>
      </w:r>
    </w:p>
    <w:p w14:paraId="56CB0083">
      <w:pPr>
        <w:keepNext w:val="0"/>
        <w:keepLines w:val="0"/>
        <w:pageBreakBefore w:val="0"/>
        <w:widowControl/>
        <w:kinsoku/>
        <w:wordWrap w:val="0"/>
        <w:overflowPunct/>
        <w:topLinePunct/>
        <w:autoSpaceDE/>
        <w:autoSpaceDN/>
        <w:bidi w:val="0"/>
        <w:adjustRightInd w:val="0"/>
        <w:snapToGrid w:val="0"/>
        <w:spacing w:line="360" w:lineRule="auto"/>
        <w:ind w:left="0" w:firstLine="472" w:firstLineChars="200"/>
        <w:jc w:val="both"/>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宋体" w:cs="Times New Roman"/>
          <w:color w:val="auto"/>
          <w:spacing w:val="-2"/>
          <w:sz w:val="24"/>
          <w:szCs w:val="24"/>
          <w:highlight w:val="none"/>
          <w:lang w:val="en-US" w:eastAsia="zh-CN"/>
        </w:rPr>
        <w:t>3</w:t>
      </w:r>
      <w:r>
        <w:rPr>
          <w:rFonts w:hint="default" w:ascii="Times New Roman" w:hAnsi="Times New Roman" w:eastAsia="宋体" w:cs="Times New Roman"/>
          <w:color w:val="auto"/>
          <w:spacing w:val="-2"/>
          <w:sz w:val="24"/>
          <w:szCs w:val="24"/>
          <w:highlight w:val="none"/>
        </w:rPr>
        <w:t>）评价</w:t>
      </w:r>
      <w:r>
        <w:rPr>
          <w:rFonts w:hint="default" w:ascii="Times New Roman" w:hAnsi="Times New Roman" w:eastAsia="宋体" w:cs="Times New Roman"/>
          <w:color w:val="auto"/>
          <w:spacing w:val="-2"/>
          <w:sz w:val="24"/>
          <w:szCs w:val="24"/>
          <w:highlight w:val="none"/>
          <w:lang w:val="en-US" w:eastAsia="zh-CN"/>
        </w:rPr>
        <w:t>结果</w:t>
      </w:r>
    </w:p>
    <w:p w14:paraId="19D9695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4.3-</w:t>
      </w:r>
      <w:r>
        <w:rPr>
          <w:rFonts w:hint="eastAsia" w:ascii="Times New Roman" w:hAnsi="Times New Roman" w:eastAsia="宋体" w:cs="Times New Roman"/>
          <w:b/>
          <w:bCs/>
          <w:color w:val="auto"/>
          <w:spacing w:val="-1"/>
          <w:sz w:val="24"/>
          <w:szCs w:val="24"/>
          <w:highlight w:val="none"/>
          <w:lang w:val="en-US" w:eastAsia="zh-CN"/>
        </w:rPr>
        <w:t>8</w:t>
      </w:r>
      <w:r>
        <w:rPr>
          <w:rFonts w:hint="default" w:ascii="Times New Roman" w:hAnsi="Times New Roman" w:eastAsia="宋体" w:cs="Times New Roman"/>
          <w:b/>
          <w:bCs/>
          <w:color w:val="auto"/>
          <w:spacing w:val="-1"/>
          <w:sz w:val="24"/>
          <w:szCs w:val="24"/>
          <w:highlight w:val="none"/>
        </w:rPr>
        <w:t>地下水现状监测结果统计表</w:t>
      </w:r>
    </w:p>
    <w:tbl>
      <w:tblPr>
        <w:tblStyle w:val="34"/>
        <w:tblW w:w="8363"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1479"/>
        <w:gridCol w:w="1452"/>
        <w:gridCol w:w="1695"/>
        <w:gridCol w:w="1868"/>
        <w:gridCol w:w="1869"/>
      </w:tblGrid>
      <w:tr w14:paraId="5EF38CA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vMerge w:val="restart"/>
            <w:tcBorders>
              <w:tl2br w:val="nil"/>
              <w:tr2bl w:val="nil"/>
            </w:tcBorders>
            <w:vAlign w:val="center"/>
          </w:tcPr>
          <w:p w14:paraId="53082AA3">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b/>
                <w:bCs/>
                <w:color w:val="auto"/>
                <w:spacing w:val="-3"/>
                <w:sz w:val="21"/>
                <w:szCs w:val="21"/>
                <w:highlight w:val="none"/>
              </w:rPr>
              <w:t>检测项目</w:t>
            </w:r>
          </w:p>
        </w:tc>
        <w:tc>
          <w:tcPr>
            <w:tcW w:w="1452" w:type="dxa"/>
            <w:vMerge w:val="restart"/>
            <w:tcBorders>
              <w:tl2br w:val="nil"/>
              <w:tr2bl w:val="nil"/>
            </w:tcBorders>
            <w:vAlign w:val="center"/>
          </w:tcPr>
          <w:p w14:paraId="0C54FBD6">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b/>
                <w:bCs/>
                <w:color w:val="auto"/>
                <w:spacing w:val="-5"/>
                <w:sz w:val="21"/>
                <w:szCs w:val="21"/>
                <w:highlight w:val="none"/>
              </w:rPr>
              <w:t>单位</w:t>
            </w:r>
          </w:p>
        </w:tc>
        <w:tc>
          <w:tcPr>
            <w:tcW w:w="5432" w:type="dxa"/>
            <w:gridSpan w:val="3"/>
            <w:tcBorders>
              <w:tl2br w:val="nil"/>
              <w:tr2bl w:val="nil"/>
            </w:tcBorders>
            <w:vAlign w:val="center"/>
          </w:tcPr>
          <w:p w14:paraId="53E3DC16">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b/>
                <w:bCs/>
                <w:color w:val="auto"/>
                <w:spacing w:val="-4"/>
                <w:sz w:val="21"/>
                <w:szCs w:val="21"/>
                <w:highlight w:val="none"/>
              </w:rPr>
              <w:t>监测点位</w:t>
            </w:r>
          </w:p>
        </w:tc>
      </w:tr>
      <w:tr w14:paraId="5F03478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vMerge w:val="continue"/>
            <w:tcBorders>
              <w:tl2br w:val="nil"/>
              <w:tr2bl w:val="nil"/>
            </w:tcBorders>
            <w:vAlign w:val="center"/>
          </w:tcPr>
          <w:p w14:paraId="0D2CBDFD">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p>
        </w:tc>
        <w:tc>
          <w:tcPr>
            <w:tcW w:w="1452" w:type="dxa"/>
            <w:vMerge w:val="continue"/>
            <w:tcBorders>
              <w:tl2br w:val="nil"/>
              <w:tr2bl w:val="nil"/>
            </w:tcBorders>
            <w:vAlign w:val="center"/>
          </w:tcPr>
          <w:p w14:paraId="6745ABF8">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p>
        </w:tc>
        <w:tc>
          <w:tcPr>
            <w:tcW w:w="1695" w:type="dxa"/>
            <w:tcBorders>
              <w:tl2br w:val="nil"/>
              <w:tr2bl w:val="nil"/>
            </w:tcBorders>
            <w:vAlign w:val="top"/>
          </w:tcPr>
          <w:p w14:paraId="1E24ADCE">
            <w:pPr>
              <w:keepNext w:val="0"/>
              <w:keepLines w:val="0"/>
              <w:pageBreakBefore w:val="0"/>
              <w:kinsoku/>
              <w:wordWrap w:val="0"/>
              <w:overflowPunct/>
              <w:topLinePunct/>
              <w:autoSpaceDE/>
              <w:autoSpaceDN/>
              <w:bidi w:val="0"/>
              <w:adjustRightInd w:val="0"/>
              <w:snapToGrid w:val="0"/>
              <w:spacing w:before="103" w:line="23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b/>
                <w:bCs/>
                <w:color w:val="auto"/>
                <w:spacing w:val="-4"/>
                <w:sz w:val="21"/>
                <w:szCs w:val="21"/>
                <w:highlight w:val="none"/>
                <w:lang w:val="en-US" w:eastAsia="zh-CN"/>
              </w:rPr>
              <w:t>厂区内井</w:t>
            </w:r>
            <w:r>
              <w:rPr>
                <w:rFonts w:hint="default" w:ascii="Times New Roman" w:hAnsi="Times New Roman" w:eastAsia="Times New Roman" w:cs="Times New Roman"/>
                <w:b/>
                <w:bCs/>
                <w:color w:val="auto"/>
                <w:spacing w:val="-4"/>
                <w:sz w:val="21"/>
                <w:szCs w:val="21"/>
                <w:highlight w:val="none"/>
              </w:rPr>
              <w:t>1#</w:t>
            </w:r>
          </w:p>
        </w:tc>
        <w:tc>
          <w:tcPr>
            <w:tcW w:w="1868" w:type="dxa"/>
            <w:tcBorders>
              <w:tl2br w:val="nil"/>
              <w:tr2bl w:val="nil"/>
            </w:tcBorders>
            <w:vAlign w:val="top"/>
          </w:tcPr>
          <w:p w14:paraId="2998CAF8">
            <w:pPr>
              <w:keepNext w:val="0"/>
              <w:keepLines w:val="0"/>
              <w:pageBreakBefore w:val="0"/>
              <w:kinsoku/>
              <w:wordWrap w:val="0"/>
              <w:overflowPunct/>
              <w:topLinePunct/>
              <w:autoSpaceDE/>
              <w:autoSpaceDN/>
              <w:bidi w:val="0"/>
              <w:adjustRightInd w:val="0"/>
              <w:snapToGrid w:val="0"/>
              <w:spacing w:before="103" w:line="23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b/>
                <w:bCs/>
                <w:color w:val="auto"/>
                <w:spacing w:val="-1"/>
                <w:sz w:val="21"/>
                <w:szCs w:val="21"/>
                <w:highlight w:val="none"/>
                <w:lang w:val="en-US" w:eastAsia="zh-CN"/>
              </w:rPr>
              <w:t>康家屯水源井</w:t>
            </w:r>
            <w:r>
              <w:rPr>
                <w:rFonts w:hint="default" w:ascii="Times New Roman" w:hAnsi="Times New Roman" w:eastAsia="Times New Roman" w:cs="Times New Roman"/>
                <w:b/>
                <w:bCs/>
                <w:color w:val="auto"/>
                <w:spacing w:val="-1"/>
                <w:sz w:val="21"/>
                <w:szCs w:val="21"/>
                <w:highlight w:val="none"/>
              </w:rPr>
              <w:t>2#</w:t>
            </w:r>
          </w:p>
        </w:tc>
        <w:tc>
          <w:tcPr>
            <w:tcW w:w="1869" w:type="dxa"/>
            <w:tcBorders>
              <w:tl2br w:val="nil"/>
              <w:tr2bl w:val="nil"/>
            </w:tcBorders>
            <w:vAlign w:val="top"/>
          </w:tcPr>
          <w:p w14:paraId="29C9D70D">
            <w:pPr>
              <w:keepNext w:val="0"/>
              <w:keepLines w:val="0"/>
              <w:pageBreakBefore w:val="0"/>
              <w:kinsoku/>
              <w:wordWrap w:val="0"/>
              <w:overflowPunct/>
              <w:topLinePunct/>
              <w:autoSpaceDE/>
              <w:autoSpaceDN/>
              <w:bidi w:val="0"/>
              <w:adjustRightInd w:val="0"/>
              <w:snapToGrid w:val="0"/>
              <w:spacing w:before="103" w:line="230" w:lineRule="auto"/>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b/>
                <w:bCs/>
                <w:color w:val="auto"/>
                <w:spacing w:val="-1"/>
                <w:sz w:val="21"/>
                <w:szCs w:val="21"/>
                <w:highlight w:val="none"/>
                <w:lang w:val="en-US" w:eastAsia="zh-CN"/>
              </w:rPr>
              <w:t>灌溉井</w:t>
            </w:r>
            <w:r>
              <w:rPr>
                <w:rFonts w:hint="default" w:ascii="Times New Roman" w:hAnsi="Times New Roman" w:eastAsia="Times New Roman" w:cs="Times New Roman"/>
                <w:b/>
                <w:bCs/>
                <w:color w:val="auto"/>
                <w:spacing w:val="-1"/>
                <w:sz w:val="21"/>
                <w:szCs w:val="21"/>
                <w:highlight w:val="none"/>
              </w:rPr>
              <w:t>3#</w:t>
            </w:r>
          </w:p>
        </w:tc>
      </w:tr>
      <w:tr w14:paraId="5D77BC8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50411E39">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color w:val="auto"/>
                <w:spacing w:val="-1"/>
                <w:w w:val="99"/>
                <w:position w:val="-5"/>
                <w:sz w:val="21"/>
                <w:szCs w:val="21"/>
                <w:highlight w:val="none"/>
              </w:rPr>
              <w:t>K</w:t>
            </w:r>
            <w:r>
              <w:rPr>
                <w:rFonts w:hint="default" w:ascii="Times New Roman" w:hAnsi="Times New Roman" w:eastAsia="宋体" w:cs="Times New Roman"/>
                <w:color w:val="auto"/>
                <w:spacing w:val="-1"/>
                <w:w w:val="99"/>
                <w:position w:val="-5"/>
                <w:sz w:val="21"/>
                <w:szCs w:val="21"/>
                <w:highlight w:val="none"/>
                <w:vertAlign w:val="superscript"/>
                <w:lang w:val="en-US" w:eastAsia="zh-CN"/>
              </w:rPr>
              <w:t>+</w:t>
            </w:r>
          </w:p>
        </w:tc>
        <w:tc>
          <w:tcPr>
            <w:tcW w:w="1452" w:type="dxa"/>
            <w:tcBorders>
              <w:tl2br w:val="nil"/>
              <w:tr2bl w:val="nil"/>
            </w:tcBorders>
            <w:vAlign w:val="center"/>
          </w:tcPr>
          <w:p w14:paraId="7992C07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448FCDEC">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2.63</w:t>
            </w:r>
          </w:p>
        </w:tc>
        <w:tc>
          <w:tcPr>
            <w:tcW w:w="1868" w:type="dxa"/>
            <w:tcBorders>
              <w:tl2br w:val="nil"/>
              <w:tr2bl w:val="nil"/>
            </w:tcBorders>
            <w:vAlign w:val="center"/>
          </w:tcPr>
          <w:p w14:paraId="39930661">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2.50</w:t>
            </w:r>
          </w:p>
        </w:tc>
        <w:tc>
          <w:tcPr>
            <w:tcW w:w="1869" w:type="dxa"/>
            <w:tcBorders>
              <w:tl2br w:val="nil"/>
              <w:tr2bl w:val="nil"/>
            </w:tcBorders>
            <w:vAlign w:val="center"/>
          </w:tcPr>
          <w:p w14:paraId="3B7DE441">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2.18</w:t>
            </w:r>
          </w:p>
        </w:tc>
      </w:tr>
      <w:tr w14:paraId="7923295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78E2E50B">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vertAlign w:val="superscript"/>
                <w:lang w:val="en-US" w:eastAsia="zh-CN"/>
              </w:rPr>
            </w:pPr>
            <w:r>
              <w:rPr>
                <w:rFonts w:hint="default" w:ascii="Times New Roman" w:hAnsi="Times New Roman" w:eastAsia="Times New Roman" w:cs="Times New Roman"/>
                <w:color w:val="auto"/>
                <w:position w:val="-3"/>
                <w:sz w:val="21"/>
                <w:szCs w:val="21"/>
                <w:highlight w:val="none"/>
              </w:rPr>
              <w:t>Na</w:t>
            </w:r>
            <w:r>
              <w:rPr>
                <w:rFonts w:hint="default" w:ascii="Times New Roman" w:hAnsi="Times New Roman" w:eastAsia="宋体" w:cs="Times New Roman"/>
                <w:color w:val="auto"/>
                <w:position w:val="-3"/>
                <w:sz w:val="21"/>
                <w:szCs w:val="21"/>
                <w:highlight w:val="none"/>
                <w:vertAlign w:val="superscript"/>
                <w:lang w:val="en-US" w:eastAsia="zh-CN"/>
              </w:rPr>
              <w:t>+</w:t>
            </w:r>
          </w:p>
        </w:tc>
        <w:tc>
          <w:tcPr>
            <w:tcW w:w="1452" w:type="dxa"/>
            <w:tcBorders>
              <w:tl2br w:val="nil"/>
              <w:tr2bl w:val="nil"/>
            </w:tcBorders>
            <w:vAlign w:val="center"/>
          </w:tcPr>
          <w:p w14:paraId="7E638405">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1713B2A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26.4</w:t>
            </w:r>
          </w:p>
        </w:tc>
        <w:tc>
          <w:tcPr>
            <w:tcW w:w="1868" w:type="dxa"/>
            <w:tcBorders>
              <w:tl2br w:val="nil"/>
              <w:tr2bl w:val="nil"/>
            </w:tcBorders>
            <w:vAlign w:val="center"/>
          </w:tcPr>
          <w:p w14:paraId="41BE773B">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19.0</w:t>
            </w:r>
          </w:p>
        </w:tc>
        <w:tc>
          <w:tcPr>
            <w:tcW w:w="1869" w:type="dxa"/>
            <w:tcBorders>
              <w:tl2br w:val="nil"/>
              <w:tr2bl w:val="nil"/>
            </w:tcBorders>
            <w:vAlign w:val="center"/>
          </w:tcPr>
          <w:p w14:paraId="6A468F43">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9.8</w:t>
            </w:r>
          </w:p>
        </w:tc>
      </w:tr>
      <w:tr w14:paraId="1927962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0989FD45">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color w:val="auto"/>
                <w:spacing w:val="-2"/>
                <w:position w:val="-4"/>
                <w:sz w:val="21"/>
                <w:szCs w:val="21"/>
                <w:highlight w:val="none"/>
              </w:rPr>
              <w:t>Ca</w:t>
            </w:r>
            <w:r>
              <w:rPr>
                <w:rFonts w:hint="default" w:ascii="Times New Roman" w:hAnsi="Times New Roman" w:eastAsia="宋体" w:cs="Times New Roman"/>
                <w:color w:val="auto"/>
                <w:spacing w:val="-2"/>
                <w:position w:val="-4"/>
                <w:sz w:val="21"/>
                <w:szCs w:val="21"/>
                <w:highlight w:val="none"/>
                <w:vertAlign w:val="superscript"/>
                <w:lang w:val="en-US" w:eastAsia="zh-CN"/>
              </w:rPr>
              <w:t>2+</w:t>
            </w:r>
          </w:p>
        </w:tc>
        <w:tc>
          <w:tcPr>
            <w:tcW w:w="1452" w:type="dxa"/>
            <w:tcBorders>
              <w:tl2br w:val="nil"/>
              <w:tr2bl w:val="nil"/>
            </w:tcBorders>
            <w:vAlign w:val="center"/>
          </w:tcPr>
          <w:p w14:paraId="5A9DAFE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7CA4CDD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56.8</w:t>
            </w:r>
          </w:p>
        </w:tc>
        <w:tc>
          <w:tcPr>
            <w:tcW w:w="1868" w:type="dxa"/>
            <w:tcBorders>
              <w:tl2br w:val="nil"/>
              <w:tr2bl w:val="nil"/>
            </w:tcBorders>
            <w:vAlign w:val="center"/>
          </w:tcPr>
          <w:p w14:paraId="1A2AABA5">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52.9</w:t>
            </w:r>
          </w:p>
        </w:tc>
        <w:tc>
          <w:tcPr>
            <w:tcW w:w="1869" w:type="dxa"/>
            <w:tcBorders>
              <w:tl2br w:val="nil"/>
              <w:tr2bl w:val="nil"/>
            </w:tcBorders>
            <w:vAlign w:val="center"/>
          </w:tcPr>
          <w:p w14:paraId="04B40E29">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33.2</w:t>
            </w:r>
          </w:p>
        </w:tc>
      </w:tr>
      <w:tr w14:paraId="2EE0485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479" w:type="dxa"/>
            <w:tcBorders>
              <w:tl2br w:val="nil"/>
              <w:tr2bl w:val="nil"/>
            </w:tcBorders>
            <w:vAlign w:val="center"/>
          </w:tcPr>
          <w:p w14:paraId="4BBBC983">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color w:val="auto"/>
                <w:spacing w:val="-2"/>
                <w:position w:val="-3"/>
                <w:sz w:val="21"/>
                <w:szCs w:val="21"/>
                <w:highlight w:val="none"/>
              </w:rPr>
              <w:t>Mg</w:t>
            </w:r>
            <w:r>
              <w:rPr>
                <w:rFonts w:hint="default" w:ascii="Times New Roman" w:hAnsi="Times New Roman" w:eastAsia="宋体" w:cs="Times New Roman"/>
                <w:color w:val="auto"/>
                <w:spacing w:val="-2"/>
                <w:position w:val="-3"/>
                <w:sz w:val="21"/>
                <w:szCs w:val="21"/>
                <w:highlight w:val="none"/>
                <w:vertAlign w:val="superscript"/>
                <w:lang w:val="en-US" w:eastAsia="zh-CN"/>
              </w:rPr>
              <w:t>2+</w:t>
            </w:r>
          </w:p>
        </w:tc>
        <w:tc>
          <w:tcPr>
            <w:tcW w:w="1452" w:type="dxa"/>
            <w:tcBorders>
              <w:tl2br w:val="nil"/>
              <w:tr2bl w:val="nil"/>
            </w:tcBorders>
            <w:vAlign w:val="center"/>
          </w:tcPr>
          <w:p w14:paraId="51402D5E">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3D407682">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18.8</w:t>
            </w:r>
          </w:p>
        </w:tc>
        <w:tc>
          <w:tcPr>
            <w:tcW w:w="1868" w:type="dxa"/>
            <w:tcBorders>
              <w:tl2br w:val="nil"/>
              <w:tr2bl w:val="nil"/>
            </w:tcBorders>
            <w:vAlign w:val="center"/>
          </w:tcPr>
          <w:p w14:paraId="332825E5">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17.7</w:t>
            </w:r>
          </w:p>
        </w:tc>
        <w:tc>
          <w:tcPr>
            <w:tcW w:w="1869" w:type="dxa"/>
            <w:tcBorders>
              <w:tl2br w:val="nil"/>
              <w:tr2bl w:val="nil"/>
            </w:tcBorders>
            <w:vAlign w:val="center"/>
          </w:tcPr>
          <w:p w14:paraId="38D5E023">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12.0</w:t>
            </w:r>
          </w:p>
        </w:tc>
      </w:tr>
      <w:tr w14:paraId="78903DE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6DD11552">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color w:val="auto"/>
                <w:spacing w:val="-1"/>
                <w:position w:val="-1"/>
                <w:sz w:val="21"/>
                <w:szCs w:val="21"/>
                <w:highlight w:val="none"/>
              </w:rPr>
              <w:t>CO</w:t>
            </w:r>
            <w:r>
              <w:rPr>
                <w:rFonts w:hint="default" w:ascii="Times New Roman" w:hAnsi="Times New Roman" w:eastAsia="宋体" w:cs="Times New Roman"/>
                <w:color w:val="auto"/>
                <w:spacing w:val="-1"/>
                <w:position w:val="-1"/>
                <w:sz w:val="21"/>
                <w:szCs w:val="21"/>
                <w:highlight w:val="none"/>
                <w:vertAlign w:val="subscript"/>
                <w:lang w:val="en-US" w:eastAsia="zh-CN"/>
              </w:rPr>
              <w:t>3</w:t>
            </w:r>
            <w:r>
              <w:rPr>
                <w:rFonts w:hint="default" w:ascii="Times New Roman" w:hAnsi="Times New Roman" w:eastAsia="宋体" w:cs="Times New Roman"/>
                <w:color w:val="auto"/>
                <w:spacing w:val="-1"/>
                <w:position w:val="-4"/>
                <w:sz w:val="21"/>
                <w:szCs w:val="21"/>
                <w:highlight w:val="none"/>
                <w:vertAlign w:val="superscript"/>
                <w:lang w:val="en-US" w:eastAsia="zh-CN"/>
              </w:rPr>
              <w:t>2-</w:t>
            </w:r>
          </w:p>
        </w:tc>
        <w:tc>
          <w:tcPr>
            <w:tcW w:w="1452" w:type="dxa"/>
            <w:tcBorders>
              <w:tl2br w:val="nil"/>
              <w:tr2bl w:val="nil"/>
            </w:tcBorders>
            <w:vAlign w:val="center"/>
          </w:tcPr>
          <w:p w14:paraId="4B1D0AAE">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47179F51">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未检出</w:t>
            </w:r>
          </w:p>
        </w:tc>
        <w:tc>
          <w:tcPr>
            <w:tcW w:w="1868" w:type="dxa"/>
            <w:tcBorders>
              <w:tl2br w:val="nil"/>
              <w:tr2bl w:val="nil"/>
            </w:tcBorders>
            <w:vAlign w:val="center"/>
          </w:tcPr>
          <w:p w14:paraId="44E5E468">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未检出</w:t>
            </w:r>
          </w:p>
        </w:tc>
        <w:tc>
          <w:tcPr>
            <w:tcW w:w="1869" w:type="dxa"/>
            <w:tcBorders>
              <w:tl2br w:val="nil"/>
              <w:tr2bl w:val="nil"/>
            </w:tcBorders>
            <w:vAlign w:val="center"/>
          </w:tcPr>
          <w:p w14:paraId="5CEB430B">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未检出</w:t>
            </w:r>
          </w:p>
        </w:tc>
      </w:tr>
      <w:tr w14:paraId="252D5DD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4E871E71">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Times New Roman" w:cs="Times New Roman"/>
                <w:color w:val="auto"/>
                <w:spacing w:val="-1"/>
                <w:position w:val="-1"/>
                <w:sz w:val="21"/>
                <w:szCs w:val="21"/>
                <w:highlight w:val="none"/>
              </w:rPr>
              <w:t>HCO</w:t>
            </w:r>
            <w:r>
              <w:rPr>
                <w:rFonts w:hint="default" w:ascii="Times New Roman" w:hAnsi="Times New Roman" w:eastAsia="宋体" w:cs="Times New Roman"/>
                <w:color w:val="auto"/>
                <w:spacing w:val="-1"/>
                <w:position w:val="-1"/>
                <w:sz w:val="21"/>
                <w:szCs w:val="21"/>
                <w:highlight w:val="none"/>
                <w:vertAlign w:val="subscript"/>
                <w:lang w:val="en-US" w:eastAsia="zh-CN"/>
              </w:rPr>
              <w:t>3</w:t>
            </w:r>
            <w:r>
              <w:rPr>
                <w:rFonts w:hint="default" w:ascii="Times New Roman" w:hAnsi="Times New Roman" w:eastAsia="宋体" w:cs="Times New Roman"/>
                <w:color w:val="auto"/>
                <w:spacing w:val="-1"/>
                <w:position w:val="-1"/>
                <w:sz w:val="21"/>
                <w:szCs w:val="21"/>
                <w:highlight w:val="none"/>
                <w:vertAlign w:val="superscript"/>
                <w:lang w:val="en-US" w:eastAsia="zh-CN"/>
              </w:rPr>
              <w:t>-</w:t>
            </w:r>
          </w:p>
        </w:tc>
        <w:tc>
          <w:tcPr>
            <w:tcW w:w="1452" w:type="dxa"/>
            <w:tcBorders>
              <w:tl2br w:val="nil"/>
              <w:tr2bl w:val="nil"/>
            </w:tcBorders>
            <w:vAlign w:val="center"/>
          </w:tcPr>
          <w:p w14:paraId="538F4ED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0EB9430E">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208</w:t>
            </w:r>
          </w:p>
        </w:tc>
        <w:tc>
          <w:tcPr>
            <w:tcW w:w="1868" w:type="dxa"/>
            <w:tcBorders>
              <w:tl2br w:val="nil"/>
              <w:tr2bl w:val="nil"/>
            </w:tcBorders>
            <w:vAlign w:val="center"/>
          </w:tcPr>
          <w:p w14:paraId="19242AB3">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164</w:t>
            </w:r>
          </w:p>
        </w:tc>
        <w:tc>
          <w:tcPr>
            <w:tcW w:w="1869" w:type="dxa"/>
            <w:tcBorders>
              <w:tl2br w:val="nil"/>
              <w:tr2bl w:val="nil"/>
            </w:tcBorders>
            <w:vAlign w:val="center"/>
          </w:tcPr>
          <w:p w14:paraId="23B77799">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196</w:t>
            </w:r>
          </w:p>
        </w:tc>
      </w:tr>
      <w:tr w14:paraId="1E476B0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3F364110">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color w:val="auto"/>
                <w:spacing w:val="-3"/>
                <w:position w:val="-4"/>
                <w:sz w:val="21"/>
                <w:szCs w:val="21"/>
                <w:highlight w:val="none"/>
              </w:rPr>
              <w:t>Cl</w:t>
            </w:r>
            <w:r>
              <w:rPr>
                <w:rFonts w:hint="default" w:ascii="Times New Roman" w:hAnsi="Times New Roman" w:eastAsia="宋体" w:cs="Times New Roman"/>
                <w:color w:val="auto"/>
                <w:spacing w:val="-3"/>
                <w:position w:val="-4"/>
                <w:sz w:val="21"/>
                <w:szCs w:val="21"/>
                <w:highlight w:val="none"/>
                <w:vertAlign w:val="superscript"/>
                <w:lang w:val="en-US" w:eastAsia="zh-CN"/>
              </w:rPr>
              <w:t>-</w:t>
            </w:r>
          </w:p>
        </w:tc>
        <w:tc>
          <w:tcPr>
            <w:tcW w:w="1452" w:type="dxa"/>
            <w:tcBorders>
              <w:tl2br w:val="nil"/>
              <w:tr2bl w:val="nil"/>
            </w:tcBorders>
            <w:vAlign w:val="center"/>
          </w:tcPr>
          <w:p w14:paraId="3C50D8B8">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35B47BA5">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36.9</w:t>
            </w:r>
          </w:p>
        </w:tc>
        <w:tc>
          <w:tcPr>
            <w:tcW w:w="1868" w:type="dxa"/>
            <w:tcBorders>
              <w:tl2br w:val="nil"/>
              <w:tr2bl w:val="nil"/>
            </w:tcBorders>
            <w:vAlign w:val="center"/>
          </w:tcPr>
          <w:p w14:paraId="1D225A79">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49.6</w:t>
            </w:r>
          </w:p>
        </w:tc>
        <w:tc>
          <w:tcPr>
            <w:tcW w:w="1869" w:type="dxa"/>
            <w:tcBorders>
              <w:tl2br w:val="nil"/>
              <w:tr2bl w:val="nil"/>
            </w:tcBorders>
            <w:vAlign w:val="center"/>
          </w:tcPr>
          <w:p w14:paraId="405F318C">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1.08</w:t>
            </w:r>
          </w:p>
        </w:tc>
      </w:tr>
      <w:tr w14:paraId="332D74B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097B6862">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color w:val="auto"/>
                <w:spacing w:val="-3"/>
                <w:position w:val="-1"/>
                <w:sz w:val="21"/>
                <w:szCs w:val="21"/>
                <w:highlight w:val="none"/>
              </w:rPr>
              <w:t>SO</w:t>
            </w:r>
            <w:r>
              <w:rPr>
                <w:rFonts w:hint="default" w:ascii="Times New Roman" w:hAnsi="Times New Roman" w:eastAsia="宋体" w:cs="Times New Roman"/>
                <w:color w:val="auto"/>
                <w:spacing w:val="-3"/>
                <w:position w:val="-1"/>
                <w:sz w:val="21"/>
                <w:szCs w:val="21"/>
                <w:highlight w:val="none"/>
                <w:vertAlign w:val="subscript"/>
                <w:lang w:val="en-US" w:eastAsia="zh-CN"/>
              </w:rPr>
              <w:t>4</w:t>
            </w:r>
            <w:r>
              <w:rPr>
                <w:rFonts w:hint="default" w:ascii="Times New Roman" w:hAnsi="Times New Roman" w:eastAsia="宋体" w:cs="Times New Roman"/>
                <w:color w:val="auto"/>
                <w:spacing w:val="-3"/>
                <w:position w:val="-4"/>
                <w:sz w:val="21"/>
                <w:szCs w:val="21"/>
                <w:highlight w:val="none"/>
                <w:vertAlign w:val="superscript"/>
                <w:lang w:val="en-US" w:eastAsia="zh-CN"/>
              </w:rPr>
              <w:t>2-</w:t>
            </w:r>
          </w:p>
        </w:tc>
        <w:tc>
          <w:tcPr>
            <w:tcW w:w="1452" w:type="dxa"/>
            <w:tcBorders>
              <w:tl2br w:val="nil"/>
              <w:tr2bl w:val="nil"/>
            </w:tcBorders>
            <w:vAlign w:val="center"/>
          </w:tcPr>
          <w:p w14:paraId="786E8F1B">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32D3D0B7">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92.1</w:t>
            </w:r>
          </w:p>
        </w:tc>
        <w:tc>
          <w:tcPr>
            <w:tcW w:w="1868" w:type="dxa"/>
            <w:tcBorders>
              <w:tl2br w:val="nil"/>
              <w:tr2bl w:val="nil"/>
            </w:tcBorders>
            <w:vAlign w:val="center"/>
          </w:tcPr>
          <w:p w14:paraId="73C7CC28">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61.6</w:t>
            </w:r>
          </w:p>
        </w:tc>
        <w:tc>
          <w:tcPr>
            <w:tcW w:w="1869" w:type="dxa"/>
            <w:tcBorders>
              <w:tl2br w:val="nil"/>
              <w:tr2bl w:val="nil"/>
            </w:tcBorders>
            <w:vAlign w:val="center"/>
          </w:tcPr>
          <w:p w14:paraId="5F6CF43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0.018L</w:t>
            </w:r>
          </w:p>
        </w:tc>
      </w:tr>
      <w:tr w14:paraId="7D2D401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7D18C94B">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pH</w:t>
            </w:r>
          </w:p>
        </w:tc>
        <w:tc>
          <w:tcPr>
            <w:tcW w:w="1452" w:type="dxa"/>
            <w:tcBorders>
              <w:tl2br w:val="nil"/>
              <w:tr2bl w:val="nil"/>
            </w:tcBorders>
            <w:vAlign w:val="center"/>
          </w:tcPr>
          <w:p w14:paraId="00843380">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无量纲</w:t>
            </w:r>
          </w:p>
        </w:tc>
        <w:tc>
          <w:tcPr>
            <w:tcW w:w="1695" w:type="dxa"/>
            <w:tcBorders>
              <w:tl2br w:val="nil"/>
              <w:tr2bl w:val="nil"/>
            </w:tcBorders>
            <w:vAlign w:val="center"/>
          </w:tcPr>
          <w:p w14:paraId="454E84C0">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7.0</w:t>
            </w:r>
          </w:p>
        </w:tc>
        <w:tc>
          <w:tcPr>
            <w:tcW w:w="1868" w:type="dxa"/>
            <w:tcBorders>
              <w:tl2br w:val="nil"/>
              <w:tr2bl w:val="nil"/>
            </w:tcBorders>
            <w:vAlign w:val="center"/>
          </w:tcPr>
          <w:p w14:paraId="457F9E4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7.3</w:t>
            </w:r>
          </w:p>
        </w:tc>
        <w:tc>
          <w:tcPr>
            <w:tcW w:w="1869" w:type="dxa"/>
            <w:tcBorders>
              <w:tl2br w:val="nil"/>
              <w:tr2bl w:val="nil"/>
            </w:tcBorders>
            <w:vAlign w:val="center"/>
          </w:tcPr>
          <w:p w14:paraId="1881FC2B">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7.0</w:t>
            </w:r>
          </w:p>
        </w:tc>
      </w:tr>
      <w:tr w14:paraId="0D5B0AB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7D5424FC">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3"/>
                <w:sz w:val="21"/>
                <w:szCs w:val="21"/>
                <w:highlight w:val="none"/>
              </w:rPr>
              <w:t>氨氮</w:t>
            </w:r>
          </w:p>
        </w:tc>
        <w:tc>
          <w:tcPr>
            <w:tcW w:w="1452" w:type="dxa"/>
            <w:tcBorders>
              <w:tl2br w:val="nil"/>
              <w:tr2bl w:val="nil"/>
            </w:tcBorders>
            <w:vAlign w:val="center"/>
          </w:tcPr>
          <w:p w14:paraId="35A6F826">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2DD7E69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0.384</w:t>
            </w:r>
          </w:p>
        </w:tc>
        <w:tc>
          <w:tcPr>
            <w:tcW w:w="1868" w:type="dxa"/>
            <w:tcBorders>
              <w:tl2br w:val="nil"/>
              <w:tr2bl w:val="nil"/>
            </w:tcBorders>
            <w:vAlign w:val="center"/>
          </w:tcPr>
          <w:p w14:paraId="27A17176">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0.429</w:t>
            </w:r>
          </w:p>
        </w:tc>
        <w:tc>
          <w:tcPr>
            <w:tcW w:w="1869" w:type="dxa"/>
            <w:tcBorders>
              <w:tl2br w:val="nil"/>
              <w:tr2bl w:val="nil"/>
            </w:tcBorders>
            <w:vAlign w:val="center"/>
          </w:tcPr>
          <w:p w14:paraId="239FF54C">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0.456</w:t>
            </w:r>
          </w:p>
        </w:tc>
      </w:tr>
      <w:tr w14:paraId="19F270E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20309ECE">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3"/>
                <w:sz w:val="21"/>
                <w:szCs w:val="21"/>
                <w:highlight w:val="none"/>
              </w:rPr>
              <w:t>硝酸盐</w:t>
            </w:r>
          </w:p>
        </w:tc>
        <w:tc>
          <w:tcPr>
            <w:tcW w:w="1452" w:type="dxa"/>
            <w:tcBorders>
              <w:tl2br w:val="nil"/>
              <w:tr2bl w:val="nil"/>
            </w:tcBorders>
            <w:vAlign w:val="center"/>
          </w:tcPr>
          <w:p w14:paraId="669A9454">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5325A52D">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0.17</w:t>
            </w:r>
          </w:p>
        </w:tc>
        <w:tc>
          <w:tcPr>
            <w:tcW w:w="1868" w:type="dxa"/>
            <w:tcBorders>
              <w:tl2br w:val="nil"/>
              <w:tr2bl w:val="nil"/>
            </w:tcBorders>
            <w:vAlign w:val="center"/>
          </w:tcPr>
          <w:p w14:paraId="0AC94CE6">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0.14</w:t>
            </w:r>
          </w:p>
        </w:tc>
        <w:tc>
          <w:tcPr>
            <w:tcW w:w="1869" w:type="dxa"/>
            <w:tcBorders>
              <w:tl2br w:val="nil"/>
              <w:tr2bl w:val="nil"/>
            </w:tcBorders>
            <w:vAlign w:val="center"/>
          </w:tcPr>
          <w:p w14:paraId="55DD027F">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0.11</w:t>
            </w:r>
          </w:p>
        </w:tc>
      </w:tr>
      <w:tr w14:paraId="5948968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21300747">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3"/>
                <w:sz w:val="21"/>
                <w:szCs w:val="21"/>
                <w:highlight w:val="none"/>
              </w:rPr>
              <w:t>亚硝酸盐</w:t>
            </w:r>
          </w:p>
        </w:tc>
        <w:tc>
          <w:tcPr>
            <w:tcW w:w="1452" w:type="dxa"/>
            <w:tcBorders>
              <w:tl2br w:val="nil"/>
              <w:tr2bl w:val="nil"/>
            </w:tcBorders>
            <w:vAlign w:val="center"/>
          </w:tcPr>
          <w:p w14:paraId="0900705D">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544AA2D6">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0.008</w:t>
            </w:r>
          </w:p>
        </w:tc>
        <w:tc>
          <w:tcPr>
            <w:tcW w:w="1868" w:type="dxa"/>
            <w:tcBorders>
              <w:tl2br w:val="nil"/>
              <w:tr2bl w:val="nil"/>
            </w:tcBorders>
            <w:vAlign w:val="center"/>
          </w:tcPr>
          <w:p w14:paraId="3F812013">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0.011</w:t>
            </w:r>
          </w:p>
        </w:tc>
        <w:tc>
          <w:tcPr>
            <w:tcW w:w="1869" w:type="dxa"/>
            <w:tcBorders>
              <w:tl2br w:val="nil"/>
              <w:tr2bl w:val="nil"/>
            </w:tcBorders>
            <w:vAlign w:val="center"/>
          </w:tcPr>
          <w:p w14:paraId="1C116411">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0.005</w:t>
            </w:r>
          </w:p>
        </w:tc>
      </w:tr>
      <w:tr w14:paraId="52821B3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7F7EB1D5">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氰化物</w:t>
            </w:r>
          </w:p>
        </w:tc>
        <w:tc>
          <w:tcPr>
            <w:tcW w:w="1452" w:type="dxa"/>
            <w:tcBorders>
              <w:tl2br w:val="nil"/>
              <w:tr2bl w:val="nil"/>
            </w:tcBorders>
            <w:vAlign w:val="center"/>
          </w:tcPr>
          <w:p w14:paraId="2EA49B9D">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2F4D918C">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Times New Roman"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0.002L</w:t>
            </w:r>
          </w:p>
        </w:tc>
        <w:tc>
          <w:tcPr>
            <w:tcW w:w="1868" w:type="dxa"/>
            <w:tcBorders>
              <w:tl2br w:val="nil"/>
              <w:tr2bl w:val="nil"/>
            </w:tcBorders>
            <w:shd w:val="clear" w:color="auto" w:fill="auto"/>
            <w:vAlign w:val="center"/>
          </w:tcPr>
          <w:p w14:paraId="7FB42D8D">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Times New Roman"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0.002L</w:t>
            </w:r>
          </w:p>
        </w:tc>
        <w:tc>
          <w:tcPr>
            <w:tcW w:w="1869" w:type="dxa"/>
            <w:tcBorders>
              <w:tl2br w:val="nil"/>
              <w:tr2bl w:val="nil"/>
            </w:tcBorders>
            <w:shd w:val="clear" w:color="auto" w:fill="auto"/>
            <w:vAlign w:val="center"/>
          </w:tcPr>
          <w:p w14:paraId="587F8783">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Times New Roman"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0.002L</w:t>
            </w:r>
          </w:p>
        </w:tc>
      </w:tr>
      <w:tr w14:paraId="6F1FF97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vAlign w:val="center"/>
          </w:tcPr>
          <w:p w14:paraId="713FFC4F">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pacing w:val="-2"/>
                <w:sz w:val="21"/>
                <w:szCs w:val="21"/>
                <w:highlight w:val="none"/>
              </w:rPr>
              <w:t>挥发性酚</w:t>
            </w:r>
            <w:r>
              <w:rPr>
                <w:rFonts w:hint="default" w:ascii="Times New Roman" w:hAnsi="Times New Roman" w:cs="Times New Roman"/>
                <w:color w:val="auto"/>
                <w:spacing w:val="-2"/>
                <w:sz w:val="21"/>
                <w:szCs w:val="21"/>
                <w:highlight w:val="none"/>
                <w:lang w:val="en-US" w:eastAsia="zh-CN"/>
              </w:rPr>
              <w:t>类</w:t>
            </w:r>
          </w:p>
        </w:tc>
        <w:tc>
          <w:tcPr>
            <w:tcW w:w="1452" w:type="dxa"/>
            <w:tcBorders>
              <w:tl2br w:val="nil"/>
              <w:tr2bl w:val="nil"/>
            </w:tcBorders>
            <w:vAlign w:val="center"/>
          </w:tcPr>
          <w:p w14:paraId="5129AD3E">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vAlign w:val="center"/>
          </w:tcPr>
          <w:p w14:paraId="6EDC9DA3">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c>
          <w:tcPr>
            <w:tcW w:w="1868" w:type="dxa"/>
            <w:tcBorders>
              <w:tl2br w:val="nil"/>
              <w:tr2bl w:val="nil"/>
            </w:tcBorders>
            <w:vAlign w:val="center"/>
          </w:tcPr>
          <w:p w14:paraId="23C1DCF9">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c>
          <w:tcPr>
            <w:tcW w:w="1869" w:type="dxa"/>
            <w:tcBorders>
              <w:tl2br w:val="nil"/>
              <w:tr2bl w:val="nil"/>
            </w:tcBorders>
            <w:vAlign w:val="center"/>
          </w:tcPr>
          <w:p w14:paraId="72F053F6">
            <w:pPr>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0.0003L</w:t>
            </w:r>
          </w:p>
        </w:tc>
      </w:tr>
      <w:tr w14:paraId="29452D4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054F84CA">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z w:val="21"/>
                <w:szCs w:val="21"/>
                <w:highlight w:val="none"/>
              </w:rPr>
              <w:t>砷</w:t>
            </w:r>
          </w:p>
        </w:tc>
        <w:tc>
          <w:tcPr>
            <w:tcW w:w="1452" w:type="dxa"/>
            <w:tcBorders>
              <w:tl2br w:val="nil"/>
              <w:tr2bl w:val="nil"/>
            </w:tcBorders>
            <w:shd w:val="clear" w:color="auto" w:fill="auto"/>
            <w:vAlign w:val="center"/>
          </w:tcPr>
          <w:p w14:paraId="6203E673">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37564048">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z w:val="21"/>
                <w:szCs w:val="21"/>
                <w:highlight w:val="none"/>
                <w:lang w:val="en-US" w:eastAsia="zh-CN"/>
              </w:rPr>
              <w:t>0.0003L</w:t>
            </w:r>
          </w:p>
        </w:tc>
        <w:tc>
          <w:tcPr>
            <w:tcW w:w="1868" w:type="dxa"/>
            <w:tcBorders>
              <w:tl2br w:val="nil"/>
              <w:tr2bl w:val="nil"/>
            </w:tcBorders>
            <w:shd w:val="clear" w:color="auto" w:fill="auto"/>
            <w:vAlign w:val="center"/>
          </w:tcPr>
          <w:p w14:paraId="1AAD3529">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z w:val="21"/>
                <w:szCs w:val="21"/>
                <w:highlight w:val="none"/>
                <w:lang w:val="en-US" w:eastAsia="zh-CN"/>
              </w:rPr>
              <w:t>0.0003L</w:t>
            </w:r>
          </w:p>
        </w:tc>
        <w:tc>
          <w:tcPr>
            <w:tcW w:w="1869" w:type="dxa"/>
            <w:tcBorders>
              <w:tl2br w:val="nil"/>
              <w:tr2bl w:val="nil"/>
            </w:tcBorders>
            <w:shd w:val="clear" w:color="auto" w:fill="auto"/>
            <w:vAlign w:val="center"/>
          </w:tcPr>
          <w:p w14:paraId="35B8433D">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z w:val="21"/>
                <w:szCs w:val="21"/>
                <w:highlight w:val="none"/>
                <w:lang w:val="en-US" w:eastAsia="zh-CN"/>
              </w:rPr>
              <w:t>0.0003L</w:t>
            </w:r>
          </w:p>
        </w:tc>
      </w:tr>
      <w:tr w14:paraId="1B1B27B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2C61E2D9">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z w:val="21"/>
                <w:szCs w:val="21"/>
                <w:highlight w:val="none"/>
              </w:rPr>
              <w:t>汞</w:t>
            </w:r>
          </w:p>
        </w:tc>
        <w:tc>
          <w:tcPr>
            <w:tcW w:w="1452" w:type="dxa"/>
            <w:tcBorders>
              <w:tl2br w:val="nil"/>
              <w:tr2bl w:val="nil"/>
            </w:tcBorders>
            <w:shd w:val="clear" w:color="auto" w:fill="auto"/>
            <w:vAlign w:val="center"/>
          </w:tcPr>
          <w:p w14:paraId="73DA2399">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6801D877">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0.00004L</w:t>
            </w:r>
          </w:p>
        </w:tc>
        <w:tc>
          <w:tcPr>
            <w:tcW w:w="1868" w:type="dxa"/>
            <w:tcBorders>
              <w:tl2br w:val="nil"/>
              <w:tr2bl w:val="nil"/>
            </w:tcBorders>
            <w:shd w:val="clear" w:color="auto" w:fill="auto"/>
            <w:vAlign w:val="center"/>
          </w:tcPr>
          <w:p w14:paraId="74A66DB2">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0.00004L</w:t>
            </w:r>
          </w:p>
        </w:tc>
        <w:tc>
          <w:tcPr>
            <w:tcW w:w="1869" w:type="dxa"/>
            <w:tcBorders>
              <w:tl2br w:val="nil"/>
              <w:tr2bl w:val="nil"/>
            </w:tcBorders>
            <w:shd w:val="clear" w:color="auto" w:fill="auto"/>
            <w:vAlign w:val="center"/>
          </w:tcPr>
          <w:p w14:paraId="550A153F">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0.00004L</w:t>
            </w:r>
          </w:p>
        </w:tc>
      </w:tr>
      <w:tr w14:paraId="329440A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1F063EEA">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4"/>
                <w:sz w:val="21"/>
                <w:szCs w:val="21"/>
                <w:highlight w:val="none"/>
              </w:rPr>
              <w:t>铬（六价）</w:t>
            </w:r>
          </w:p>
        </w:tc>
        <w:tc>
          <w:tcPr>
            <w:tcW w:w="1452" w:type="dxa"/>
            <w:tcBorders>
              <w:tl2br w:val="nil"/>
              <w:tr2bl w:val="nil"/>
            </w:tcBorders>
            <w:shd w:val="clear" w:color="auto" w:fill="auto"/>
            <w:vAlign w:val="center"/>
          </w:tcPr>
          <w:p w14:paraId="552DA842">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2F6A31DA">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0.004L</w:t>
            </w:r>
          </w:p>
        </w:tc>
        <w:tc>
          <w:tcPr>
            <w:tcW w:w="1868" w:type="dxa"/>
            <w:tcBorders>
              <w:tl2br w:val="nil"/>
              <w:tr2bl w:val="nil"/>
            </w:tcBorders>
            <w:shd w:val="clear" w:color="auto" w:fill="auto"/>
            <w:vAlign w:val="center"/>
          </w:tcPr>
          <w:p w14:paraId="7A26DE95">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0.004L</w:t>
            </w:r>
          </w:p>
        </w:tc>
        <w:tc>
          <w:tcPr>
            <w:tcW w:w="1869" w:type="dxa"/>
            <w:tcBorders>
              <w:tl2br w:val="nil"/>
              <w:tr2bl w:val="nil"/>
            </w:tcBorders>
            <w:shd w:val="clear" w:color="auto" w:fill="auto"/>
            <w:vAlign w:val="center"/>
          </w:tcPr>
          <w:p w14:paraId="6C810A72">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0.004L</w:t>
            </w:r>
          </w:p>
        </w:tc>
      </w:tr>
      <w:tr w14:paraId="3E347C1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1129ED9C">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3"/>
                <w:sz w:val="21"/>
                <w:szCs w:val="21"/>
                <w:highlight w:val="none"/>
              </w:rPr>
              <w:t>总硬度</w:t>
            </w:r>
          </w:p>
        </w:tc>
        <w:tc>
          <w:tcPr>
            <w:tcW w:w="1452" w:type="dxa"/>
            <w:tcBorders>
              <w:tl2br w:val="nil"/>
              <w:tr2bl w:val="nil"/>
            </w:tcBorders>
            <w:shd w:val="clear" w:color="auto" w:fill="auto"/>
            <w:vAlign w:val="center"/>
          </w:tcPr>
          <w:p w14:paraId="6449A5E9">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24EF7D0D">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156</w:t>
            </w:r>
          </w:p>
        </w:tc>
        <w:tc>
          <w:tcPr>
            <w:tcW w:w="1868" w:type="dxa"/>
            <w:tcBorders>
              <w:tl2br w:val="nil"/>
              <w:tr2bl w:val="nil"/>
            </w:tcBorders>
            <w:shd w:val="clear" w:color="auto" w:fill="auto"/>
            <w:vAlign w:val="center"/>
          </w:tcPr>
          <w:p w14:paraId="0A14D6C1">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166</w:t>
            </w:r>
          </w:p>
        </w:tc>
        <w:tc>
          <w:tcPr>
            <w:tcW w:w="1869" w:type="dxa"/>
            <w:tcBorders>
              <w:tl2br w:val="nil"/>
              <w:tr2bl w:val="nil"/>
            </w:tcBorders>
            <w:shd w:val="clear" w:color="auto" w:fill="auto"/>
            <w:vAlign w:val="center"/>
          </w:tcPr>
          <w:p w14:paraId="4D1046F3">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150</w:t>
            </w:r>
          </w:p>
        </w:tc>
      </w:tr>
      <w:tr w14:paraId="7D87B17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58CC2173">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z w:val="21"/>
                <w:szCs w:val="21"/>
                <w:highlight w:val="none"/>
              </w:rPr>
              <w:t>氟</w:t>
            </w:r>
          </w:p>
        </w:tc>
        <w:tc>
          <w:tcPr>
            <w:tcW w:w="1452" w:type="dxa"/>
            <w:tcBorders>
              <w:tl2br w:val="nil"/>
              <w:tr2bl w:val="nil"/>
            </w:tcBorders>
            <w:shd w:val="clear" w:color="auto" w:fill="auto"/>
            <w:vAlign w:val="center"/>
          </w:tcPr>
          <w:p w14:paraId="39DC8B53">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652F691C">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0.48</w:t>
            </w:r>
          </w:p>
        </w:tc>
        <w:tc>
          <w:tcPr>
            <w:tcW w:w="1868" w:type="dxa"/>
            <w:tcBorders>
              <w:tl2br w:val="nil"/>
              <w:tr2bl w:val="nil"/>
            </w:tcBorders>
            <w:shd w:val="clear" w:color="auto" w:fill="auto"/>
            <w:vAlign w:val="center"/>
          </w:tcPr>
          <w:p w14:paraId="0B49A762">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0.52</w:t>
            </w:r>
          </w:p>
        </w:tc>
        <w:tc>
          <w:tcPr>
            <w:tcW w:w="1869" w:type="dxa"/>
            <w:tcBorders>
              <w:tl2br w:val="nil"/>
              <w:tr2bl w:val="nil"/>
            </w:tcBorders>
            <w:shd w:val="clear" w:color="auto" w:fill="auto"/>
            <w:vAlign w:val="center"/>
          </w:tcPr>
          <w:p w14:paraId="218B36F1">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0.24</w:t>
            </w:r>
          </w:p>
        </w:tc>
      </w:tr>
      <w:tr w14:paraId="5AC5099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0B3BBF03">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z w:val="21"/>
                <w:szCs w:val="21"/>
                <w:highlight w:val="none"/>
              </w:rPr>
              <w:t>镉</w:t>
            </w:r>
          </w:p>
        </w:tc>
        <w:tc>
          <w:tcPr>
            <w:tcW w:w="1452" w:type="dxa"/>
            <w:tcBorders>
              <w:tl2br w:val="nil"/>
              <w:tr2bl w:val="nil"/>
            </w:tcBorders>
            <w:shd w:val="clear" w:color="auto" w:fill="auto"/>
            <w:vAlign w:val="center"/>
          </w:tcPr>
          <w:p w14:paraId="0323EE34">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4A9627AD">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pacing w:val="-1"/>
                <w:sz w:val="21"/>
                <w:szCs w:val="21"/>
                <w:highlight w:val="none"/>
                <w:lang w:val="en-US" w:eastAsia="zh-CN"/>
              </w:rPr>
              <w:t>0.001L</w:t>
            </w:r>
          </w:p>
        </w:tc>
        <w:tc>
          <w:tcPr>
            <w:tcW w:w="1868" w:type="dxa"/>
            <w:tcBorders>
              <w:tl2br w:val="nil"/>
              <w:tr2bl w:val="nil"/>
            </w:tcBorders>
            <w:shd w:val="clear" w:color="auto" w:fill="auto"/>
            <w:vAlign w:val="center"/>
          </w:tcPr>
          <w:p w14:paraId="5EC8ED55">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pacing w:val="-1"/>
                <w:sz w:val="21"/>
                <w:szCs w:val="21"/>
                <w:highlight w:val="none"/>
                <w:lang w:val="en-US" w:eastAsia="zh-CN"/>
              </w:rPr>
              <w:t>0.001L</w:t>
            </w:r>
          </w:p>
        </w:tc>
        <w:tc>
          <w:tcPr>
            <w:tcW w:w="1869" w:type="dxa"/>
            <w:tcBorders>
              <w:tl2br w:val="nil"/>
              <w:tr2bl w:val="nil"/>
            </w:tcBorders>
            <w:shd w:val="clear" w:color="auto" w:fill="auto"/>
            <w:vAlign w:val="center"/>
          </w:tcPr>
          <w:p w14:paraId="0CA49C3A">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pacing w:val="-1"/>
                <w:sz w:val="21"/>
                <w:szCs w:val="21"/>
                <w:highlight w:val="none"/>
                <w:lang w:val="en-US" w:eastAsia="zh-CN"/>
              </w:rPr>
              <w:t>0.001L</w:t>
            </w:r>
          </w:p>
        </w:tc>
      </w:tr>
      <w:tr w14:paraId="2AD97F0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6352E2DD">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z w:val="21"/>
                <w:szCs w:val="21"/>
                <w:highlight w:val="none"/>
              </w:rPr>
              <w:t>铅</w:t>
            </w:r>
          </w:p>
        </w:tc>
        <w:tc>
          <w:tcPr>
            <w:tcW w:w="1452" w:type="dxa"/>
            <w:tcBorders>
              <w:tl2br w:val="nil"/>
              <w:tr2bl w:val="nil"/>
            </w:tcBorders>
            <w:shd w:val="clear" w:color="auto" w:fill="auto"/>
            <w:vAlign w:val="center"/>
          </w:tcPr>
          <w:p w14:paraId="3B7DFA8A">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31567DC1">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0.0025L</w:t>
            </w:r>
          </w:p>
        </w:tc>
        <w:tc>
          <w:tcPr>
            <w:tcW w:w="1868" w:type="dxa"/>
            <w:tcBorders>
              <w:tl2br w:val="nil"/>
              <w:tr2bl w:val="nil"/>
            </w:tcBorders>
            <w:shd w:val="clear" w:color="auto" w:fill="auto"/>
            <w:vAlign w:val="center"/>
          </w:tcPr>
          <w:p w14:paraId="05AB9BCB">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0.0025L</w:t>
            </w:r>
          </w:p>
        </w:tc>
        <w:tc>
          <w:tcPr>
            <w:tcW w:w="1869" w:type="dxa"/>
            <w:tcBorders>
              <w:tl2br w:val="nil"/>
              <w:tr2bl w:val="nil"/>
            </w:tcBorders>
            <w:shd w:val="clear" w:color="auto" w:fill="auto"/>
            <w:vAlign w:val="center"/>
          </w:tcPr>
          <w:p w14:paraId="24A61C3B">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0.0025L</w:t>
            </w:r>
          </w:p>
        </w:tc>
      </w:tr>
      <w:tr w14:paraId="19CD976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4076E903">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z w:val="21"/>
                <w:szCs w:val="21"/>
                <w:highlight w:val="none"/>
              </w:rPr>
              <w:t>铁</w:t>
            </w:r>
          </w:p>
        </w:tc>
        <w:tc>
          <w:tcPr>
            <w:tcW w:w="1452" w:type="dxa"/>
            <w:tcBorders>
              <w:tl2br w:val="nil"/>
              <w:tr2bl w:val="nil"/>
            </w:tcBorders>
            <w:shd w:val="clear" w:color="auto" w:fill="auto"/>
            <w:vAlign w:val="center"/>
          </w:tcPr>
          <w:p w14:paraId="19F77E3D">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4590EB9F">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0.03L</w:t>
            </w:r>
          </w:p>
        </w:tc>
        <w:tc>
          <w:tcPr>
            <w:tcW w:w="1868" w:type="dxa"/>
            <w:tcBorders>
              <w:tl2br w:val="nil"/>
              <w:tr2bl w:val="nil"/>
            </w:tcBorders>
            <w:shd w:val="clear" w:color="auto" w:fill="auto"/>
            <w:vAlign w:val="center"/>
          </w:tcPr>
          <w:p w14:paraId="6D2D1BA1">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0.03L</w:t>
            </w:r>
          </w:p>
        </w:tc>
        <w:tc>
          <w:tcPr>
            <w:tcW w:w="1869" w:type="dxa"/>
            <w:tcBorders>
              <w:tl2br w:val="nil"/>
              <w:tr2bl w:val="nil"/>
            </w:tcBorders>
            <w:shd w:val="clear" w:color="auto" w:fill="auto"/>
            <w:vAlign w:val="center"/>
          </w:tcPr>
          <w:p w14:paraId="48DBBDE1">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0.03L</w:t>
            </w:r>
          </w:p>
        </w:tc>
      </w:tr>
      <w:tr w14:paraId="32D70FA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76B02391">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z w:val="21"/>
                <w:szCs w:val="21"/>
                <w:highlight w:val="none"/>
              </w:rPr>
              <w:t>锰</w:t>
            </w:r>
          </w:p>
        </w:tc>
        <w:tc>
          <w:tcPr>
            <w:tcW w:w="1452" w:type="dxa"/>
            <w:tcBorders>
              <w:tl2br w:val="nil"/>
              <w:tr2bl w:val="nil"/>
            </w:tcBorders>
            <w:shd w:val="clear" w:color="auto" w:fill="auto"/>
            <w:vAlign w:val="center"/>
          </w:tcPr>
          <w:p w14:paraId="72049BD6">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21F48B82">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1.34</w:t>
            </w:r>
          </w:p>
        </w:tc>
        <w:tc>
          <w:tcPr>
            <w:tcW w:w="1868" w:type="dxa"/>
            <w:tcBorders>
              <w:tl2br w:val="nil"/>
              <w:tr2bl w:val="nil"/>
            </w:tcBorders>
            <w:shd w:val="clear" w:color="auto" w:fill="auto"/>
            <w:vAlign w:val="center"/>
          </w:tcPr>
          <w:p w14:paraId="64C22489">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1.00</w:t>
            </w:r>
          </w:p>
        </w:tc>
        <w:tc>
          <w:tcPr>
            <w:tcW w:w="1869" w:type="dxa"/>
            <w:tcBorders>
              <w:tl2br w:val="nil"/>
              <w:tr2bl w:val="nil"/>
            </w:tcBorders>
            <w:shd w:val="clear" w:color="auto" w:fill="auto"/>
            <w:vAlign w:val="center"/>
          </w:tcPr>
          <w:p w14:paraId="40FEA2F0">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0.77</w:t>
            </w:r>
          </w:p>
        </w:tc>
      </w:tr>
      <w:tr w14:paraId="428D642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64894429">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3"/>
                <w:sz w:val="21"/>
                <w:szCs w:val="21"/>
                <w:highlight w:val="none"/>
              </w:rPr>
              <w:t>溶解性总</w:t>
            </w:r>
            <w:r>
              <w:rPr>
                <w:rFonts w:hint="default" w:ascii="Times New Roman" w:hAnsi="Times New Roman" w:cs="Times New Roman"/>
                <w:color w:val="auto"/>
                <w:spacing w:val="-8"/>
                <w:sz w:val="21"/>
                <w:szCs w:val="21"/>
                <w:highlight w:val="none"/>
              </w:rPr>
              <w:t>固体</w:t>
            </w:r>
          </w:p>
        </w:tc>
        <w:tc>
          <w:tcPr>
            <w:tcW w:w="1452" w:type="dxa"/>
            <w:tcBorders>
              <w:tl2br w:val="nil"/>
              <w:tr2bl w:val="nil"/>
            </w:tcBorders>
            <w:shd w:val="clear" w:color="auto" w:fill="auto"/>
            <w:vAlign w:val="center"/>
          </w:tcPr>
          <w:p w14:paraId="65C31815">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326575CA">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410</w:t>
            </w:r>
          </w:p>
        </w:tc>
        <w:tc>
          <w:tcPr>
            <w:tcW w:w="1868" w:type="dxa"/>
            <w:tcBorders>
              <w:tl2br w:val="nil"/>
              <w:tr2bl w:val="nil"/>
            </w:tcBorders>
            <w:shd w:val="clear" w:color="auto" w:fill="auto"/>
            <w:vAlign w:val="center"/>
          </w:tcPr>
          <w:p w14:paraId="5DDE3280">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424</w:t>
            </w:r>
          </w:p>
        </w:tc>
        <w:tc>
          <w:tcPr>
            <w:tcW w:w="1869" w:type="dxa"/>
            <w:tcBorders>
              <w:tl2br w:val="nil"/>
              <w:tr2bl w:val="nil"/>
            </w:tcBorders>
            <w:shd w:val="clear" w:color="auto" w:fill="auto"/>
            <w:vAlign w:val="center"/>
          </w:tcPr>
          <w:p w14:paraId="48560E26">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381</w:t>
            </w:r>
          </w:p>
        </w:tc>
      </w:tr>
      <w:tr w14:paraId="5D2D103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51B28BAB">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cs="Times New Roman"/>
                <w:color w:val="auto"/>
                <w:spacing w:val="-4"/>
                <w:sz w:val="21"/>
                <w:szCs w:val="21"/>
                <w:highlight w:val="none"/>
                <w:lang w:val="en-US" w:eastAsia="zh-CN"/>
              </w:rPr>
              <w:t>高锰酸盐指数</w:t>
            </w:r>
          </w:p>
        </w:tc>
        <w:tc>
          <w:tcPr>
            <w:tcW w:w="1452" w:type="dxa"/>
            <w:tcBorders>
              <w:tl2br w:val="nil"/>
              <w:tr2bl w:val="nil"/>
            </w:tcBorders>
            <w:shd w:val="clear" w:color="auto" w:fill="auto"/>
            <w:vAlign w:val="center"/>
          </w:tcPr>
          <w:p w14:paraId="7EAB5063">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2F78D3E1">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2.0</w:t>
            </w:r>
          </w:p>
        </w:tc>
        <w:tc>
          <w:tcPr>
            <w:tcW w:w="1868" w:type="dxa"/>
            <w:tcBorders>
              <w:tl2br w:val="nil"/>
              <w:tr2bl w:val="nil"/>
            </w:tcBorders>
            <w:shd w:val="clear" w:color="auto" w:fill="auto"/>
            <w:vAlign w:val="center"/>
          </w:tcPr>
          <w:p w14:paraId="50689647">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2.2</w:t>
            </w:r>
          </w:p>
        </w:tc>
        <w:tc>
          <w:tcPr>
            <w:tcW w:w="1869" w:type="dxa"/>
            <w:tcBorders>
              <w:tl2br w:val="nil"/>
              <w:tr2bl w:val="nil"/>
            </w:tcBorders>
            <w:shd w:val="clear" w:color="auto" w:fill="auto"/>
            <w:vAlign w:val="center"/>
          </w:tcPr>
          <w:p w14:paraId="5DFED09D">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2.4</w:t>
            </w:r>
          </w:p>
        </w:tc>
      </w:tr>
      <w:tr w14:paraId="7615BE3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34DB0367">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2"/>
                <w:sz w:val="21"/>
                <w:szCs w:val="21"/>
                <w:highlight w:val="none"/>
              </w:rPr>
              <w:t>硫酸盐</w:t>
            </w:r>
          </w:p>
        </w:tc>
        <w:tc>
          <w:tcPr>
            <w:tcW w:w="1452" w:type="dxa"/>
            <w:tcBorders>
              <w:tl2br w:val="nil"/>
              <w:tr2bl w:val="nil"/>
            </w:tcBorders>
            <w:shd w:val="clear" w:color="auto" w:fill="auto"/>
            <w:vAlign w:val="center"/>
          </w:tcPr>
          <w:p w14:paraId="5504A7BA">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78230EA4">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18</w:t>
            </w:r>
          </w:p>
        </w:tc>
        <w:tc>
          <w:tcPr>
            <w:tcW w:w="1868" w:type="dxa"/>
            <w:tcBorders>
              <w:tl2br w:val="nil"/>
              <w:tr2bl w:val="nil"/>
            </w:tcBorders>
            <w:shd w:val="clear" w:color="auto" w:fill="auto"/>
            <w:vAlign w:val="center"/>
          </w:tcPr>
          <w:p w14:paraId="1D2D1E22">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17</w:t>
            </w:r>
          </w:p>
        </w:tc>
        <w:tc>
          <w:tcPr>
            <w:tcW w:w="1869" w:type="dxa"/>
            <w:tcBorders>
              <w:tl2br w:val="nil"/>
              <w:tr2bl w:val="nil"/>
            </w:tcBorders>
            <w:shd w:val="clear" w:color="auto" w:fill="auto"/>
            <w:vAlign w:val="center"/>
          </w:tcPr>
          <w:p w14:paraId="15B3B3CE">
            <w:pPr>
              <w:keepNext w:val="0"/>
              <w:keepLines w:val="0"/>
              <w:pageBreakBefore w:val="0"/>
              <w:widowControl/>
              <w:kinsoku/>
              <w:wordWrap w:val="0"/>
              <w:overflowPunct/>
              <w:topLinePunct/>
              <w:autoSpaceDE/>
              <w:autoSpaceDN/>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snapToGrid w:val="0"/>
                <w:color w:val="auto"/>
                <w:kern w:val="0"/>
                <w:sz w:val="21"/>
                <w:szCs w:val="21"/>
                <w:highlight w:val="none"/>
                <w:lang w:val="en-US" w:eastAsia="zh-CN" w:bidi="ar-SA"/>
              </w:rPr>
              <w:t>12</w:t>
            </w:r>
          </w:p>
        </w:tc>
      </w:tr>
      <w:tr w14:paraId="0A4CA8B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70F8F7C5">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3"/>
                <w:sz w:val="21"/>
                <w:szCs w:val="21"/>
                <w:highlight w:val="none"/>
              </w:rPr>
              <w:t>氯化物</w:t>
            </w:r>
          </w:p>
        </w:tc>
        <w:tc>
          <w:tcPr>
            <w:tcW w:w="1452" w:type="dxa"/>
            <w:tcBorders>
              <w:tl2br w:val="nil"/>
              <w:tr2bl w:val="nil"/>
            </w:tcBorders>
            <w:shd w:val="clear" w:color="auto" w:fill="auto"/>
            <w:vAlign w:val="center"/>
          </w:tcPr>
          <w:p w14:paraId="7F306399">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mg/L</w:t>
            </w:r>
          </w:p>
        </w:tc>
        <w:tc>
          <w:tcPr>
            <w:tcW w:w="1695" w:type="dxa"/>
            <w:tcBorders>
              <w:tl2br w:val="nil"/>
              <w:tr2bl w:val="nil"/>
            </w:tcBorders>
            <w:shd w:val="clear" w:color="auto" w:fill="auto"/>
            <w:vAlign w:val="center"/>
          </w:tcPr>
          <w:p w14:paraId="457AC63F">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30.6</w:t>
            </w:r>
          </w:p>
        </w:tc>
        <w:tc>
          <w:tcPr>
            <w:tcW w:w="1868" w:type="dxa"/>
            <w:tcBorders>
              <w:tl2br w:val="nil"/>
              <w:tr2bl w:val="nil"/>
            </w:tcBorders>
            <w:shd w:val="clear" w:color="auto" w:fill="auto"/>
            <w:vAlign w:val="center"/>
          </w:tcPr>
          <w:p w14:paraId="09D7B4A5">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35.2</w:t>
            </w:r>
          </w:p>
        </w:tc>
        <w:tc>
          <w:tcPr>
            <w:tcW w:w="1869" w:type="dxa"/>
            <w:tcBorders>
              <w:tl2br w:val="nil"/>
              <w:tr2bl w:val="nil"/>
            </w:tcBorders>
            <w:shd w:val="clear" w:color="auto" w:fill="auto"/>
            <w:vAlign w:val="center"/>
          </w:tcPr>
          <w:p w14:paraId="73C1B127">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28.6</w:t>
            </w:r>
          </w:p>
        </w:tc>
      </w:tr>
      <w:tr w14:paraId="1BDC4CE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2F606E4E">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3"/>
                <w:sz w:val="21"/>
                <w:szCs w:val="21"/>
                <w:highlight w:val="none"/>
              </w:rPr>
              <w:t>总大肠菌</w:t>
            </w:r>
          </w:p>
          <w:p w14:paraId="701511FD">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z w:val="21"/>
                <w:szCs w:val="21"/>
                <w:highlight w:val="none"/>
              </w:rPr>
              <w:t>群</w:t>
            </w:r>
          </w:p>
        </w:tc>
        <w:tc>
          <w:tcPr>
            <w:tcW w:w="1452" w:type="dxa"/>
            <w:tcBorders>
              <w:tl2br w:val="nil"/>
              <w:tr2bl w:val="nil"/>
            </w:tcBorders>
            <w:shd w:val="clear" w:color="auto" w:fill="auto"/>
            <w:vAlign w:val="center"/>
          </w:tcPr>
          <w:p w14:paraId="4638B0BA">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1"/>
                <w:sz w:val="21"/>
                <w:szCs w:val="21"/>
                <w:highlight w:val="none"/>
              </w:rPr>
              <w:t>MPN/100mL</w:t>
            </w:r>
          </w:p>
        </w:tc>
        <w:tc>
          <w:tcPr>
            <w:tcW w:w="1695" w:type="dxa"/>
            <w:tcBorders>
              <w:tl2br w:val="nil"/>
              <w:tr2bl w:val="nil"/>
            </w:tcBorders>
            <w:shd w:val="clear" w:color="auto" w:fill="auto"/>
            <w:vAlign w:val="center"/>
          </w:tcPr>
          <w:p w14:paraId="4AD6A861">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2"/>
                <w:sz w:val="21"/>
                <w:szCs w:val="21"/>
                <w:highlight w:val="none"/>
              </w:rPr>
              <w:t>&lt;2</w:t>
            </w:r>
          </w:p>
        </w:tc>
        <w:tc>
          <w:tcPr>
            <w:tcW w:w="1868" w:type="dxa"/>
            <w:tcBorders>
              <w:tl2br w:val="nil"/>
              <w:tr2bl w:val="nil"/>
            </w:tcBorders>
            <w:shd w:val="clear" w:color="auto" w:fill="auto"/>
            <w:vAlign w:val="center"/>
          </w:tcPr>
          <w:p w14:paraId="0BC08167">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2"/>
                <w:sz w:val="21"/>
                <w:szCs w:val="21"/>
                <w:highlight w:val="none"/>
              </w:rPr>
              <w:t>&lt;2</w:t>
            </w:r>
          </w:p>
        </w:tc>
        <w:tc>
          <w:tcPr>
            <w:tcW w:w="1869" w:type="dxa"/>
            <w:tcBorders>
              <w:tl2br w:val="nil"/>
              <w:tr2bl w:val="nil"/>
            </w:tcBorders>
            <w:shd w:val="clear" w:color="auto" w:fill="auto"/>
            <w:vAlign w:val="center"/>
          </w:tcPr>
          <w:p w14:paraId="7195E813">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2"/>
                <w:sz w:val="21"/>
                <w:szCs w:val="21"/>
                <w:highlight w:val="none"/>
              </w:rPr>
              <w:t>&lt;2</w:t>
            </w:r>
          </w:p>
        </w:tc>
      </w:tr>
      <w:tr w14:paraId="76D264B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7C1F6ACE">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cs="Times New Roman"/>
                <w:color w:val="auto"/>
                <w:spacing w:val="-3"/>
                <w:sz w:val="21"/>
                <w:szCs w:val="21"/>
                <w:highlight w:val="none"/>
              </w:rPr>
              <w:t>菌落总数</w:t>
            </w:r>
          </w:p>
        </w:tc>
        <w:tc>
          <w:tcPr>
            <w:tcW w:w="1452" w:type="dxa"/>
            <w:tcBorders>
              <w:tl2br w:val="nil"/>
              <w:tr2bl w:val="nil"/>
            </w:tcBorders>
            <w:shd w:val="clear" w:color="auto" w:fill="auto"/>
            <w:vAlign w:val="center"/>
          </w:tcPr>
          <w:p w14:paraId="1C0110F5">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Times New Roman" w:cs="Times New Roman"/>
                <w:snapToGrid w:val="0"/>
                <w:color w:val="auto"/>
                <w:kern w:val="0"/>
                <w:sz w:val="21"/>
                <w:szCs w:val="21"/>
                <w:highlight w:val="none"/>
                <w:lang w:val="en-US" w:eastAsia="en-US" w:bidi="ar-SA"/>
              </w:rPr>
            </w:pPr>
            <w:r>
              <w:rPr>
                <w:rFonts w:hint="default" w:ascii="Times New Roman" w:hAnsi="Times New Roman" w:eastAsia="Times New Roman" w:cs="Times New Roman"/>
                <w:color w:val="auto"/>
                <w:spacing w:val="-2"/>
                <w:sz w:val="21"/>
                <w:szCs w:val="21"/>
                <w:highlight w:val="none"/>
              </w:rPr>
              <w:t>CFU/mL</w:t>
            </w:r>
          </w:p>
        </w:tc>
        <w:tc>
          <w:tcPr>
            <w:tcW w:w="1695" w:type="dxa"/>
            <w:tcBorders>
              <w:tl2br w:val="nil"/>
              <w:tr2bl w:val="nil"/>
            </w:tcBorders>
            <w:shd w:val="clear" w:color="auto" w:fill="auto"/>
            <w:vAlign w:val="center"/>
          </w:tcPr>
          <w:p w14:paraId="3AE92B63">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18</w:t>
            </w:r>
          </w:p>
        </w:tc>
        <w:tc>
          <w:tcPr>
            <w:tcW w:w="1868" w:type="dxa"/>
            <w:tcBorders>
              <w:tl2br w:val="nil"/>
              <w:tr2bl w:val="nil"/>
            </w:tcBorders>
            <w:shd w:val="clear" w:color="auto" w:fill="auto"/>
            <w:vAlign w:val="center"/>
          </w:tcPr>
          <w:p w14:paraId="5AF08EC2">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21</w:t>
            </w:r>
          </w:p>
        </w:tc>
        <w:tc>
          <w:tcPr>
            <w:tcW w:w="1869" w:type="dxa"/>
            <w:tcBorders>
              <w:tl2br w:val="nil"/>
              <w:tr2bl w:val="nil"/>
            </w:tcBorders>
            <w:shd w:val="clear" w:color="auto" w:fill="auto"/>
            <w:vAlign w:val="center"/>
          </w:tcPr>
          <w:p w14:paraId="267063A6">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17</w:t>
            </w:r>
          </w:p>
        </w:tc>
      </w:tr>
      <w:tr w14:paraId="180F616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479" w:type="dxa"/>
            <w:tcBorders>
              <w:tl2br w:val="nil"/>
              <w:tr2bl w:val="nil"/>
            </w:tcBorders>
            <w:shd w:val="clear" w:color="auto" w:fill="auto"/>
            <w:vAlign w:val="center"/>
          </w:tcPr>
          <w:p w14:paraId="4510D36C">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color w:val="auto"/>
                <w:spacing w:val="-3"/>
                <w:sz w:val="21"/>
                <w:szCs w:val="21"/>
                <w:highlight w:val="none"/>
                <w:lang w:val="en-US" w:eastAsia="zh-CN"/>
              </w:rPr>
            </w:pPr>
            <w:r>
              <w:rPr>
                <w:rFonts w:hint="default" w:ascii="Times New Roman" w:hAnsi="Times New Roman" w:cs="Times New Roman"/>
                <w:color w:val="auto"/>
                <w:spacing w:val="-3"/>
                <w:sz w:val="21"/>
                <w:szCs w:val="21"/>
                <w:highlight w:val="none"/>
                <w:lang w:val="en-US" w:eastAsia="zh-CN"/>
              </w:rPr>
              <w:t>水位</w:t>
            </w:r>
          </w:p>
        </w:tc>
        <w:tc>
          <w:tcPr>
            <w:tcW w:w="1452" w:type="dxa"/>
            <w:tcBorders>
              <w:tl2br w:val="nil"/>
              <w:tr2bl w:val="nil"/>
            </w:tcBorders>
            <w:shd w:val="clear" w:color="auto" w:fill="auto"/>
            <w:vAlign w:val="center"/>
          </w:tcPr>
          <w:p w14:paraId="4E7A9F0C">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color w:val="auto"/>
                <w:spacing w:val="-2"/>
                <w:sz w:val="21"/>
                <w:szCs w:val="21"/>
                <w:highlight w:val="none"/>
                <w:lang w:val="en-US" w:eastAsia="zh-CN"/>
              </w:rPr>
            </w:pPr>
            <w:r>
              <w:rPr>
                <w:rFonts w:hint="default" w:ascii="Times New Roman" w:hAnsi="Times New Roman" w:eastAsia="宋体" w:cs="Times New Roman"/>
                <w:color w:val="auto"/>
                <w:spacing w:val="-2"/>
                <w:sz w:val="21"/>
                <w:szCs w:val="21"/>
                <w:highlight w:val="none"/>
                <w:lang w:val="en-US" w:eastAsia="zh-CN"/>
              </w:rPr>
              <w:t>m</w:t>
            </w:r>
          </w:p>
        </w:tc>
        <w:tc>
          <w:tcPr>
            <w:tcW w:w="1695" w:type="dxa"/>
            <w:tcBorders>
              <w:tl2br w:val="nil"/>
              <w:tr2bl w:val="nil"/>
            </w:tcBorders>
            <w:shd w:val="clear" w:color="auto" w:fill="auto"/>
            <w:vAlign w:val="center"/>
          </w:tcPr>
          <w:p w14:paraId="5A2AEDCB">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6.7</w:t>
            </w:r>
          </w:p>
        </w:tc>
        <w:tc>
          <w:tcPr>
            <w:tcW w:w="1868" w:type="dxa"/>
            <w:tcBorders>
              <w:tl2br w:val="nil"/>
              <w:tr2bl w:val="nil"/>
            </w:tcBorders>
            <w:shd w:val="clear" w:color="auto" w:fill="auto"/>
            <w:vAlign w:val="center"/>
          </w:tcPr>
          <w:p w14:paraId="434332AB">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7.5</w:t>
            </w:r>
          </w:p>
        </w:tc>
        <w:tc>
          <w:tcPr>
            <w:tcW w:w="1869" w:type="dxa"/>
            <w:tcBorders>
              <w:tl2br w:val="nil"/>
              <w:tr2bl w:val="nil"/>
            </w:tcBorders>
            <w:shd w:val="clear" w:color="auto" w:fill="auto"/>
            <w:vAlign w:val="center"/>
          </w:tcPr>
          <w:p w14:paraId="20C7DCCF">
            <w:pPr>
              <w:keepNext w:val="0"/>
              <w:keepLines w:val="0"/>
              <w:pageBreakBefore w:val="0"/>
              <w:widowControl/>
              <w:kinsoku/>
              <w:wordWrap w:val="0"/>
              <w:overflowPunct/>
              <w:topLinePunct/>
              <w:autoSpaceDE/>
              <w:autoSpaceDN/>
              <w:bidi w:val="0"/>
              <w:adjustRightInd w:val="0"/>
              <w:snapToGrid w:val="0"/>
              <w:spacing w:line="240" w:lineRule="auto"/>
              <w:ind w:left="0" w:leftChars="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3.5</w:t>
            </w:r>
          </w:p>
        </w:tc>
      </w:tr>
    </w:tbl>
    <w:p w14:paraId="2BE9B5D7">
      <w:pPr>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auto"/>
          <w:kern w:val="0"/>
          <w:sz w:val="24"/>
          <w:szCs w:val="24"/>
          <w:highlight w:val="none"/>
        </w:rPr>
        <w:t>（</w:t>
      </w:r>
      <w:r>
        <w:rPr>
          <w:rFonts w:hint="default" w:ascii="Times New Roman" w:hAnsi="Times New Roman" w:eastAsia="宋体" w:cs="Times New Roman"/>
          <w:snapToGrid w:val="0"/>
          <w:color w:val="auto"/>
          <w:kern w:val="0"/>
          <w:sz w:val="24"/>
          <w:szCs w:val="24"/>
          <w:highlight w:val="none"/>
          <w:lang w:val="en-US" w:eastAsia="zh-CN"/>
        </w:rPr>
        <w:t>4</w:t>
      </w:r>
      <w:r>
        <w:rPr>
          <w:rFonts w:hint="default" w:ascii="Times New Roman" w:hAnsi="Times New Roman" w:eastAsia="宋体" w:cs="Times New Roman"/>
          <w:snapToGrid w:val="0"/>
          <w:color w:val="auto"/>
          <w:kern w:val="0"/>
          <w:sz w:val="24"/>
          <w:szCs w:val="24"/>
          <w:highlight w:val="none"/>
        </w:rPr>
        <w:t>）评价结论</w:t>
      </w:r>
    </w:p>
    <w:p w14:paraId="02336746">
      <w:pPr>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snapToGrid w:val="0"/>
          <w:color w:val="auto"/>
          <w:kern w:val="0"/>
          <w:sz w:val="24"/>
          <w:szCs w:val="24"/>
          <w:highlight w:val="none"/>
        </w:rPr>
        <w:t>由以上地下水标准指数分析可知，</w:t>
      </w:r>
      <w:bookmarkStart w:id="152" w:name="_Hlk520411074"/>
      <w:r>
        <w:rPr>
          <w:rFonts w:hint="default" w:ascii="Times New Roman" w:hAnsi="Times New Roman" w:eastAsia="宋体" w:cs="Times New Roman"/>
          <w:color w:val="auto"/>
          <w:sz w:val="24"/>
          <w:szCs w:val="24"/>
          <w:highlight w:val="none"/>
        </w:rPr>
        <w:t>地下水各监测指标</w:t>
      </w:r>
      <w:r>
        <w:rPr>
          <w:rFonts w:hint="default" w:ascii="Times New Roman" w:hAnsi="Times New Roman" w:eastAsia="宋体" w:cs="Times New Roman"/>
          <w:color w:val="auto"/>
          <w:sz w:val="24"/>
          <w:szCs w:val="24"/>
          <w:highlight w:val="none"/>
          <w:lang w:val="en-US" w:eastAsia="zh-CN"/>
        </w:rPr>
        <w:t>除锰外</w:t>
      </w:r>
      <w:r>
        <w:rPr>
          <w:rFonts w:hint="default" w:ascii="Times New Roman" w:hAnsi="Times New Roman" w:eastAsia="宋体" w:cs="Times New Roman"/>
          <w:color w:val="auto"/>
          <w:sz w:val="24"/>
          <w:szCs w:val="24"/>
          <w:highlight w:val="none"/>
        </w:rPr>
        <w:t>均符合《地下水质量标准》（GB/T14848-2017）中</w:t>
      </w: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3 \* ROMAN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Ⅲ</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类标准</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eastAsia="宋体" w:cs="Times New Roman"/>
          <w:color w:val="auto"/>
          <w:sz w:val="24"/>
          <w:szCs w:val="24"/>
          <w:highlight w:val="none"/>
          <w:lang w:val="en-US" w:eastAsia="zh-CN"/>
        </w:rPr>
        <w:t>锰超标判断为地址原因。</w:t>
      </w:r>
    </w:p>
    <w:bookmarkEnd w:id="152"/>
    <w:p w14:paraId="39143829">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4.3.3.3地下水化学类型评价</w:t>
      </w:r>
    </w:p>
    <w:p w14:paraId="57BB3FA8">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（1）地下水化学类型评价方法</w:t>
      </w:r>
    </w:p>
    <w:p w14:paraId="5363C6CC">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地下水化学类型的舒卡列夫分类是根据地下水中8种主要离子（Na+、Ca2+、Mg2+、HCO3-、SO42-、Cl-，K</w:t>
      </w:r>
      <w:r>
        <w:rPr>
          <w:rFonts w:hint="default" w:ascii="Times New Roman" w:hAnsi="Times New Roman" w:cs="Times New Roman"/>
          <w:color w:val="auto"/>
          <w:sz w:val="24"/>
          <w:szCs w:val="24"/>
          <w:highlight w:val="none"/>
          <w:vertAlign w:val="superscript"/>
        </w:rPr>
        <w:t>+</w:t>
      </w:r>
      <w:r>
        <w:rPr>
          <w:rFonts w:hint="default" w:ascii="Times New Roman" w:hAnsi="Times New Roman" w:cs="Times New Roman"/>
          <w:color w:val="auto"/>
          <w:sz w:val="24"/>
          <w:szCs w:val="24"/>
          <w:highlight w:val="none"/>
        </w:rPr>
        <w:t>+Na</w:t>
      </w:r>
      <w:r>
        <w:rPr>
          <w:rFonts w:hint="default" w:ascii="Times New Roman" w:hAnsi="Times New Roman" w:cs="Times New Roman"/>
          <w:color w:val="auto"/>
          <w:sz w:val="24"/>
          <w:szCs w:val="24"/>
          <w:highlight w:val="none"/>
          <w:vertAlign w:val="superscript"/>
        </w:rPr>
        <w:t>+</w:t>
      </w:r>
      <w:r>
        <w:rPr>
          <w:rFonts w:hint="default" w:ascii="Times New Roman" w:hAnsi="Times New Roman" w:cs="Times New Roman"/>
          <w:color w:val="auto"/>
          <w:sz w:val="24"/>
          <w:szCs w:val="24"/>
          <w:highlight w:val="none"/>
        </w:rPr>
        <w:t>）及矿化度划分的。具体步骤如下：</w:t>
      </w:r>
    </w:p>
    <w:p w14:paraId="3C810C29">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第一步，根据水质分析结果，将8种主要离子中含量大于25%毫克当量的阴离子和阳离子进行组合，可组合出49型水，并将每型用一个阿拉伯数字作为代号。</w:t>
      </w:r>
    </w:p>
    <w:p w14:paraId="3DBC4ED2">
      <w:pPr>
        <w:keepNext w:val="0"/>
        <w:keepLines w:val="0"/>
        <w:pageBreakBefore w:val="0"/>
        <w:widowControl/>
        <w:kinsoku/>
        <w:wordWrap w:val="0"/>
        <w:overflowPunct/>
        <w:topLinePunct/>
        <w:autoSpaceDE/>
        <w:autoSpaceDN/>
        <w:bidi w:val="0"/>
        <w:adjustRightInd w:val="0"/>
        <w:snapToGrid w:val="0"/>
        <w:spacing w:line="240" w:lineRule="auto"/>
        <w:ind w:firstLine="0" w:firstLineChars="0"/>
        <w:jc w:val="center"/>
        <w:textAlignment w:val="baseline"/>
        <w:rPr>
          <w:rFonts w:hint="default" w:ascii="Times New Roman" w:hAnsi="Times New Roman" w:eastAsia="宋体" w:cs="Times New Roman"/>
          <w:b/>
          <w:bCs/>
          <w:color w:val="auto"/>
          <w:kern w:val="0"/>
          <w:sz w:val="24"/>
          <w:szCs w:val="24"/>
          <w:highlight w:val="none"/>
        </w:rPr>
      </w:pPr>
      <w:r>
        <w:rPr>
          <w:rFonts w:hint="default" w:ascii="Times New Roman" w:hAnsi="Times New Roman" w:eastAsia="宋体" w:cs="Times New Roman"/>
          <w:b/>
          <w:bCs/>
          <w:color w:val="auto"/>
          <w:kern w:val="0"/>
          <w:sz w:val="24"/>
          <w:szCs w:val="24"/>
          <w:highlight w:val="none"/>
        </w:rPr>
        <w:t>表4</w:t>
      </w:r>
      <w:r>
        <w:rPr>
          <w:rFonts w:hint="default" w:ascii="Times New Roman" w:hAnsi="Times New Roman" w:eastAsia="宋体" w:cs="Times New Roman"/>
          <w:b/>
          <w:bCs/>
          <w:color w:val="auto"/>
          <w:kern w:val="0"/>
          <w:sz w:val="24"/>
          <w:szCs w:val="24"/>
          <w:highlight w:val="none"/>
          <w:lang w:val="en-US" w:eastAsia="zh-CN"/>
        </w:rPr>
        <w:t>.3-</w:t>
      </w:r>
      <w:r>
        <w:rPr>
          <w:rFonts w:hint="eastAsia" w:ascii="Times New Roman" w:hAnsi="Times New Roman" w:eastAsia="宋体" w:cs="Times New Roman"/>
          <w:b/>
          <w:bCs/>
          <w:color w:val="auto"/>
          <w:kern w:val="0"/>
          <w:sz w:val="24"/>
          <w:szCs w:val="24"/>
          <w:highlight w:val="none"/>
          <w:lang w:val="en-US" w:eastAsia="zh-CN"/>
        </w:rPr>
        <w:t>9</w:t>
      </w:r>
      <w:r>
        <w:rPr>
          <w:rFonts w:hint="default" w:ascii="Times New Roman" w:hAnsi="Times New Roman" w:eastAsia="宋体" w:cs="Times New Roman"/>
          <w:b/>
          <w:bCs/>
          <w:color w:val="auto"/>
          <w:kern w:val="0"/>
          <w:sz w:val="24"/>
          <w:szCs w:val="24"/>
          <w:highlight w:val="none"/>
        </w:rPr>
        <w:t>舒卡列夫分类图表</w:t>
      </w:r>
    </w:p>
    <w:tbl>
      <w:tblPr>
        <w:tblStyle w:val="26"/>
        <w:tblW w:w="8528"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05"/>
        <w:gridCol w:w="800"/>
        <w:gridCol w:w="1085"/>
        <w:gridCol w:w="1610"/>
        <w:gridCol w:w="1188"/>
        <w:gridCol w:w="930"/>
        <w:gridCol w:w="974"/>
        <w:gridCol w:w="636"/>
      </w:tblGrid>
      <w:tr w14:paraId="28AFC3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05" w:type="dxa"/>
            <w:shd w:val="clear" w:color="auto" w:fill="auto"/>
            <w:vAlign w:val="center"/>
          </w:tcPr>
          <w:p w14:paraId="7C28A487">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超过25％毫克当量的离子</w:t>
            </w:r>
          </w:p>
        </w:tc>
        <w:tc>
          <w:tcPr>
            <w:tcW w:w="800" w:type="dxa"/>
            <w:shd w:val="clear" w:color="auto" w:fill="auto"/>
            <w:vAlign w:val="center"/>
          </w:tcPr>
          <w:p w14:paraId="3E3CD1DE">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HCO</w:t>
            </w:r>
            <w:r>
              <w:rPr>
                <w:rFonts w:hint="default" w:ascii="Times New Roman" w:hAnsi="Times New Roman" w:eastAsia="宋体" w:cs="Times New Roman"/>
                <w:snapToGrid w:val="0"/>
                <w:color w:val="auto"/>
                <w:sz w:val="21"/>
                <w:szCs w:val="21"/>
                <w:highlight w:val="none"/>
                <w:vertAlign w:val="subscript"/>
              </w:rPr>
              <w:t>3</w:t>
            </w:r>
          </w:p>
        </w:tc>
        <w:tc>
          <w:tcPr>
            <w:tcW w:w="1085" w:type="dxa"/>
            <w:shd w:val="clear" w:color="auto" w:fill="auto"/>
            <w:vAlign w:val="center"/>
          </w:tcPr>
          <w:p w14:paraId="3E4C112F">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HCO</w:t>
            </w:r>
            <w:r>
              <w:rPr>
                <w:rFonts w:hint="default" w:ascii="Times New Roman" w:hAnsi="Times New Roman" w:eastAsia="宋体" w:cs="Times New Roman"/>
                <w:snapToGrid w:val="0"/>
                <w:color w:val="auto"/>
                <w:sz w:val="21"/>
                <w:szCs w:val="21"/>
                <w:highlight w:val="none"/>
                <w:vertAlign w:val="subscript"/>
              </w:rPr>
              <w:t>3</w:t>
            </w:r>
            <w:r>
              <w:rPr>
                <w:rFonts w:hint="default" w:ascii="Times New Roman" w:hAnsi="Times New Roman" w:eastAsia="宋体" w:cs="Times New Roman"/>
                <w:snapToGrid w:val="0"/>
                <w:color w:val="auto"/>
                <w:sz w:val="21"/>
                <w:szCs w:val="21"/>
                <w:highlight w:val="none"/>
              </w:rPr>
              <w:t>+SO</w:t>
            </w:r>
            <w:r>
              <w:rPr>
                <w:rFonts w:hint="default" w:ascii="Times New Roman" w:hAnsi="Times New Roman" w:eastAsia="宋体" w:cs="Times New Roman"/>
                <w:snapToGrid w:val="0"/>
                <w:color w:val="auto"/>
                <w:sz w:val="21"/>
                <w:szCs w:val="21"/>
                <w:highlight w:val="none"/>
                <w:vertAlign w:val="subscript"/>
              </w:rPr>
              <w:t>4</w:t>
            </w:r>
          </w:p>
        </w:tc>
        <w:tc>
          <w:tcPr>
            <w:tcW w:w="1610" w:type="dxa"/>
            <w:shd w:val="clear" w:color="auto" w:fill="auto"/>
            <w:vAlign w:val="center"/>
          </w:tcPr>
          <w:p w14:paraId="073C0242">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HCO</w:t>
            </w:r>
            <w:r>
              <w:rPr>
                <w:rFonts w:hint="default" w:ascii="Times New Roman" w:hAnsi="Times New Roman" w:eastAsia="宋体" w:cs="Times New Roman"/>
                <w:snapToGrid w:val="0"/>
                <w:color w:val="auto"/>
                <w:sz w:val="21"/>
                <w:szCs w:val="21"/>
                <w:highlight w:val="none"/>
                <w:vertAlign w:val="subscript"/>
              </w:rPr>
              <w:t>3</w:t>
            </w:r>
            <w:r>
              <w:rPr>
                <w:rFonts w:hint="default" w:ascii="Times New Roman" w:hAnsi="Times New Roman" w:eastAsia="宋体" w:cs="Times New Roman"/>
                <w:snapToGrid w:val="0"/>
                <w:color w:val="auto"/>
                <w:sz w:val="21"/>
                <w:szCs w:val="21"/>
                <w:highlight w:val="none"/>
              </w:rPr>
              <w:t>+SO</w:t>
            </w:r>
            <w:r>
              <w:rPr>
                <w:rFonts w:hint="default" w:ascii="Times New Roman" w:hAnsi="Times New Roman" w:eastAsia="宋体" w:cs="Times New Roman"/>
                <w:snapToGrid w:val="0"/>
                <w:color w:val="auto"/>
                <w:sz w:val="21"/>
                <w:szCs w:val="21"/>
                <w:highlight w:val="none"/>
                <w:vertAlign w:val="subscript"/>
              </w:rPr>
              <w:t>4</w:t>
            </w:r>
            <w:r>
              <w:rPr>
                <w:rFonts w:hint="default" w:ascii="Times New Roman" w:hAnsi="Times New Roman" w:eastAsia="宋体" w:cs="Times New Roman"/>
                <w:snapToGrid w:val="0"/>
                <w:color w:val="auto"/>
                <w:sz w:val="21"/>
                <w:szCs w:val="21"/>
                <w:highlight w:val="none"/>
              </w:rPr>
              <w:t>+Cl</w:t>
            </w:r>
          </w:p>
        </w:tc>
        <w:tc>
          <w:tcPr>
            <w:tcW w:w="1188" w:type="dxa"/>
            <w:shd w:val="clear" w:color="auto" w:fill="auto"/>
            <w:vAlign w:val="center"/>
          </w:tcPr>
          <w:p w14:paraId="242F4AB6">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HCO</w:t>
            </w:r>
            <w:r>
              <w:rPr>
                <w:rFonts w:hint="default" w:ascii="Times New Roman" w:hAnsi="Times New Roman" w:eastAsia="宋体" w:cs="Times New Roman"/>
                <w:snapToGrid w:val="0"/>
                <w:color w:val="auto"/>
                <w:sz w:val="21"/>
                <w:szCs w:val="21"/>
                <w:highlight w:val="none"/>
                <w:vertAlign w:val="subscript"/>
              </w:rPr>
              <w:t>3</w:t>
            </w:r>
            <w:r>
              <w:rPr>
                <w:rFonts w:hint="default" w:ascii="Times New Roman" w:hAnsi="Times New Roman" w:eastAsia="宋体" w:cs="Times New Roman"/>
                <w:snapToGrid w:val="0"/>
                <w:color w:val="auto"/>
                <w:sz w:val="21"/>
                <w:szCs w:val="21"/>
                <w:highlight w:val="none"/>
              </w:rPr>
              <w:t>+Cl</w:t>
            </w:r>
          </w:p>
        </w:tc>
        <w:tc>
          <w:tcPr>
            <w:tcW w:w="930" w:type="dxa"/>
            <w:shd w:val="clear" w:color="auto" w:fill="auto"/>
            <w:vAlign w:val="center"/>
          </w:tcPr>
          <w:p w14:paraId="4551EC74">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SO</w:t>
            </w:r>
            <w:r>
              <w:rPr>
                <w:rFonts w:hint="default" w:ascii="Times New Roman" w:hAnsi="Times New Roman" w:eastAsia="宋体" w:cs="Times New Roman"/>
                <w:snapToGrid w:val="0"/>
                <w:color w:val="auto"/>
                <w:sz w:val="21"/>
                <w:szCs w:val="21"/>
                <w:highlight w:val="none"/>
                <w:vertAlign w:val="subscript"/>
              </w:rPr>
              <w:t>4</w:t>
            </w:r>
          </w:p>
        </w:tc>
        <w:tc>
          <w:tcPr>
            <w:tcW w:w="974" w:type="dxa"/>
            <w:shd w:val="clear" w:color="auto" w:fill="auto"/>
            <w:vAlign w:val="center"/>
          </w:tcPr>
          <w:p w14:paraId="72E8EACA">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SO</w:t>
            </w:r>
            <w:r>
              <w:rPr>
                <w:rFonts w:hint="default" w:ascii="Times New Roman" w:hAnsi="Times New Roman" w:eastAsia="宋体" w:cs="Times New Roman"/>
                <w:snapToGrid w:val="0"/>
                <w:color w:val="auto"/>
                <w:sz w:val="21"/>
                <w:szCs w:val="21"/>
                <w:highlight w:val="none"/>
                <w:vertAlign w:val="subscript"/>
              </w:rPr>
              <w:t>4</w:t>
            </w:r>
            <w:r>
              <w:rPr>
                <w:rFonts w:hint="default" w:ascii="Times New Roman" w:hAnsi="Times New Roman" w:eastAsia="宋体" w:cs="Times New Roman"/>
                <w:snapToGrid w:val="0"/>
                <w:color w:val="auto"/>
                <w:sz w:val="21"/>
                <w:szCs w:val="21"/>
                <w:highlight w:val="none"/>
              </w:rPr>
              <w:t>+Cl</w:t>
            </w:r>
          </w:p>
        </w:tc>
        <w:tc>
          <w:tcPr>
            <w:tcW w:w="636" w:type="dxa"/>
            <w:shd w:val="clear" w:color="auto" w:fill="auto"/>
            <w:vAlign w:val="center"/>
          </w:tcPr>
          <w:p w14:paraId="6C84409D">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Cl</w:t>
            </w:r>
          </w:p>
        </w:tc>
      </w:tr>
      <w:tr w14:paraId="117D96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05" w:type="dxa"/>
            <w:shd w:val="clear" w:color="auto" w:fill="auto"/>
            <w:vAlign w:val="center"/>
          </w:tcPr>
          <w:p w14:paraId="79E5C7A1">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Ca</w:t>
            </w:r>
          </w:p>
        </w:tc>
        <w:tc>
          <w:tcPr>
            <w:tcW w:w="800" w:type="dxa"/>
            <w:shd w:val="clear" w:color="auto" w:fill="auto"/>
            <w:vAlign w:val="center"/>
          </w:tcPr>
          <w:p w14:paraId="7F286252">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w:t>
            </w:r>
          </w:p>
        </w:tc>
        <w:tc>
          <w:tcPr>
            <w:tcW w:w="1085" w:type="dxa"/>
            <w:shd w:val="clear" w:color="auto" w:fill="auto"/>
            <w:vAlign w:val="center"/>
          </w:tcPr>
          <w:p w14:paraId="4B50E74A">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8</w:t>
            </w:r>
          </w:p>
        </w:tc>
        <w:tc>
          <w:tcPr>
            <w:tcW w:w="1610" w:type="dxa"/>
            <w:shd w:val="clear" w:color="auto" w:fill="auto"/>
            <w:vAlign w:val="center"/>
          </w:tcPr>
          <w:p w14:paraId="79C5D354">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15</w:t>
            </w:r>
          </w:p>
        </w:tc>
        <w:tc>
          <w:tcPr>
            <w:tcW w:w="1188" w:type="dxa"/>
            <w:shd w:val="clear" w:color="auto" w:fill="auto"/>
            <w:vAlign w:val="center"/>
          </w:tcPr>
          <w:p w14:paraId="3549285D">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22</w:t>
            </w:r>
          </w:p>
        </w:tc>
        <w:tc>
          <w:tcPr>
            <w:tcW w:w="930" w:type="dxa"/>
            <w:shd w:val="clear" w:color="auto" w:fill="auto"/>
            <w:vAlign w:val="center"/>
          </w:tcPr>
          <w:p w14:paraId="529E5286">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29</w:t>
            </w:r>
          </w:p>
        </w:tc>
        <w:tc>
          <w:tcPr>
            <w:tcW w:w="974" w:type="dxa"/>
            <w:shd w:val="clear" w:color="auto" w:fill="auto"/>
            <w:vAlign w:val="center"/>
          </w:tcPr>
          <w:p w14:paraId="1ED0B73F">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36</w:t>
            </w:r>
          </w:p>
        </w:tc>
        <w:tc>
          <w:tcPr>
            <w:tcW w:w="636" w:type="dxa"/>
            <w:shd w:val="clear" w:color="auto" w:fill="auto"/>
            <w:vAlign w:val="center"/>
          </w:tcPr>
          <w:p w14:paraId="4812BA30">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43</w:t>
            </w:r>
          </w:p>
        </w:tc>
      </w:tr>
      <w:tr w14:paraId="08DEB7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05" w:type="dxa"/>
            <w:shd w:val="clear" w:color="auto" w:fill="auto"/>
            <w:vAlign w:val="center"/>
          </w:tcPr>
          <w:p w14:paraId="19F66AC1">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Ca+Mg</w:t>
            </w:r>
          </w:p>
        </w:tc>
        <w:tc>
          <w:tcPr>
            <w:tcW w:w="800" w:type="dxa"/>
            <w:shd w:val="clear" w:color="auto" w:fill="auto"/>
            <w:vAlign w:val="center"/>
          </w:tcPr>
          <w:p w14:paraId="1D6A2902">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w:t>
            </w:r>
          </w:p>
        </w:tc>
        <w:tc>
          <w:tcPr>
            <w:tcW w:w="1085" w:type="dxa"/>
            <w:shd w:val="clear" w:color="auto" w:fill="auto"/>
            <w:vAlign w:val="center"/>
          </w:tcPr>
          <w:p w14:paraId="0CB402BA">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9</w:t>
            </w:r>
          </w:p>
        </w:tc>
        <w:tc>
          <w:tcPr>
            <w:tcW w:w="1610" w:type="dxa"/>
            <w:shd w:val="clear" w:color="auto" w:fill="auto"/>
            <w:vAlign w:val="center"/>
          </w:tcPr>
          <w:p w14:paraId="70D95A9B">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16</w:t>
            </w:r>
          </w:p>
        </w:tc>
        <w:tc>
          <w:tcPr>
            <w:tcW w:w="1188" w:type="dxa"/>
            <w:shd w:val="clear" w:color="auto" w:fill="auto"/>
            <w:vAlign w:val="center"/>
          </w:tcPr>
          <w:p w14:paraId="5D75DF9F">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23</w:t>
            </w:r>
          </w:p>
        </w:tc>
        <w:tc>
          <w:tcPr>
            <w:tcW w:w="930" w:type="dxa"/>
            <w:shd w:val="clear" w:color="auto" w:fill="auto"/>
            <w:vAlign w:val="center"/>
          </w:tcPr>
          <w:p w14:paraId="0E10C596">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30</w:t>
            </w:r>
          </w:p>
        </w:tc>
        <w:tc>
          <w:tcPr>
            <w:tcW w:w="974" w:type="dxa"/>
            <w:shd w:val="clear" w:color="auto" w:fill="auto"/>
            <w:vAlign w:val="center"/>
          </w:tcPr>
          <w:p w14:paraId="3478B168">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37</w:t>
            </w:r>
          </w:p>
        </w:tc>
        <w:tc>
          <w:tcPr>
            <w:tcW w:w="636" w:type="dxa"/>
            <w:shd w:val="clear" w:color="auto" w:fill="auto"/>
            <w:vAlign w:val="center"/>
          </w:tcPr>
          <w:p w14:paraId="153AB92D">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44</w:t>
            </w:r>
          </w:p>
        </w:tc>
      </w:tr>
      <w:tr w14:paraId="375F99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05" w:type="dxa"/>
            <w:shd w:val="clear" w:color="auto" w:fill="auto"/>
            <w:vAlign w:val="center"/>
          </w:tcPr>
          <w:p w14:paraId="632E01BE">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Mg</w:t>
            </w:r>
          </w:p>
        </w:tc>
        <w:tc>
          <w:tcPr>
            <w:tcW w:w="800" w:type="dxa"/>
            <w:shd w:val="clear" w:color="auto" w:fill="auto"/>
            <w:vAlign w:val="center"/>
          </w:tcPr>
          <w:p w14:paraId="7705B960">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w:t>
            </w:r>
          </w:p>
        </w:tc>
        <w:tc>
          <w:tcPr>
            <w:tcW w:w="1085" w:type="dxa"/>
            <w:shd w:val="clear" w:color="auto" w:fill="auto"/>
            <w:vAlign w:val="center"/>
          </w:tcPr>
          <w:p w14:paraId="31A59289">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w:t>
            </w:r>
          </w:p>
        </w:tc>
        <w:tc>
          <w:tcPr>
            <w:tcW w:w="1610" w:type="dxa"/>
            <w:shd w:val="clear" w:color="auto" w:fill="auto"/>
            <w:vAlign w:val="center"/>
          </w:tcPr>
          <w:p w14:paraId="37F35295">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17</w:t>
            </w:r>
          </w:p>
        </w:tc>
        <w:tc>
          <w:tcPr>
            <w:tcW w:w="1188" w:type="dxa"/>
            <w:shd w:val="clear" w:color="auto" w:fill="auto"/>
            <w:vAlign w:val="center"/>
          </w:tcPr>
          <w:p w14:paraId="0CB3FC8B">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24</w:t>
            </w:r>
          </w:p>
        </w:tc>
        <w:tc>
          <w:tcPr>
            <w:tcW w:w="930" w:type="dxa"/>
            <w:shd w:val="clear" w:color="auto" w:fill="auto"/>
            <w:vAlign w:val="center"/>
          </w:tcPr>
          <w:p w14:paraId="6FEC0EE0">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31</w:t>
            </w:r>
          </w:p>
        </w:tc>
        <w:tc>
          <w:tcPr>
            <w:tcW w:w="974" w:type="dxa"/>
            <w:shd w:val="clear" w:color="auto" w:fill="auto"/>
            <w:vAlign w:val="center"/>
          </w:tcPr>
          <w:p w14:paraId="4E0391EC">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38</w:t>
            </w:r>
          </w:p>
        </w:tc>
        <w:tc>
          <w:tcPr>
            <w:tcW w:w="636" w:type="dxa"/>
            <w:shd w:val="clear" w:color="auto" w:fill="auto"/>
            <w:vAlign w:val="center"/>
          </w:tcPr>
          <w:p w14:paraId="7A01EFF6">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45</w:t>
            </w:r>
          </w:p>
        </w:tc>
      </w:tr>
      <w:tr w14:paraId="45E752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05" w:type="dxa"/>
            <w:shd w:val="clear" w:color="auto" w:fill="auto"/>
            <w:vAlign w:val="center"/>
          </w:tcPr>
          <w:p w14:paraId="698D6AD2">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Na+Ca</w:t>
            </w:r>
          </w:p>
        </w:tc>
        <w:tc>
          <w:tcPr>
            <w:tcW w:w="800" w:type="dxa"/>
            <w:shd w:val="clear" w:color="auto" w:fill="auto"/>
            <w:vAlign w:val="center"/>
          </w:tcPr>
          <w:p w14:paraId="7147E908">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w:t>
            </w:r>
          </w:p>
        </w:tc>
        <w:tc>
          <w:tcPr>
            <w:tcW w:w="1085" w:type="dxa"/>
            <w:shd w:val="clear" w:color="auto" w:fill="auto"/>
            <w:vAlign w:val="center"/>
          </w:tcPr>
          <w:p w14:paraId="6EC3C393">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11</w:t>
            </w:r>
          </w:p>
        </w:tc>
        <w:tc>
          <w:tcPr>
            <w:tcW w:w="1610" w:type="dxa"/>
            <w:shd w:val="clear" w:color="auto" w:fill="auto"/>
            <w:vAlign w:val="center"/>
          </w:tcPr>
          <w:p w14:paraId="6732DF5A">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18</w:t>
            </w:r>
          </w:p>
        </w:tc>
        <w:tc>
          <w:tcPr>
            <w:tcW w:w="1188" w:type="dxa"/>
            <w:shd w:val="clear" w:color="auto" w:fill="auto"/>
            <w:vAlign w:val="center"/>
          </w:tcPr>
          <w:p w14:paraId="25AF70C4">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25</w:t>
            </w:r>
          </w:p>
        </w:tc>
        <w:tc>
          <w:tcPr>
            <w:tcW w:w="930" w:type="dxa"/>
            <w:shd w:val="clear" w:color="auto" w:fill="auto"/>
            <w:vAlign w:val="center"/>
          </w:tcPr>
          <w:p w14:paraId="5685C659">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32</w:t>
            </w:r>
          </w:p>
        </w:tc>
        <w:tc>
          <w:tcPr>
            <w:tcW w:w="974" w:type="dxa"/>
            <w:shd w:val="clear" w:color="auto" w:fill="auto"/>
            <w:vAlign w:val="center"/>
          </w:tcPr>
          <w:p w14:paraId="6517388B">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39</w:t>
            </w:r>
          </w:p>
        </w:tc>
        <w:tc>
          <w:tcPr>
            <w:tcW w:w="636" w:type="dxa"/>
            <w:shd w:val="clear" w:color="auto" w:fill="auto"/>
            <w:vAlign w:val="center"/>
          </w:tcPr>
          <w:p w14:paraId="46E12222">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46</w:t>
            </w:r>
          </w:p>
        </w:tc>
      </w:tr>
      <w:tr w14:paraId="146C83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05" w:type="dxa"/>
            <w:shd w:val="clear" w:color="auto" w:fill="auto"/>
            <w:vAlign w:val="center"/>
          </w:tcPr>
          <w:p w14:paraId="566579D5">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Na+Ca+Mg</w:t>
            </w:r>
          </w:p>
        </w:tc>
        <w:tc>
          <w:tcPr>
            <w:tcW w:w="800" w:type="dxa"/>
            <w:shd w:val="clear" w:color="auto" w:fill="auto"/>
            <w:vAlign w:val="center"/>
          </w:tcPr>
          <w:p w14:paraId="0DFFC682">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5</w:t>
            </w:r>
          </w:p>
        </w:tc>
        <w:tc>
          <w:tcPr>
            <w:tcW w:w="1085" w:type="dxa"/>
            <w:shd w:val="clear" w:color="auto" w:fill="auto"/>
            <w:vAlign w:val="center"/>
          </w:tcPr>
          <w:p w14:paraId="286F32CF">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12</w:t>
            </w:r>
          </w:p>
        </w:tc>
        <w:tc>
          <w:tcPr>
            <w:tcW w:w="1610" w:type="dxa"/>
            <w:shd w:val="clear" w:color="auto" w:fill="auto"/>
            <w:vAlign w:val="center"/>
          </w:tcPr>
          <w:p w14:paraId="4CFCF0E9">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19</w:t>
            </w:r>
          </w:p>
        </w:tc>
        <w:tc>
          <w:tcPr>
            <w:tcW w:w="1188" w:type="dxa"/>
            <w:shd w:val="clear" w:color="auto" w:fill="auto"/>
            <w:vAlign w:val="center"/>
          </w:tcPr>
          <w:p w14:paraId="1EB2FFF3">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26</w:t>
            </w:r>
          </w:p>
        </w:tc>
        <w:tc>
          <w:tcPr>
            <w:tcW w:w="930" w:type="dxa"/>
            <w:shd w:val="clear" w:color="auto" w:fill="auto"/>
            <w:vAlign w:val="center"/>
          </w:tcPr>
          <w:p w14:paraId="5411D6EE">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33</w:t>
            </w:r>
          </w:p>
        </w:tc>
        <w:tc>
          <w:tcPr>
            <w:tcW w:w="974" w:type="dxa"/>
            <w:shd w:val="clear" w:color="auto" w:fill="auto"/>
            <w:vAlign w:val="center"/>
          </w:tcPr>
          <w:p w14:paraId="4B6F5781">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40</w:t>
            </w:r>
          </w:p>
        </w:tc>
        <w:tc>
          <w:tcPr>
            <w:tcW w:w="636" w:type="dxa"/>
            <w:shd w:val="clear" w:color="auto" w:fill="auto"/>
            <w:vAlign w:val="center"/>
          </w:tcPr>
          <w:p w14:paraId="097CD10D">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47</w:t>
            </w:r>
          </w:p>
        </w:tc>
      </w:tr>
      <w:tr w14:paraId="6D3BF6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05" w:type="dxa"/>
            <w:shd w:val="clear" w:color="auto" w:fill="auto"/>
            <w:vAlign w:val="center"/>
          </w:tcPr>
          <w:p w14:paraId="21F9587D">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Na+Mg</w:t>
            </w:r>
          </w:p>
        </w:tc>
        <w:tc>
          <w:tcPr>
            <w:tcW w:w="800" w:type="dxa"/>
            <w:shd w:val="clear" w:color="auto" w:fill="auto"/>
            <w:vAlign w:val="center"/>
          </w:tcPr>
          <w:p w14:paraId="75C47FFC">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6</w:t>
            </w:r>
          </w:p>
        </w:tc>
        <w:tc>
          <w:tcPr>
            <w:tcW w:w="1085" w:type="dxa"/>
            <w:shd w:val="clear" w:color="auto" w:fill="auto"/>
            <w:vAlign w:val="center"/>
          </w:tcPr>
          <w:p w14:paraId="0E6ED8D1">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13</w:t>
            </w:r>
          </w:p>
        </w:tc>
        <w:tc>
          <w:tcPr>
            <w:tcW w:w="1610" w:type="dxa"/>
            <w:shd w:val="clear" w:color="auto" w:fill="auto"/>
            <w:vAlign w:val="center"/>
          </w:tcPr>
          <w:p w14:paraId="4D807D8D">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20</w:t>
            </w:r>
          </w:p>
        </w:tc>
        <w:tc>
          <w:tcPr>
            <w:tcW w:w="1188" w:type="dxa"/>
            <w:shd w:val="clear" w:color="auto" w:fill="auto"/>
            <w:vAlign w:val="center"/>
          </w:tcPr>
          <w:p w14:paraId="555D69D5">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27</w:t>
            </w:r>
          </w:p>
        </w:tc>
        <w:tc>
          <w:tcPr>
            <w:tcW w:w="930" w:type="dxa"/>
            <w:shd w:val="clear" w:color="auto" w:fill="auto"/>
            <w:vAlign w:val="center"/>
          </w:tcPr>
          <w:p w14:paraId="7BB1E186">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34</w:t>
            </w:r>
          </w:p>
        </w:tc>
        <w:tc>
          <w:tcPr>
            <w:tcW w:w="974" w:type="dxa"/>
            <w:shd w:val="clear" w:color="auto" w:fill="auto"/>
            <w:vAlign w:val="center"/>
          </w:tcPr>
          <w:p w14:paraId="7225C704">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41</w:t>
            </w:r>
          </w:p>
        </w:tc>
        <w:tc>
          <w:tcPr>
            <w:tcW w:w="636" w:type="dxa"/>
            <w:shd w:val="clear" w:color="auto" w:fill="auto"/>
            <w:vAlign w:val="center"/>
          </w:tcPr>
          <w:p w14:paraId="2E50CFAD">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48</w:t>
            </w:r>
          </w:p>
        </w:tc>
      </w:tr>
      <w:tr w14:paraId="5A6E58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05" w:type="dxa"/>
            <w:shd w:val="clear" w:color="auto" w:fill="auto"/>
            <w:vAlign w:val="center"/>
          </w:tcPr>
          <w:p w14:paraId="307F2B44">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Na</w:t>
            </w:r>
          </w:p>
        </w:tc>
        <w:tc>
          <w:tcPr>
            <w:tcW w:w="800" w:type="dxa"/>
            <w:shd w:val="clear" w:color="auto" w:fill="auto"/>
            <w:vAlign w:val="center"/>
          </w:tcPr>
          <w:p w14:paraId="19ABA426">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7</w:t>
            </w:r>
          </w:p>
        </w:tc>
        <w:tc>
          <w:tcPr>
            <w:tcW w:w="1085" w:type="dxa"/>
            <w:shd w:val="clear" w:color="auto" w:fill="auto"/>
            <w:vAlign w:val="center"/>
          </w:tcPr>
          <w:p w14:paraId="68C5147A">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14</w:t>
            </w:r>
          </w:p>
        </w:tc>
        <w:tc>
          <w:tcPr>
            <w:tcW w:w="1610" w:type="dxa"/>
            <w:shd w:val="clear" w:color="auto" w:fill="auto"/>
            <w:vAlign w:val="center"/>
          </w:tcPr>
          <w:p w14:paraId="6BAF81E1">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21</w:t>
            </w:r>
          </w:p>
        </w:tc>
        <w:tc>
          <w:tcPr>
            <w:tcW w:w="1188" w:type="dxa"/>
            <w:shd w:val="clear" w:color="auto" w:fill="auto"/>
            <w:vAlign w:val="center"/>
          </w:tcPr>
          <w:p w14:paraId="471694B7">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28</w:t>
            </w:r>
          </w:p>
        </w:tc>
        <w:tc>
          <w:tcPr>
            <w:tcW w:w="930" w:type="dxa"/>
            <w:shd w:val="clear" w:color="auto" w:fill="auto"/>
            <w:vAlign w:val="center"/>
          </w:tcPr>
          <w:p w14:paraId="4854139C">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35</w:t>
            </w:r>
          </w:p>
        </w:tc>
        <w:tc>
          <w:tcPr>
            <w:tcW w:w="974" w:type="dxa"/>
            <w:shd w:val="clear" w:color="auto" w:fill="auto"/>
            <w:vAlign w:val="center"/>
          </w:tcPr>
          <w:p w14:paraId="5C812D6C">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42</w:t>
            </w:r>
          </w:p>
        </w:tc>
        <w:tc>
          <w:tcPr>
            <w:tcW w:w="636" w:type="dxa"/>
            <w:shd w:val="clear" w:color="auto" w:fill="auto"/>
            <w:vAlign w:val="center"/>
          </w:tcPr>
          <w:p w14:paraId="62B87BB2">
            <w:pPr>
              <w:pStyle w:val="38"/>
              <w:pageBreakBefore w:val="0"/>
              <w:kinsoku/>
              <w:wordWrap w:val="0"/>
              <w:overflowPunct/>
              <w:topLinePunct/>
              <w:autoSpaceDE/>
              <w:autoSpaceDN/>
              <w:bidi w:val="0"/>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49</w:t>
            </w:r>
          </w:p>
        </w:tc>
      </w:tr>
    </w:tbl>
    <w:p w14:paraId="56400B66">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第一步，对水文资料进行整理：</w:t>
      </w:r>
    </w:p>
    <w:p w14:paraId="72022351">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换算毫克/升为毫克当量/升及毫克当量百分数</w:t>
      </w:r>
    </w:p>
    <w:p w14:paraId="5711BD68">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按照化学原理，毫克数与毫克当量数的关系如下式：</w:t>
      </w:r>
    </w:p>
    <w:p w14:paraId="5E9C16AC">
      <w:pPr>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离子的毫克当量数=</w:t>
      </w:r>
      <m:oMath>
        <m:f>
          <m:fPr>
            <m:ctrlPr>
              <w:rPr>
                <w:rFonts w:hint="default" w:ascii="Cambria Math" w:hAnsi="Cambria Math" w:eastAsia="宋体" w:cs="Times New Roman"/>
                <w:color w:val="auto"/>
                <w:sz w:val="24"/>
                <w:szCs w:val="24"/>
                <w:highlight w:val="none"/>
              </w:rPr>
            </m:ctrlPr>
          </m:fPr>
          <m:num>
            <m:r>
              <m:rPr>
                <m:nor/>
                <m:sty m:val="p"/>
              </m:rPr>
              <w:rPr>
                <w:rFonts w:hint="default" w:ascii="Times New Roman" w:hAnsi="Times New Roman" w:eastAsia="宋体" w:cs="Times New Roman"/>
                <w:b w:val="0"/>
                <w:i w:val="0"/>
                <w:color w:val="auto"/>
                <w:sz w:val="24"/>
                <w:szCs w:val="24"/>
                <w:highlight w:val="none"/>
              </w:rPr>
              <m:t>离子的毫克数</m:t>
            </m:r>
            <m:ctrlPr>
              <w:rPr>
                <w:rFonts w:hint="default" w:ascii="Cambria Math" w:hAnsi="Cambria Math" w:eastAsia="宋体" w:cs="Times New Roman"/>
                <w:color w:val="auto"/>
                <w:sz w:val="24"/>
                <w:szCs w:val="24"/>
                <w:highlight w:val="none"/>
              </w:rPr>
            </m:ctrlPr>
          </m:num>
          <m:den>
            <m:r>
              <m:rPr>
                <m:nor/>
                <m:sty m:val="p"/>
              </m:rPr>
              <w:rPr>
                <w:rFonts w:hint="default" w:ascii="Times New Roman" w:hAnsi="Times New Roman" w:eastAsia="宋体" w:cs="Times New Roman"/>
                <w:b w:val="0"/>
                <w:i w:val="0"/>
                <w:color w:val="auto"/>
                <w:sz w:val="24"/>
                <w:szCs w:val="24"/>
                <w:highlight w:val="none"/>
              </w:rPr>
              <m:t>离子的当量</m:t>
            </m:r>
            <m:ctrlPr>
              <w:rPr>
                <w:rFonts w:hint="default" w:ascii="Cambria Math" w:hAnsi="Cambria Math" w:eastAsia="宋体" w:cs="Times New Roman"/>
                <w:color w:val="auto"/>
                <w:sz w:val="24"/>
                <w:szCs w:val="24"/>
                <w:highlight w:val="none"/>
              </w:rPr>
            </m:ctrlPr>
          </m:den>
        </m:f>
      </m:oMath>
    </w:p>
    <w:p w14:paraId="251EA0CC">
      <w:pPr>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知道了离子在水中的毫克当量数以后，则可根据下式计算其毫克当量百分数：</w:t>
      </w:r>
    </w:p>
    <w:p w14:paraId="230B838F">
      <w:pPr>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某阴离子的毫克当量百分数=</w:t>
      </w:r>
      <m:oMath>
        <m:f>
          <m:fPr>
            <m:ctrlPr>
              <w:rPr>
                <w:rFonts w:hint="default" w:ascii="Cambria Math" w:hAnsi="Cambria Math" w:eastAsia="宋体" w:cs="Times New Roman"/>
                <w:color w:val="auto"/>
                <w:sz w:val="24"/>
                <w:szCs w:val="24"/>
                <w:highlight w:val="none"/>
              </w:rPr>
            </m:ctrlPr>
          </m:fPr>
          <m:num>
            <m:r>
              <m:rPr>
                <m:nor/>
                <m:sty m:val="p"/>
              </m:rPr>
              <w:rPr>
                <w:rFonts w:hint="default" w:ascii="Times New Roman" w:hAnsi="Times New Roman" w:eastAsia="宋体" w:cs="Times New Roman"/>
                <w:b w:val="0"/>
                <w:i w:val="0"/>
                <w:color w:val="auto"/>
                <w:sz w:val="24"/>
                <w:szCs w:val="24"/>
                <w:highlight w:val="none"/>
              </w:rPr>
              <m:t>该离子毫克当量/升</m:t>
            </m:r>
            <m:ctrlPr>
              <w:rPr>
                <w:rFonts w:hint="default" w:ascii="Cambria Math" w:hAnsi="Cambria Math" w:eastAsia="宋体" w:cs="Times New Roman"/>
                <w:color w:val="auto"/>
                <w:sz w:val="24"/>
                <w:szCs w:val="24"/>
                <w:highlight w:val="none"/>
              </w:rPr>
            </m:ctrlPr>
          </m:num>
          <m:den>
            <m:r>
              <m:rPr>
                <m:nor/>
                <m:sty m:val="p"/>
              </m:rPr>
              <w:rPr>
                <w:rFonts w:hint="default" w:ascii="Times New Roman" w:hAnsi="Times New Roman" w:eastAsia="宋体" w:cs="Times New Roman"/>
                <w:b w:val="0"/>
                <w:i w:val="0"/>
                <w:color w:val="auto"/>
                <w:sz w:val="24"/>
                <w:szCs w:val="24"/>
                <w:highlight w:val="none"/>
              </w:rPr>
              <m:t>阴离子毫克当量总数/升</m:t>
            </m:r>
            <m:ctrlPr>
              <w:rPr>
                <w:rFonts w:hint="default" w:ascii="Cambria Math" w:hAnsi="Cambria Math" w:eastAsia="宋体" w:cs="Times New Roman"/>
                <w:color w:val="auto"/>
                <w:sz w:val="24"/>
                <w:szCs w:val="24"/>
                <w:highlight w:val="none"/>
              </w:rPr>
            </m:ctrlPr>
          </m:den>
        </m:f>
      </m:oMath>
      <w:r>
        <w:rPr>
          <w:rFonts w:hint="default" w:ascii="Times New Roman" w:hAnsi="Times New Roman" w:eastAsia="宋体" w:cs="Times New Roman"/>
          <w:color w:val="auto"/>
          <w:sz w:val="24"/>
          <w:szCs w:val="24"/>
          <w:highlight w:val="none"/>
        </w:rPr>
        <w:t>×100%</w:t>
      </w:r>
    </w:p>
    <w:p w14:paraId="7DF9C296">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（2）地下水化学类型评价结果</w:t>
      </w:r>
    </w:p>
    <w:p w14:paraId="71AAEA80">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首先对水文资料进行整理，换算毫克/升为毫克当量/升及毫克当量百分数；知道了离子在水中的毫克当量数以后，根据计算公式计算其毫克当量百分数。</w:t>
      </w:r>
    </w:p>
    <w:p w14:paraId="44F33400">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本次监测换算结果见</w:t>
      </w:r>
      <w:r>
        <w:rPr>
          <w:rFonts w:hint="default" w:ascii="Times New Roman" w:hAnsi="Times New Roman" w:eastAsia="宋体" w:cs="Times New Roman"/>
          <w:color w:val="auto"/>
          <w:sz w:val="24"/>
          <w:szCs w:val="24"/>
          <w:highlight w:val="none"/>
          <w:lang w:val="en-US" w:eastAsia="zh-CN"/>
        </w:rPr>
        <w:t>下表</w:t>
      </w:r>
      <w:r>
        <w:rPr>
          <w:rFonts w:hint="default" w:ascii="Times New Roman" w:hAnsi="Times New Roman" w:eastAsia="宋体" w:cs="Times New Roman"/>
          <w:color w:val="auto"/>
          <w:sz w:val="24"/>
          <w:szCs w:val="24"/>
          <w:highlight w:val="none"/>
        </w:rPr>
        <w:t>。</w:t>
      </w:r>
    </w:p>
    <w:p w14:paraId="5223C143">
      <w:pPr>
        <w:keepNext w:val="0"/>
        <w:keepLines w:val="0"/>
        <w:pageBreakBefore w:val="0"/>
        <w:widowControl/>
        <w:kinsoku/>
        <w:wordWrap w:val="0"/>
        <w:overflowPunct/>
        <w:topLinePunct/>
        <w:autoSpaceDE/>
        <w:autoSpaceDN/>
        <w:bidi w:val="0"/>
        <w:adjustRightInd w:val="0"/>
        <w:snapToGrid w:val="0"/>
        <w:spacing w:line="240" w:lineRule="auto"/>
        <w:ind w:firstLine="0" w:firstLineChars="0"/>
        <w:jc w:val="center"/>
        <w:textAlignment w:val="baseline"/>
        <w:rPr>
          <w:rFonts w:hint="default" w:ascii="Times New Roman" w:hAnsi="Times New Roman" w:eastAsia="宋体" w:cs="Times New Roman"/>
          <w:b/>
          <w:bCs/>
          <w:color w:val="auto"/>
          <w:kern w:val="0"/>
          <w:sz w:val="24"/>
          <w:szCs w:val="24"/>
          <w:highlight w:val="none"/>
        </w:rPr>
      </w:pPr>
      <w:r>
        <w:rPr>
          <w:rFonts w:hint="default" w:ascii="Times New Roman" w:hAnsi="Times New Roman" w:eastAsia="宋体" w:cs="Times New Roman"/>
          <w:b/>
          <w:bCs/>
          <w:color w:val="auto"/>
          <w:kern w:val="0"/>
          <w:sz w:val="24"/>
          <w:szCs w:val="24"/>
          <w:highlight w:val="none"/>
        </w:rPr>
        <w:t>表4</w:t>
      </w:r>
      <w:r>
        <w:rPr>
          <w:rFonts w:hint="default" w:ascii="Times New Roman" w:hAnsi="Times New Roman" w:eastAsia="宋体" w:cs="Times New Roman"/>
          <w:b/>
          <w:bCs/>
          <w:color w:val="auto"/>
          <w:kern w:val="0"/>
          <w:sz w:val="24"/>
          <w:szCs w:val="24"/>
          <w:highlight w:val="none"/>
          <w:lang w:val="en-US" w:eastAsia="zh-CN"/>
        </w:rPr>
        <w:t>.3-</w:t>
      </w:r>
      <w:r>
        <w:rPr>
          <w:rFonts w:hint="eastAsia" w:ascii="Times New Roman" w:hAnsi="Times New Roman" w:eastAsia="宋体" w:cs="Times New Roman"/>
          <w:b/>
          <w:bCs/>
          <w:color w:val="auto"/>
          <w:kern w:val="0"/>
          <w:sz w:val="24"/>
          <w:szCs w:val="24"/>
          <w:highlight w:val="none"/>
          <w:lang w:val="en-US" w:eastAsia="zh-CN"/>
        </w:rPr>
        <w:t>10</w:t>
      </w:r>
      <w:r>
        <w:rPr>
          <w:rFonts w:hint="default" w:ascii="Times New Roman" w:hAnsi="Times New Roman" w:eastAsia="宋体" w:cs="Times New Roman"/>
          <w:b/>
          <w:bCs/>
          <w:color w:val="auto"/>
          <w:kern w:val="0"/>
          <w:sz w:val="24"/>
          <w:szCs w:val="24"/>
          <w:highlight w:val="none"/>
        </w:rPr>
        <w:t>监测换算结果表</w:t>
      </w:r>
    </w:p>
    <w:tbl>
      <w:tblPr>
        <w:tblStyle w:val="45"/>
        <w:tblW w:w="8704"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067"/>
        <w:gridCol w:w="1729"/>
        <w:gridCol w:w="1843"/>
        <w:gridCol w:w="1899"/>
      </w:tblGrid>
      <w:tr w14:paraId="1DB130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233" w:type="dxa"/>
            <w:gridSpan w:val="2"/>
            <w:vAlign w:val="center"/>
          </w:tcPr>
          <w:p w14:paraId="40BA01EE">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1#</w:t>
            </w:r>
          </w:p>
        </w:tc>
        <w:tc>
          <w:tcPr>
            <w:tcW w:w="1729" w:type="dxa"/>
            <w:vAlign w:val="center"/>
          </w:tcPr>
          <w:p w14:paraId="3AE8D21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mg/L</w:t>
            </w:r>
          </w:p>
        </w:tc>
        <w:tc>
          <w:tcPr>
            <w:tcW w:w="1843" w:type="dxa"/>
            <w:vAlign w:val="center"/>
          </w:tcPr>
          <w:p w14:paraId="10D092E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meq/L</w:t>
            </w:r>
          </w:p>
        </w:tc>
        <w:tc>
          <w:tcPr>
            <w:tcW w:w="1899" w:type="dxa"/>
            <w:vAlign w:val="center"/>
          </w:tcPr>
          <w:p w14:paraId="2CA0538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meq%</w:t>
            </w:r>
          </w:p>
        </w:tc>
      </w:tr>
      <w:tr w14:paraId="43FE0E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restart"/>
            <w:vAlign w:val="center"/>
          </w:tcPr>
          <w:p w14:paraId="31AF71A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阳</w:t>
            </w:r>
          </w:p>
          <w:p w14:paraId="32A80749">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离</w:t>
            </w:r>
          </w:p>
          <w:p w14:paraId="732C396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子</w:t>
            </w:r>
          </w:p>
        </w:tc>
        <w:tc>
          <w:tcPr>
            <w:tcW w:w="2067" w:type="dxa"/>
            <w:vMerge w:val="restart"/>
            <w:vAlign w:val="center"/>
          </w:tcPr>
          <w:p w14:paraId="02A34C56">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vertAlign w:val="superscript"/>
              </w:rPr>
            </w:pPr>
            <w:r>
              <w:rPr>
                <w:rFonts w:hint="default" w:ascii="Times New Roman" w:hAnsi="Times New Roman" w:eastAsia="宋体" w:cs="Times New Roman"/>
                <w:snapToGrid w:val="0"/>
                <w:color w:val="auto"/>
                <w:kern w:val="0"/>
                <w:sz w:val="21"/>
                <w:szCs w:val="21"/>
                <w:highlight w:val="none"/>
              </w:rPr>
              <w:t>K</w:t>
            </w:r>
            <w:r>
              <w:rPr>
                <w:rFonts w:hint="default" w:ascii="Times New Roman" w:hAnsi="Times New Roman" w:eastAsia="宋体" w:cs="Times New Roman"/>
                <w:snapToGrid w:val="0"/>
                <w:color w:val="auto"/>
                <w:kern w:val="0"/>
                <w:sz w:val="21"/>
                <w:szCs w:val="21"/>
                <w:highlight w:val="none"/>
                <w:vertAlign w:val="superscript"/>
              </w:rPr>
              <w:t>+</w:t>
            </w:r>
            <w:r>
              <w:rPr>
                <w:rFonts w:hint="default" w:ascii="Times New Roman" w:hAnsi="Times New Roman" w:eastAsia="宋体" w:cs="Times New Roman"/>
                <w:snapToGrid w:val="0"/>
                <w:color w:val="auto"/>
                <w:kern w:val="0"/>
                <w:sz w:val="21"/>
                <w:szCs w:val="21"/>
                <w:highlight w:val="none"/>
              </w:rPr>
              <w:t>+Na</w:t>
            </w:r>
            <w:r>
              <w:rPr>
                <w:rFonts w:hint="default" w:ascii="Times New Roman" w:hAnsi="Times New Roman" w:eastAsia="宋体" w:cs="Times New Roman"/>
                <w:snapToGrid w:val="0"/>
                <w:color w:val="auto"/>
                <w:kern w:val="0"/>
                <w:sz w:val="21"/>
                <w:szCs w:val="21"/>
                <w:highlight w:val="none"/>
                <w:vertAlign w:val="superscript"/>
              </w:rPr>
              <w:t>+</w:t>
            </w:r>
          </w:p>
          <w:p w14:paraId="4DB434F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Ca</w:t>
            </w:r>
            <w:r>
              <w:rPr>
                <w:rFonts w:hint="default" w:ascii="Times New Roman" w:hAnsi="Times New Roman" w:eastAsia="宋体" w:cs="Times New Roman"/>
                <w:snapToGrid w:val="0"/>
                <w:color w:val="auto"/>
                <w:kern w:val="0"/>
                <w:sz w:val="21"/>
                <w:szCs w:val="21"/>
                <w:highlight w:val="none"/>
                <w:vertAlign w:val="superscript"/>
              </w:rPr>
              <w:t>2+</w:t>
            </w:r>
          </w:p>
          <w:p w14:paraId="1560CAA4">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Mg</w:t>
            </w:r>
            <w:r>
              <w:rPr>
                <w:rFonts w:hint="default" w:ascii="Times New Roman" w:hAnsi="Times New Roman" w:eastAsia="宋体" w:cs="Times New Roman"/>
                <w:snapToGrid w:val="0"/>
                <w:color w:val="auto"/>
                <w:kern w:val="0"/>
                <w:sz w:val="21"/>
                <w:szCs w:val="21"/>
                <w:highlight w:val="none"/>
                <w:vertAlign w:val="superscript"/>
              </w:rPr>
              <w:t>2+</w:t>
            </w:r>
          </w:p>
        </w:tc>
        <w:tc>
          <w:tcPr>
            <w:tcW w:w="1729" w:type="dxa"/>
            <w:vAlign w:val="bottom"/>
          </w:tcPr>
          <w:p w14:paraId="3D4AB71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29.03</w:t>
            </w:r>
          </w:p>
        </w:tc>
        <w:tc>
          <w:tcPr>
            <w:tcW w:w="1843" w:type="dxa"/>
            <w:vAlign w:val="bottom"/>
          </w:tcPr>
          <w:p w14:paraId="765DD792">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1.22</w:t>
            </w:r>
          </w:p>
        </w:tc>
        <w:tc>
          <w:tcPr>
            <w:tcW w:w="1899" w:type="dxa"/>
            <w:vAlign w:val="bottom"/>
          </w:tcPr>
          <w:p w14:paraId="0923F86C">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21.62</w:t>
            </w:r>
          </w:p>
        </w:tc>
      </w:tr>
      <w:tr w14:paraId="4D9B8D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048A4722">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47D79E7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p>
        </w:tc>
        <w:tc>
          <w:tcPr>
            <w:tcW w:w="1729" w:type="dxa"/>
            <w:vAlign w:val="center"/>
          </w:tcPr>
          <w:p w14:paraId="35E7477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56.8</w:t>
            </w:r>
          </w:p>
        </w:tc>
        <w:tc>
          <w:tcPr>
            <w:tcW w:w="1843" w:type="dxa"/>
            <w:vAlign w:val="bottom"/>
          </w:tcPr>
          <w:p w14:paraId="04AEAE2E">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2.84</w:t>
            </w:r>
          </w:p>
        </w:tc>
        <w:tc>
          <w:tcPr>
            <w:tcW w:w="1899" w:type="dxa"/>
            <w:vAlign w:val="bottom"/>
          </w:tcPr>
          <w:p w14:paraId="3C5CC26C">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50.52</w:t>
            </w:r>
          </w:p>
        </w:tc>
      </w:tr>
      <w:tr w14:paraId="3090DA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638CEFBA">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30D592B4">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p>
        </w:tc>
        <w:tc>
          <w:tcPr>
            <w:tcW w:w="1729" w:type="dxa"/>
            <w:vAlign w:val="center"/>
          </w:tcPr>
          <w:p w14:paraId="0C69DEF5">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18.8</w:t>
            </w:r>
          </w:p>
        </w:tc>
        <w:tc>
          <w:tcPr>
            <w:tcW w:w="1843" w:type="dxa"/>
            <w:vAlign w:val="bottom"/>
          </w:tcPr>
          <w:p w14:paraId="549B0F2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1.57</w:t>
            </w:r>
          </w:p>
        </w:tc>
        <w:tc>
          <w:tcPr>
            <w:tcW w:w="1899" w:type="dxa"/>
            <w:vAlign w:val="bottom"/>
          </w:tcPr>
          <w:p w14:paraId="5BA052A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27.87</w:t>
            </w:r>
          </w:p>
        </w:tc>
      </w:tr>
      <w:tr w14:paraId="62B2C1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4018025A">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Align w:val="center"/>
          </w:tcPr>
          <w:p w14:paraId="741F1B79">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总计</w:t>
            </w:r>
          </w:p>
        </w:tc>
        <w:tc>
          <w:tcPr>
            <w:tcW w:w="1729" w:type="dxa"/>
            <w:vAlign w:val="bottom"/>
          </w:tcPr>
          <w:p w14:paraId="686DD68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104.63</w:t>
            </w:r>
          </w:p>
        </w:tc>
        <w:tc>
          <w:tcPr>
            <w:tcW w:w="1843" w:type="dxa"/>
            <w:vAlign w:val="bottom"/>
          </w:tcPr>
          <w:p w14:paraId="58CD117A">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5.62</w:t>
            </w:r>
          </w:p>
        </w:tc>
        <w:tc>
          <w:tcPr>
            <w:tcW w:w="1899" w:type="dxa"/>
            <w:vAlign w:val="bottom"/>
          </w:tcPr>
          <w:p w14:paraId="4E2453E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 xml:space="preserve">100.00 </w:t>
            </w:r>
          </w:p>
        </w:tc>
      </w:tr>
      <w:tr w14:paraId="4E8CB5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restart"/>
            <w:vAlign w:val="center"/>
          </w:tcPr>
          <w:p w14:paraId="7EB3082C">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阴</w:t>
            </w:r>
          </w:p>
          <w:p w14:paraId="354D8C2D">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离</w:t>
            </w:r>
          </w:p>
          <w:p w14:paraId="7B076E7D">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子</w:t>
            </w:r>
          </w:p>
        </w:tc>
        <w:tc>
          <w:tcPr>
            <w:tcW w:w="2067" w:type="dxa"/>
            <w:vMerge w:val="restart"/>
            <w:vAlign w:val="center"/>
          </w:tcPr>
          <w:p w14:paraId="6726B0F0">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vertAlign w:val="superscript"/>
              </w:rPr>
            </w:pPr>
            <w:r>
              <w:rPr>
                <w:rFonts w:hint="default" w:ascii="Times New Roman" w:hAnsi="Times New Roman" w:eastAsia="宋体" w:cs="Times New Roman"/>
                <w:snapToGrid w:val="0"/>
                <w:color w:val="auto"/>
                <w:kern w:val="0"/>
                <w:sz w:val="21"/>
                <w:szCs w:val="21"/>
                <w:highlight w:val="none"/>
              </w:rPr>
              <w:t>HCO</w:t>
            </w:r>
            <w:r>
              <w:rPr>
                <w:rFonts w:hint="default" w:ascii="Times New Roman" w:hAnsi="Times New Roman" w:eastAsia="宋体" w:cs="Times New Roman"/>
                <w:snapToGrid w:val="0"/>
                <w:color w:val="auto"/>
                <w:kern w:val="0"/>
                <w:sz w:val="21"/>
                <w:szCs w:val="21"/>
                <w:highlight w:val="none"/>
                <w:vertAlign w:val="subscript"/>
              </w:rPr>
              <w:t>3</w:t>
            </w:r>
            <w:r>
              <w:rPr>
                <w:rFonts w:hint="default" w:ascii="Times New Roman" w:hAnsi="Times New Roman" w:eastAsia="宋体" w:cs="Times New Roman"/>
                <w:snapToGrid w:val="0"/>
                <w:color w:val="auto"/>
                <w:kern w:val="0"/>
                <w:sz w:val="21"/>
                <w:szCs w:val="21"/>
                <w:highlight w:val="none"/>
                <w:vertAlign w:val="superscript"/>
              </w:rPr>
              <w:t>-</w:t>
            </w:r>
          </w:p>
          <w:p w14:paraId="525EC705">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vertAlign w:val="superscript"/>
              </w:rPr>
            </w:pPr>
            <w:r>
              <w:rPr>
                <w:rFonts w:hint="default" w:ascii="Times New Roman" w:hAnsi="Times New Roman" w:eastAsia="宋体" w:cs="Times New Roman"/>
                <w:snapToGrid w:val="0"/>
                <w:color w:val="auto"/>
                <w:kern w:val="0"/>
                <w:sz w:val="21"/>
                <w:szCs w:val="21"/>
                <w:highlight w:val="none"/>
              </w:rPr>
              <w:t>Cl</w:t>
            </w:r>
            <w:r>
              <w:rPr>
                <w:rFonts w:hint="default" w:ascii="Times New Roman" w:hAnsi="Times New Roman" w:eastAsia="宋体" w:cs="Times New Roman"/>
                <w:snapToGrid w:val="0"/>
                <w:color w:val="auto"/>
                <w:kern w:val="0"/>
                <w:sz w:val="21"/>
                <w:szCs w:val="21"/>
                <w:highlight w:val="none"/>
                <w:vertAlign w:val="superscript"/>
              </w:rPr>
              <w:t>-</w:t>
            </w:r>
          </w:p>
          <w:p w14:paraId="1905F0D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SO</w:t>
            </w:r>
            <w:r>
              <w:rPr>
                <w:rFonts w:hint="default" w:ascii="Times New Roman" w:hAnsi="Times New Roman" w:eastAsia="宋体" w:cs="Times New Roman"/>
                <w:snapToGrid w:val="0"/>
                <w:color w:val="auto"/>
                <w:kern w:val="0"/>
                <w:sz w:val="21"/>
                <w:szCs w:val="21"/>
                <w:highlight w:val="none"/>
                <w:vertAlign w:val="subscript"/>
              </w:rPr>
              <w:t>4</w:t>
            </w:r>
            <w:r>
              <w:rPr>
                <w:rFonts w:hint="default" w:ascii="Times New Roman" w:hAnsi="Times New Roman" w:eastAsia="宋体" w:cs="Times New Roman"/>
                <w:snapToGrid w:val="0"/>
                <w:color w:val="auto"/>
                <w:kern w:val="0"/>
                <w:sz w:val="21"/>
                <w:szCs w:val="21"/>
                <w:highlight w:val="none"/>
                <w:vertAlign w:val="superscript"/>
              </w:rPr>
              <w:t>2-</w:t>
            </w:r>
          </w:p>
        </w:tc>
        <w:tc>
          <w:tcPr>
            <w:tcW w:w="1729" w:type="dxa"/>
            <w:vAlign w:val="center"/>
          </w:tcPr>
          <w:p w14:paraId="13F65DA0">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208</w:t>
            </w:r>
          </w:p>
        </w:tc>
        <w:tc>
          <w:tcPr>
            <w:tcW w:w="1843" w:type="dxa"/>
            <w:vAlign w:val="center"/>
          </w:tcPr>
          <w:p w14:paraId="6D7288F5">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3.41</w:t>
            </w:r>
          </w:p>
        </w:tc>
        <w:tc>
          <w:tcPr>
            <w:tcW w:w="1899" w:type="dxa"/>
            <w:vAlign w:val="center"/>
          </w:tcPr>
          <w:p w14:paraId="5DFD03EE">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53.55</w:t>
            </w:r>
          </w:p>
        </w:tc>
      </w:tr>
      <w:tr w14:paraId="049FF7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070B7E29">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5EF39FB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p>
        </w:tc>
        <w:tc>
          <w:tcPr>
            <w:tcW w:w="1729" w:type="dxa"/>
            <w:vAlign w:val="center"/>
          </w:tcPr>
          <w:p w14:paraId="434331DB">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36.9</w:t>
            </w:r>
          </w:p>
        </w:tc>
        <w:tc>
          <w:tcPr>
            <w:tcW w:w="1843" w:type="dxa"/>
            <w:vAlign w:val="center"/>
          </w:tcPr>
          <w:p w14:paraId="03DC7A80">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1.04 </w:t>
            </w:r>
          </w:p>
        </w:tc>
        <w:tc>
          <w:tcPr>
            <w:tcW w:w="1899" w:type="dxa"/>
            <w:vAlign w:val="center"/>
          </w:tcPr>
          <w:p w14:paraId="3C542F1B">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16.32</w:t>
            </w:r>
          </w:p>
        </w:tc>
      </w:tr>
      <w:tr w14:paraId="40EA8E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07F60B46">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051B324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p>
        </w:tc>
        <w:tc>
          <w:tcPr>
            <w:tcW w:w="1729" w:type="dxa"/>
            <w:vAlign w:val="center"/>
          </w:tcPr>
          <w:p w14:paraId="7F65A4D0">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92.1</w:t>
            </w:r>
          </w:p>
        </w:tc>
        <w:tc>
          <w:tcPr>
            <w:tcW w:w="1843" w:type="dxa"/>
            <w:vAlign w:val="center"/>
          </w:tcPr>
          <w:p w14:paraId="7970AE87">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1.9188</w:t>
            </w:r>
          </w:p>
        </w:tc>
        <w:tc>
          <w:tcPr>
            <w:tcW w:w="1899" w:type="dxa"/>
            <w:vAlign w:val="center"/>
          </w:tcPr>
          <w:p w14:paraId="72E471B1">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30.13</w:t>
            </w:r>
          </w:p>
        </w:tc>
      </w:tr>
      <w:tr w14:paraId="6A0E42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017755A2">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Align w:val="center"/>
          </w:tcPr>
          <w:p w14:paraId="5A1CD4C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snapToGrid w:val="0"/>
                <w:color w:val="auto"/>
                <w:kern w:val="0"/>
                <w:sz w:val="21"/>
                <w:szCs w:val="21"/>
                <w:highlight w:val="none"/>
              </w:rPr>
              <w:t>总计</w:t>
            </w:r>
          </w:p>
        </w:tc>
        <w:tc>
          <w:tcPr>
            <w:tcW w:w="1729" w:type="dxa"/>
            <w:vAlign w:val="center"/>
          </w:tcPr>
          <w:p w14:paraId="1F1CE271">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337</w:t>
            </w:r>
          </w:p>
        </w:tc>
        <w:tc>
          <w:tcPr>
            <w:tcW w:w="1843" w:type="dxa"/>
            <w:vAlign w:val="center"/>
          </w:tcPr>
          <w:p w14:paraId="3227D4CE">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6.37</w:t>
            </w:r>
          </w:p>
        </w:tc>
        <w:tc>
          <w:tcPr>
            <w:tcW w:w="1899" w:type="dxa"/>
            <w:vAlign w:val="center"/>
          </w:tcPr>
          <w:p w14:paraId="3D1BAED0">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100.00 </w:t>
            </w:r>
          </w:p>
        </w:tc>
      </w:tr>
      <w:tr w14:paraId="1CBCE8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233" w:type="dxa"/>
            <w:gridSpan w:val="2"/>
            <w:vAlign w:val="center"/>
          </w:tcPr>
          <w:p w14:paraId="4017E3E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2#</w:t>
            </w:r>
          </w:p>
        </w:tc>
        <w:tc>
          <w:tcPr>
            <w:tcW w:w="1729" w:type="dxa"/>
            <w:vAlign w:val="center"/>
          </w:tcPr>
          <w:p w14:paraId="6F901D7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snapToGrid w:val="0"/>
                <w:color w:val="auto"/>
                <w:kern w:val="0"/>
                <w:highlight w:val="none"/>
              </w:rPr>
              <w:t>mg/L</w:t>
            </w:r>
          </w:p>
        </w:tc>
        <w:tc>
          <w:tcPr>
            <w:tcW w:w="1843" w:type="dxa"/>
            <w:vAlign w:val="center"/>
          </w:tcPr>
          <w:p w14:paraId="06C74FAD">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snapToGrid w:val="0"/>
                <w:color w:val="auto"/>
                <w:kern w:val="0"/>
                <w:highlight w:val="none"/>
              </w:rPr>
              <w:t>mg/L</w:t>
            </w:r>
          </w:p>
        </w:tc>
        <w:tc>
          <w:tcPr>
            <w:tcW w:w="1899" w:type="dxa"/>
            <w:vAlign w:val="center"/>
          </w:tcPr>
          <w:p w14:paraId="274853A0">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snapToGrid w:val="0"/>
                <w:color w:val="auto"/>
                <w:kern w:val="0"/>
                <w:highlight w:val="none"/>
              </w:rPr>
              <w:t>meq/L</w:t>
            </w:r>
          </w:p>
        </w:tc>
      </w:tr>
      <w:tr w14:paraId="7B151C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restart"/>
            <w:vAlign w:val="center"/>
          </w:tcPr>
          <w:p w14:paraId="1628E79B">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阳</w:t>
            </w:r>
          </w:p>
          <w:p w14:paraId="3A49F50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离</w:t>
            </w:r>
          </w:p>
          <w:p w14:paraId="424A17F0">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子</w:t>
            </w:r>
          </w:p>
        </w:tc>
        <w:tc>
          <w:tcPr>
            <w:tcW w:w="2067" w:type="dxa"/>
            <w:vMerge w:val="restart"/>
            <w:vAlign w:val="center"/>
          </w:tcPr>
          <w:p w14:paraId="2F851879">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vertAlign w:val="superscript"/>
              </w:rPr>
            </w:pPr>
            <w:r>
              <w:rPr>
                <w:rFonts w:hint="default" w:ascii="Times New Roman" w:hAnsi="Times New Roman" w:eastAsia="宋体" w:cs="Times New Roman"/>
                <w:snapToGrid w:val="0"/>
                <w:color w:val="auto"/>
                <w:kern w:val="0"/>
                <w:szCs w:val="21"/>
                <w:highlight w:val="none"/>
              </w:rPr>
              <w:t>K</w:t>
            </w:r>
            <w:r>
              <w:rPr>
                <w:rFonts w:hint="default" w:ascii="Times New Roman" w:hAnsi="Times New Roman" w:eastAsia="宋体" w:cs="Times New Roman"/>
                <w:snapToGrid w:val="0"/>
                <w:color w:val="auto"/>
                <w:kern w:val="0"/>
                <w:szCs w:val="21"/>
                <w:highlight w:val="none"/>
                <w:vertAlign w:val="superscript"/>
              </w:rPr>
              <w:t>+</w:t>
            </w:r>
            <w:r>
              <w:rPr>
                <w:rFonts w:hint="default" w:ascii="Times New Roman" w:hAnsi="Times New Roman" w:eastAsia="宋体" w:cs="Times New Roman"/>
                <w:snapToGrid w:val="0"/>
                <w:color w:val="auto"/>
                <w:kern w:val="0"/>
                <w:szCs w:val="21"/>
                <w:highlight w:val="none"/>
              </w:rPr>
              <w:t>+Na</w:t>
            </w:r>
            <w:r>
              <w:rPr>
                <w:rFonts w:hint="default" w:ascii="Times New Roman" w:hAnsi="Times New Roman" w:eastAsia="宋体" w:cs="Times New Roman"/>
                <w:snapToGrid w:val="0"/>
                <w:color w:val="auto"/>
                <w:kern w:val="0"/>
                <w:szCs w:val="21"/>
                <w:highlight w:val="none"/>
                <w:vertAlign w:val="superscript"/>
              </w:rPr>
              <w:t>+</w:t>
            </w:r>
          </w:p>
          <w:p w14:paraId="20089BF9">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Ca</w:t>
            </w:r>
            <w:r>
              <w:rPr>
                <w:rFonts w:hint="default" w:ascii="Times New Roman" w:hAnsi="Times New Roman" w:eastAsia="宋体" w:cs="Times New Roman"/>
                <w:snapToGrid w:val="0"/>
                <w:color w:val="auto"/>
                <w:kern w:val="0"/>
                <w:szCs w:val="21"/>
                <w:highlight w:val="none"/>
                <w:vertAlign w:val="superscript"/>
              </w:rPr>
              <w:t>2+</w:t>
            </w:r>
          </w:p>
          <w:p w14:paraId="055453E9">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Mg</w:t>
            </w:r>
            <w:r>
              <w:rPr>
                <w:rFonts w:hint="default" w:ascii="Times New Roman" w:hAnsi="Times New Roman" w:eastAsia="宋体" w:cs="Times New Roman"/>
                <w:snapToGrid w:val="0"/>
                <w:color w:val="auto"/>
                <w:kern w:val="0"/>
                <w:szCs w:val="21"/>
                <w:highlight w:val="none"/>
                <w:vertAlign w:val="superscript"/>
              </w:rPr>
              <w:t>2+</w:t>
            </w:r>
          </w:p>
        </w:tc>
        <w:tc>
          <w:tcPr>
            <w:tcW w:w="1729" w:type="dxa"/>
            <w:vAlign w:val="center"/>
          </w:tcPr>
          <w:p w14:paraId="0F23CAD1">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21.5</w:t>
            </w:r>
          </w:p>
        </w:tc>
        <w:tc>
          <w:tcPr>
            <w:tcW w:w="1843" w:type="dxa"/>
            <w:vAlign w:val="center"/>
          </w:tcPr>
          <w:p w14:paraId="6B287E1A">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0.89 </w:t>
            </w:r>
          </w:p>
        </w:tc>
        <w:tc>
          <w:tcPr>
            <w:tcW w:w="1899" w:type="dxa"/>
            <w:vAlign w:val="center"/>
          </w:tcPr>
          <w:p w14:paraId="0B7AA4E8">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17.77 </w:t>
            </w:r>
          </w:p>
        </w:tc>
      </w:tr>
      <w:tr w14:paraId="181D2B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73FA85EB">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6CF07D7B">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1729" w:type="dxa"/>
            <w:vAlign w:val="center"/>
          </w:tcPr>
          <w:p w14:paraId="610AD44A">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2"/>
                <w:szCs w:val="22"/>
                <w:highlight w:val="none"/>
                <w:u w:val="none"/>
                <w:lang w:val="en-US" w:eastAsia="zh-CN" w:bidi="ar"/>
              </w:rPr>
              <w:t>52.9</w:t>
            </w:r>
          </w:p>
        </w:tc>
        <w:tc>
          <w:tcPr>
            <w:tcW w:w="1843" w:type="dxa"/>
            <w:vAlign w:val="center"/>
          </w:tcPr>
          <w:p w14:paraId="777EF76B">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2"/>
                <w:szCs w:val="22"/>
                <w:highlight w:val="none"/>
                <w:u w:val="none"/>
                <w:lang w:val="en-US" w:eastAsia="zh-CN" w:bidi="ar"/>
              </w:rPr>
              <w:t xml:space="preserve">2.65 </w:t>
            </w:r>
          </w:p>
        </w:tc>
        <w:tc>
          <w:tcPr>
            <w:tcW w:w="1899" w:type="dxa"/>
            <w:vAlign w:val="center"/>
          </w:tcPr>
          <w:p w14:paraId="5CE6AA39">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52.79 </w:t>
            </w:r>
          </w:p>
        </w:tc>
      </w:tr>
      <w:tr w14:paraId="11E995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3214924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5A3BA5CC">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1729" w:type="dxa"/>
            <w:vAlign w:val="center"/>
          </w:tcPr>
          <w:p w14:paraId="3D546950">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2"/>
                <w:szCs w:val="22"/>
                <w:highlight w:val="none"/>
                <w:u w:val="none"/>
                <w:lang w:val="en-US" w:eastAsia="zh-CN" w:bidi="ar"/>
              </w:rPr>
              <w:t>17.7</w:t>
            </w:r>
          </w:p>
        </w:tc>
        <w:tc>
          <w:tcPr>
            <w:tcW w:w="1843" w:type="dxa"/>
            <w:vAlign w:val="center"/>
          </w:tcPr>
          <w:p w14:paraId="6A58F29C">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2"/>
                <w:szCs w:val="22"/>
                <w:highlight w:val="none"/>
                <w:u w:val="none"/>
                <w:lang w:val="en-US" w:eastAsia="zh-CN" w:bidi="ar"/>
              </w:rPr>
              <w:t xml:space="preserve">1.48 </w:t>
            </w:r>
          </w:p>
        </w:tc>
        <w:tc>
          <w:tcPr>
            <w:tcW w:w="1899" w:type="dxa"/>
            <w:vAlign w:val="center"/>
          </w:tcPr>
          <w:p w14:paraId="71602EA0">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29.44 </w:t>
            </w:r>
          </w:p>
        </w:tc>
      </w:tr>
      <w:tr w14:paraId="6C420C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4924C60B">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Align w:val="center"/>
          </w:tcPr>
          <w:p w14:paraId="22CE756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总计</w:t>
            </w:r>
          </w:p>
        </w:tc>
        <w:tc>
          <w:tcPr>
            <w:tcW w:w="1729" w:type="dxa"/>
            <w:vAlign w:val="center"/>
          </w:tcPr>
          <w:p w14:paraId="657ACF5A">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92.1</w:t>
            </w:r>
          </w:p>
        </w:tc>
        <w:tc>
          <w:tcPr>
            <w:tcW w:w="1843" w:type="dxa"/>
            <w:vAlign w:val="center"/>
          </w:tcPr>
          <w:p w14:paraId="33718EDB">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5.01 </w:t>
            </w:r>
          </w:p>
        </w:tc>
        <w:tc>
          <w:tcPr>
            <w:tcW w:w="1899" w:type="dxa"/>
            <w:vAlign w:val="center"/>
          </w:tcPr>
          <w:p w14:paraId="26823543">
            <w:pPr>
              <w:keepNext w:val="0"/>
              <w:keepLines w:val="0"/>
              <w:widowControl/>
              <w:suppressLineNumbers w:val="0"/>
              <w:jc w:val="center"/>
              <w:textAlignment w:val="center"/>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100.00 </w:t>
            </w:r>
          </w:p>
        </w:tc>
      </w:tr>
      <w:tr w14:paraId="7E4EE9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restart"/>
            <w:vAlign w:val="center"/>
          </w:tcPr>
          <w:p w14:paraId="3CED31AC">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阴</w:t>
            </w:r>
          </w:p>
          <w:p w14:paraId="729771D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离</w:t>
            </w:r>
          </w:p>
          <w:p w14:paraId="36F6531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子</w:t>
            </w:r>
          </w:p>
        </w:tc>
        <w:tc>
          <w:tcPr>
            <w:tcW w:w="2067" w:type="dxa"/>
            <w:vMerge w:val="restart"/>
            <w:vAlign w:val="center"/>
          </w:tcPr>
          <w:p w14:paraId="22DD7BA2">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vertAlign w:val="superscript"/>
              </w:rPr>
            </w:pPr>
            <w:r>
              <w:rPr>
                <w:rFonts w:hint="default" w:ascii="Times New Roman" w:hAnsi="Times New Roman" w:eastAsia="宋体" w:cs="Times New Roman"/>
                <w:snapToGrid w:val="0"/>
                <w:color w:val="auto"/>
                <w:kern w:val="0"/>
                <w:szCs w:val="21"/>
                <w:highlight w:val="none"/>
              </w:rPr>
              <w:t>HCO</w:t>
            </w:r>
            <w:r>
              <w:rPr>
                <w:rFonts w:hint="default" w:ascii="Times New Roman" w:hAnsi="Times New Roman" w:eastAsia="宋体" w:cs="Times New Roman"/>
                <w:snapToGrid w:val="0"/>
                <w:color w:val="auto"/>
                <w:kern w:val="0"/>
                <w:szCs w:val="21"/>
                <w:highlight w:val="none"/>
                <w:vertAlign w:val="subscript"/>
              </w:rPr>
              <w:t>3</w:t>
            </w:r>
            <w:r>
              <w:rPr>
                <w:rFonts w:hint="default" w:ascii="Times New Roman" w:hAnsi="Times New Roman" w:eastAsia="宋体" w:cs="Times New Roman"/>
                <w:snapToGrid w:val="0"/>
                <w:color w:val="auto"/>
                <w:kern w:val="0"/>
                <w:szCs w:val="21"/>
                <w:highlight w:val="none"/>
                <w:vertAlign w:val="superscript"/>
              </w:rPr>
              <w:t>-</w:t>
            </w:r>
          </w:p>
          <w:p w14:paraId="25DCC22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vertAlign w:val="superscript"/>
              </w:rPr>
            </w:pPr>
            <w:r>
              <w:rPr>
                <w:rFonts w:hint="default" w:ascii="Times New Roman" w:hAnsi="Times New Roman" w:eastAsia="宋体" w:cs="Times New Roman"/>
                <w:snapToGrid w:val="0"/>
                <w:color w:val="auto"/>
                <w:kern w:val="0"/>
                <w:szCs w:val="21"/>
                <w:highlight w:val="none"/>
              </w:rPr>
              <w:t>Cl</w:t>
            </w:r>
            <w:r>
              <w:rPr>
                <w:rFonts w:hint="default" w:ascii="Times New Roman" w:hAnsi="Times New Roman" w:eastAsia="宋体" w:cs="Times New Roman"/>
                <w:snapToGrid w:val="0"/>
                <w:color w:val="auto"/>
                <w:kern w:val="0"/>
                <w:szCs w:val="21"/>
                <w:highlight w:val="none"/>
                <w:vertAlign w:val="superscript"/>
              </w:rPr>
              <w:t>-</w:t>
            </w:r>
          </w:p>
          <w:p w14:paraId="21104262">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SO</w:t>
            </w:r>
            <w:r>
              <w:rPr>
                <w:rFonts w:hint="default" w:ascii="Times New Roman" w:hAnsi="Times New Roman" w:eastAsia="宋体" w:cs="Times New Roman"/>
                <w:snapToGrid w:val="0"/>
                <w:color w:val="auto"/>
                <w:kern w:val="0"/>
                <w:szCs w:val="21"/>
                <w:highlight w:val="none"/>
                <w:vertAlign w:val="subscript"/>
              </w:rPr>
              <w:t>4</w:t>
            </w:r>
            <w:r>
              <w:rPr>
                <w:rFonts w:hint="default" w:ascii="Times New Roman" w:hAnsi="Times New Roman" w:eastAsia="宋体" w:cs="Times New Roman"/>
                <w:snapToGrid w:val="0"/>
                <w:color w:val="auto"/>
                <w:kern w:val="0"/>
                <w:szCs w:val="21"/>
                <w:highlight w:val="none"/>
                <w:vertAlign w:val="superscript"/>
              </w:rPr>
              <w:t>2-</w:t>
            </w:r>
          </w:p>
        </w:tc>
        <w:tc>
          <w:tcPr>
            <w:tcW w:w="1729" w:type="dxa"/>
            <w:vAlign w:val="center"/>
          </w:tcPr>
          <w:p w14:paraId="07CF6DA4">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164</w:t>
            </w:r>
          </w:p>
        </w:tc>
        <w:tc>
          <w:tcPr>
            <w:tcW w:w="1843" w:type="dxa"/>
            <w:vAlign w:val="center"/>
          </w:tcPr>
          <w:p w14:paraId="3BADDD5B">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2.69 </w:t>
            </w:r>
          </w:p>
        </w:tc>
        <w:tc>
          <w:tcPr>
            <w:tcW w:w="1899" w:type="dxa"/>
            <w:vAlign w:val="center"/>
          </w:tcPr>
          <w:p w14:paraId="1811CF6B">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50.07</w:t>
            </w:r>
          </w:p>
        </w:tc>
      </w:tr>
      <w:tr w14:paraId="55410C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346C4493">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388F92D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1729" w:type="dxa"/>
            <w:vAlign w:val="center"/>
          </w:tcPr>
          <w:p w14:paraId="77014155">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49.6</w:t>
            </w:r>
          </w:p>
        </w:tc>
        <w:tc>
          <w:tcPr>
            <w:tcW w:w="1843" w:type="dxa"/>
            <w:vAlign w:val="center"/>
          </w:tcPr>
          <w:p w14:paraId="0634440E">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1.40 </w:t>
            </w:r>
          </w:p>
        </w:tc>
        <w:tc>
          <w:tcPr>
            <w:tcW w:w="1899" w:type="dxa"/>
            <w:vAlign w:val="center"/>
          </w:tcPr>
          <w:p w14:paraId="1E238F66">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26.02</w:t>
            </w:r>
          </w:p>
        </w:tc>
      </w:tr>
      <w:tr w14:paraId="1BEF31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3B84B44A">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6D05468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1729" w:type="dxa"/>
            <w:vAlign w:val="center"/>
          </w:tcPr>
          <w:p w14:paraId="7E70C751">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61.6</w:t>
            </w:r>
          </w:p>
        </w:tc>
        <w:tc>
          <w:tcPr>
            <w:tcW w:w="1843" w:type="dxa"/>
            <w:vAlign w:val="center"/>
          </w:tcPr>
          <w:p w14:paraId="479B79DE">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1.2833</w:t>
            </w:r>
          </w:p>
        </w:tc>
        <w:tc>
          <w:tcPr>
            <w:tcW w:w="1899" w:type="dxa"/>
            <w:vAlign w:val="center"/>
          </w:tcPr>
          <w:p w14:paraId="329F14D6">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23.90</w:t>
            </w:r>
          </w:p>
        </w:tc>
      </w:tr>
      <w:tr w14:paraId="229A82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4254950D">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Align w:val="center"/>
          </w:tcPr>
          <w:p w14:paraId="41E6E8B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总计</w:t>
            </w:r>
          </w:p>
        </w:tc>
        <w:tc>
          <w:tcPr>
            <w:tcW w:w="1729" w:type="dxa"/>
            <w:vAlign w:val="center"/>
          </w:tcPr>
          <w:p w14:paraId="5279A764">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275.2</w:t>
            </w:r>
          </w:p>
        </w:tc>
        <w:tc>
          <w:tcPr>
            <w:tcW w:w="1843" w:type="dxa"/>
            <w:vAlign w:val="center"/>
          </w:tcPr>
          <w:p w14:paraId="2017800C">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5.37</w:t>
            </w:r>
          </w:p>
        </w:tc>
        <w:tc>
          <w:tcPr>
            <w:tcW w:w="1899" w:type="dxa"/>
            <w:vAlign w:val="center"/>
          </w:tcPr>
          <w:p w14:paraId="4098023C">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100.00 </w:t>
            </w:r>
          </w:p>
        </w:tc>
      </w:tr>
      <w:tr w14:paraId="4F4EE9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3233" w:type="dxa"/>
            <w:gridSpan w:val="2"/>
            <w:vAlign w:val="center"/>
          </w:tcPr>
          <w:p w14:paraId="1C84A66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3#</w:t>
            </w:r>
          </w:p>
        </w:tc>
        <w:tc>
          <w:tcPr>
            <w:tcW w:w="1729" w:type="dxa"/>
            <w:vAlign w:val="center"/>
          </w:tcPr>
          <w:p w14:paraId="27F07145">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snapToGrid w:val="0"/>
                <w:color w:val="auto"/>
                <w:kern w:val="0"/>
                <w:highlight w:val="none"/>
              </w:rPr>
              <w:t>mg/L</w:t>
            </w:r>
          </w:p>
        </w:tc>
        <w:tc>
          <w:tcPr>
            <w:tcW w:w="1843" w:type="dxa"/>
            <w:vAlign w:val="center"/>
          </w:tcPr>
          <w:p w14:paraId="4E36323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snapToGrid w:val="0"/>
                <w:color w:val="auto"/>
                <w:kern w:val="0"/>
                <w:highlight w:val="none"/>
              </w:rPr>
              <w:t>mg/L</w:t>
            </w:r>
          </w:p>
        </w:tc>
        <w:tc>
          <w:tcPr>
            <w:tcW w:w="1899" w:type="dxa"/>
            <w:vAlign w:val="center"/>
          </w:tcPr>
          <w:p w14:paraId="10315322">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highlight w:val="none"/>
              </w:rPr>
            </w:pPr>
            <w:r>
              <w:rPr>
                <w:rFonts w:hint="default" w:ascii="Times New Roman" w:hAnsi="Times New Roman" w:eastAsia="宋体" w:cs="Times New Roman"/>
                <w:snapToGrid w:val="0"/>
                <w:color w:val="auto"/>
                <w:kern w:val="0"/>
                <w:highlight w:val="none"/>
              </w:rPr>
              <w:t>meq/L</w:t>
            </w:r>
          </w:p>
        </w:tc>
      </w:tr>
      <w:tr w14:paraId="6EB72F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restart"/>
            <w:vAlign w:val="center"/>
          </w:tcPr>
          <w:p w14:paraId="2150D18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阳</w:t>
            </w:r>
          </w:p>
          <w:p w14:paraId="3481F38B">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离</w:t>
            </w:r>
          </w:p>
          <w:p w14:paraId="7868DF6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子</w:t>
            </w:r>
          </w:p>
        </w:tc>
        <w:tc>
          <w:tcPr>
            <w:tcW w:w="2067" w:type="dxa"/>
            <w:vMerge w:val="restart"/>
            <w:vAlign w:val="center"/>
          </w:tcPr>
          <w:p w14:paraId="6A4E7BCE">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vertAlign w:val="superscript"/>
              </w:rPr>
            </w:pPr>
            <w:r>
              <w:rPr>
                <w:rFonts w:hint="default" w:ascii="Times New Roman" w:hAnsi="Times New Roman" w:eastAsia="宋体" w:cs="Times New Roman"/>
                <w:snapToGrid w:val="0"/>
                <w:color w:val="auto"/>
                <w:kern w:val="0"/>
                <w:szCs w:val="21"/>
                <w:highlight w:val="none"/>
              </w:rPr>
              <w:t>K</w:t>
            </w:r>
            <w:r>
              <w:rPr>
                <w:rFonts w:hint="default" w:ascii="Times New Roman" w:hAnsi="Times New Roman" w:eastAsia="宋体" w:cs="Times New Roman"/>
                <w:snapToGrid w:val="0"/>
                <w:color w:val="auto"/>
                <w:kern w:val="0"/>
                <w:szCs w:val="21"/>
                <w:highlight w:val="none"/>
                <w:vertAlign w:val="superscript"/>
              </w:rPr>
              <w:t>+</w:t>
            </w:r>
            <w:r>
              <w:rPr>
                <w:rFonts w:hint="default" w:ascii="Times New Roman" w:hAnsi="Times New Roman" w:eastAsia="宋体" w:cs="Times New Roman"/>
                <w:snapToGrid w:val="0"/>
                <w:color w:val="auto"/>
                <w:kern w:val="0"/>
                <w:szCs w:val="21"/>
                <w:highlight w:val="none"/>
              </w:rPr>
              <w:t>+Na</w:t>
            </w:r>
            <w:r>
              <w:rPr>
                <w:rFonts w:hint="default" w:ascii="Times New Roman" w:hAnsi="Times New Roman" w:eastAsia="宋体" w:cs="Times New Roman"/>
                <w:snapToGrid w:val="0"/>
                <w:color w:val="auto"/>
                <w:kern w:val="0"/>
                <w:szCs w:val="21"/>
                <w:highlight w:val="none"/>
                <w:vertAlign w:val="superscript"/>
              </w:rPr>
              <w:t>+</w:t>
            </w:r>
          </w:p>
          <w:p w14:paraId="5FF07982">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Ca</w:t>
            </w:r>
            <w:r>
              <w:rPr>
                <w:rFonts w:hint="default" w:ascii="Times New Roman" w:hAnsi="Times New Roman" w:eastAsia="宋体" w:cs="Times New Roman"/>
                <w:snapToGrid w:val="0"/>
                <w:color w:val="auto"/>
                <w:kern w:val="0"/>
                <w:szCs w:val="21"/>
                <w:highlight w:val="none"/>
                <w:vertAlign w:val="superscript"/>
              </w:rPr>
              <w:t>2+</w:t>
            </w:r>
          </w:p>
          <w:p w14:paraId="27724ABE">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Mg</w:t>
            </w:r>
            <w:r>
              <w:rPr>
                <w:rFonts w:hint="default" w:ascii="Times New Roman" w:hAnsi="Times New Roman" w:eastAsia="宋体" w:cs="Times New Roman"/>
                <w:snapToGrid w:val="0"/>
                <w:color w:val="auto"/>
                <w:kern w:val="0"/>
                <w:szCs w:val="21"/>
                <w:highlight w:val="none"/>
                <w:vertAlign w:val="superscript"/>
              </w:rPr>
              <w:t>2+</w:t>
            </w:r>
          </w:p>
        </w:tc>
        <w:tc>
          <w:tcPr>
            <w:tcW w:w="1729" w:type="dxa"/>
            <w:vAlign w:val="center"/>
          </w:tcPr>
          <w:p w14:paraId="66AA1EAF">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11.98</w:t>
            </w:r>
          </w:p>
        </w:tc>
        <w:tc>
          <w:tcPr>
            <w:tcW w:w="1843" w:type="dxa"/>
            <w:vAlign w:val="center"/>
          </w:tcPr>
          <w:p w14:paraId="2767FA3D">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0.48 </w:t>
            </w:r>
          </w:p>
        </w:tc>
        <w:tc>
          <w:tcPr>
            <w:tcW w:w="1899" w:type="dxa"/>
            <w:vAlign w:val="center"/>
          </w:tcPr>
          <w:p w14:paraId="5AF7C7C1">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15.34 </w:t>
            </w:r>
          </w:p>
        </w:tc>
      </w:tr>
      <w:tr w14:paraId="0F58C7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04B55CE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3CB9D55F">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1729" w:type="dxa"/>
            <w:vAlign w:val="center"/>
          </w:tcPr>
          <w:p w14:paraId="403B73FB">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33.2</w:t>
            </w:r>
          </w:p>
        </w:tc>
        <w:tc>
          <w:tcPr>
            <w:tcW w:w="1843" w:type="dxa"/>
            <w:vAlign w:val="center"/>
          </w:tcPr>
          <w:p w14:paraId="43DD2F30">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1.66 </w:t>
            </w:r>
          </w:p>
        </w:tc>
        <w:tc>
          <w:tcPr>
            <w:tcW w:w="1899" w:type="dxa"/>
            <w:vAlign w:val="center"/>
          </w:tcPr>
          <w:p w14:paraId="17681776">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52.83 </w:t>
            </w:r>
          </w:p>
        </w:tc>
      </w:tr>
      <w:tr w14:paraId="3AC01A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5BE01991">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3F41C889">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1729" w:type="dxa"/>
            <w:vAlign w:val="center"/>
          </w:tcPr>
          <w:p w14:paraId="59B70915">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12</w:t>
            </w:r>
          </w:p>
        </w:tc>
        <w:tc>
          <w:tcPr>
            <w:tcW w:w="1843" w:type="dxa"/>
            <w:vAlign w:val="center"/>
          </w:tcPr>
          <w:p w14:paraId="5DE4583F">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1.00 </w:t>
            </w:r>
          </w:p>
        </w:tc>
        <w:tc>
          <w:tcPr>
            <w:tcW w:w="1899" w:type="dxa"/>
            <w:vAlign w:val="center"/>
          </w:tcPr>
          <w:p w14:paraId="1C1A5F20">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31.83 </w:t>
            </w:r>
          </w:p>
        </w:tc>
      </w:tr>
      <w:tr w14:paraId="0F578D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76BB0779">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Align w:val="center"/>
          </w:tcPr>
          <w:p w14:paraId="001A9616">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总计</w:t>
            </w:r>
          </w:p>
        </w:tc>
        <w:tc>
          <w:tcPr>
            <w:tcW w:w="1729" w:type="dxa"/>
            <w:vAlign w:val="center"/>
          </w:tcPr>
          <w:p w14:paraId="16FC777A">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57.18</w:t>
            </w:r>
          </w:p>
        </w:tc>
        <w:tc>
          <w:tcPr>
            <w:tcW w:w="1843" w:type="dxa"/>
            <w:vAlign w:val="center"/>
          </w:tcPr>
          <w:p w14:paraId="6E80409C">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3.14 </w:t>
            </w:r>
          </w:p>
        </w:tc>
        <w:tc>
          <w:tcPr>
            <w:tcW w:w="1899" w:type="dxa"/>
            <w:vAlign w:val="center"/>
          </w:tcPr>
          <w:p w14:paraId="493B9F35">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100.00 </w:t>
            </w:r>
          </w:p>
        </w:tc>
      </w:tr>
      <w:tr w14:paraId="7E98B8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restart"/>
            <w:vAlign w:val="center"/>
          </w:tcPr>
          <w:p w14:paraId="2CED40A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阴</w:t>
            </w:r>
          </w:p>
          <w:p w14:paraId="24D601F0">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离</w:t>
            </w:r>
          </w:p>
          <w:p w14:paraId="411521AA">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子</w:t>
            </w:r>
          </w:p>
        </w:tc>
        <w:tc>
          <w:tcPr>
            <w:tcW w:w="2067" w:type="dxa"/>
            <w:vMerge w:val="restart"/>
            <w:vAlign w:val="center"/>
          </w:tcPr>
          <w:p w14:paraId="62B9498D">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vertAlign w:val="superscript"/>
              </w:rPr>
            </w:pPr>
            <w:r>
              <w:rPr>
                <w:rFonts w:hint="default" w:ascii="Times New Roman" w:hAnsi="Times New Roman" w:eastAsia="宋体" w:cs="Times New Roman"/>
                <w:snapToGrid w:val="0"/>
                <w:color w:val="auto"/>
                <w:kern w:val="0"/>
                <w:szCs w:val="21"/>
                <w:highlight w:val="none"/>
              </w:rPr>
              <w:t>HCO</w:t>
            </w:r>
            <w:r>
              <w:rPr>
                <w:rFonts w:hint="default" w:ascii="Times New Roman" w:hAnsi="Times New Roman" w:eastAsia="宋体" w:cs="Times New Roman"/>
                <w:snapToGrid w:val="0"/>
                <w:color w:val="auto"/>
                <w:kern w:val="0"/>
                <w:szCs w:val="21"/>
                <w:highlight w:val="none"/>
                <w:vertAlign w:val="subscript"/>
              </w:rPr>
              <w:t>3</w:t>
            </w:r>
            <w:r>
              <w:rPr>
                <w:rFonts w:hint="default" w:ascii="Times New Roman" w:hAnsi="Times New Roman" w:eastAsia="宋体" w:cs="Times New Roman"/>
                <w:snapToGrid w:val="0"/>
                <w:color w:val="auto"/>
                <w:kern w:val="0"/>
                <w:szCs w:val="21"/>
                <w:highlight w:val="none"/>
                <w:vertAlign w:val="superscript"/>
              </w:rPr>
              <w:t>-</w:t>
            </w:r>
          </w:p>
          <w:p w14:paraId="79479B6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vertAlign w:val="superscript"/>
              </w:rPr>
            </w:pPr>
            <w:r>
              <w:rPr>
                <w:rFonts w:hint="default" w:ascii="Times New Roman" w:hAnsi="Times New Roman" w:eastAsia="宋体" w:cs="Times New Roman"/>
                <w:snapToGrid w:val="0"/>
                <w:color w:val="auto"/>
                <w:kern w:val="0"/>
                <w:szCs w:val="21"/>
                <w:highlight w:val="none"/>
              </w:rPr>
              <w:t>Cl</w:t>
            </w:r>
            <w:r>
              <w:rPr>
                <w:rFonts w:hint="default" w:ascii="Times New Roman" w:hAnsi="Times New Roman" w:eastAsia="宋体" w:cs="Times New Roman"/>
                <w:snapToGrid w:val="0"/>
                <w:color w:val="auto"/>
                <w:kern w:val="0"/>
                <w:szCs w:val="21"/>
                <w:highlight w:val="none"/>
                <w:vertAlign w:val="superscript"/>
              </w:rPr>
              <w:t>-</w:t>
            </w:r>
          </w:p>
          <w:p w14:paraId="4B21E848">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SO</w:t>
            </w:r>
            <w:r>
              <w:rPr>
                <w:rFonts w:hint="default" w:ascii="Times New Roman" w:hAnsi="Times New Roman" w:eastAsia="宋体" w:cs="Times New Roman"/>
                <w:snapToGrid w:val="0"/>
                <w:color w:val="auto"/>
                <w:kern w:val="0"/>
                <w:szCs w:val="21"/>
                <w:highlight w:val="none"/>
                <w:vertAlign w:val="subscript"/>
              </w:rPr>
              <w:t>4</w:t>
            </w:r>
            <w:r>
              <w:rPr>
                <w:rFonts w:hint="default" w:ascii="Times New Roman" w:hAnsi="Times New Roman" w:eastAsia="宋体" w:cs="Times New Roman"/>
                <w:snapToGrid w:val="0"/>
                <w:color w:val="auto"/>
                <w:kern w:val="0"/>
                <w:szCs w:val="21"/>
                <w:highlight w:val="none"/>
                <w:vertAlign w:val="superscript"/>
              </w:rPr>
              <w:t>2-</w:t>
            </w:r>
          </w:p>
        </w:tc>
        <w:tc>
          <w:tcPr>
            <w:tcW w:w="1729" w:type="dxa"/>
            <w:vAlign w:val="center"/>
          </w:tcPr>
          <w:p w14:paraId="6ED8E39A">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196</w:t>
            </w:r>
          </w:p>
        </w:tc>
        <w:tc>
          <w:tcPr>
            <w:tcW w:w="1843" w:type="dxa"/>
            <w:vAlign w:val="center"/>
          </w:tcPr>
          <w:p w14:paraId="11A075CC">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3.21 </w:t>
            </w:r>
          </w:p>
        </w:tc>
        <w:tc>
          <w:tcPr>
            <w:tcW w:w="1899" w:type="dxa"/>
            <w:vAlign w:val="center"/>
          </w:tcPr>
          <w:p w14:paraId="53D3C77C">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98.90 </w:t>
            </w:r>
          </w:p>
        </w:tc>
      </w:tr>
      <w:tr w14:paraId="70F4B4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43EF2D56">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49AB0F0A">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1729" w:type="dxa"/>
            <w:vAlign w:val="center"/>
          </w:tcPr>
          <w:p w14:paraId="426CC175">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1.08</w:t>
            </w:r>
          </w:p>
        </w:tc>
        <w:tc>
          <w:tcPr>
            <w:tcW w:w="1843" w:type="dxa"/>
            <w:vAlign w:val="center"/>
          </w:tcPr>
          <w:p w14:paraId="614682A3">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0.03 </w:t>
            </w:r>
          </w:p>
        </w:tc>
        <w:tc>
          <w:tcPr>
            <w:tcW w:w="1899" w:type="dxa"/>
            <w:vAlign w:val="center"/>
          </w:tcPr>
          <w:p w14:paraId="690E9EF3">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0.94 </w:t>
            </w:r>
          </w:p>
        </w:tc>
      </w:tr>
      <w:tr w14:paraId="37AEEA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76B0413D">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Merge w:val="continue"/>
            <w:vAlign w:val="center"/>
          </w:tcPr>
          <w:p w14:paraId="62C3B1C7">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1729" w:type="dxa"/>
            <w:vAlign w:val="center"/>
          </w:tcPr>
          <w:p w14:paraId="0887F96F">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0</w:t>
            </w:r>
          </w:p>
        </w:tc>
        <w:tc>
          <w:tcPr>
            <w:tcW w:w="1843" w:type="dxa"/>
            <w:vAlign w:val="center"/>
          </w:tcPr>
          <w:p w14:paraId="6378DE81">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0</w:t>
            </w:r>
          </w:p>
        </w:tc>
        <w:tc>
          <w:tcPr>
            <w:tcW w:w="1899" w:type="dxa"/>
            <w:vAlign w:val="center"/>
          </w:tcPr>
          <w:p w14:paraId="2EFCEA22">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0</w:t>
            </w:r>
          </w:p>
        </w:tc>
      </w:tr>
      <w:tr w14:paraId="43D45C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66" w:type="dxa"/>
            <w:vMerge w:val="continue"/>
            <w:vAlign w:val="center"/>
          </w:tcPr>
          <w:p w14:paraId="4C56BEEE">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p>
        </w:tc>
        <w:tc>
          <w:tcPr>
            <w:tcW w:w="2067" w:type="dxa"/>
            <w:vAlign w:val="center"/>
          </w:tcPr>
          <w:p w14:paraId="36E79D1C">
            <w:pPr>
              <w:pStyle w:val="38"/>
              <w:pageBreakBefore w:val="0"/>
              <w:kinsoku/>
              <w:wordWrap w:val="0"/>
              <w:overflowPunct/>
              <w:topLinePunct/>
              <w:autoSpaceDE/>
              <w:autoSpaceDN/>
              <w:bidi w:val="0"/>
              <w:rPr>
                <w:rFonts w:hint="default" w:ascii="Times New Roman" w:hAnsi="Times New Roman" w:eastAsia="宋体" w:cs="Times New Roman"/>
                <w:snapToGrid w:val="0"/>
                <w:color w:val="auto"/>
                <w:kern w:val="0"/>
                <w:szCs w:val="21"/>
                <w:highlight w:val="none"/>
              </w:rPr>
            </w:pPr>
            <w:r>
              <w:rPr>
                <w:rFonts w:hint="default" w:ascii="Times New Roman" w:hAnsi="Times New Roman" w:eastAsia="宋体" w:cs="Times New Roman"/>
                <w:snapToGrid w:val="0"/>
                <w:color w:val="auto"/>
                <w:kern w:val="0"/>
                <w:szCs w:val="21"/>
                <w:highlight w:val="none"/>
              </w:rPr>
              <w:t>总计</w:t>
            </w:r>
          </w:p>
        </w:tc>
        <w:tc>
          <w:tcPr>
            <w:tcW w:w="1729" w:type="dxa"/>
            <w:vAlign w:val="center"/>
          </w:tcPr>
          <w:p w14:paraId="6E82FD2E">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197.08</w:t>
            </w:r>
          </w:p>
        </w:tc>
        <w:tc>
          <w:tcPr>
            <w:tcW w:w="1843" w:type="dxa"/>
            <w:vAlign w:val="center"/>
          </w:tcPr>
          <w:p w14:paraId="3237CEE3">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lang w:val="en-US" w:eastAsia="zh-CN"/>
              </w:rPr>
            </w:pPr>
            <w:r>
              <w:rPr>
                <w:rFonts w:hint="default" w:ascii="Times New Roman" w:hAnsi="Times New Roman" w:eastAsia="宋体" w:cs="Times New Roman"/>
                <w:snapToGrid w:val="0"/>
                <w:color w:val="auto"/>
                <w:kern w:val="0"/>
                <w:sz w:val="21"/>
                <w:szCs w:val="21"/>
                <w:highlight w:val="none"/>
                <w:lang w:val="en-US" w:eastAsia="zh-CN"/>
              </w:rPr>
              <w:t>3.24</w:t>
            </w:r>
          </w:p>
        </w:tc>
        <w:tc>
          <w:tcPr>
            <w:tcW w:w="1899" w:type="dxa"/>
            <w:vAlign w:val="center"/>
          </w:tcPr>
          <w:p w14:paraId="2208BA00">
            <w:pPr>
              <w:keepNext w:val="0"/>
              <w:keepLines w:val="0"/>
              <w:widowControl/>
              <w:suppressLineNumbers w:val="0"/>
              <w:jc w:val="center"/>
              <w:textAlignment w:val="center"/>
              <w:rPr>
                <w:rFonts w:hint="default" w:ascii="Times New Roman" w:hAnsi="Times New Roman" w:eastAsia="宋体" w:cs="Times New Roman"/>
                <w:snapToGrid w:val="0"/>
                <w:color w:val="auto"/>
                <w:kern w:val="0"/>
                <w:sz w:val="21"/>
                <w:szCs w:val="21"/>
                <w:highlight w:val="none"/>
              </w:rPr>
            </w:pPr>
            <w:r>
              <w:rPr>
                <w:rFonts w:hint="default" w:ascii="Times New Roman" w:hAnsi="Times New Roman" w:eastAsia="宋体" w:cs="Times New Roman"/>
                <w:i w:val="0"/>
                <w:iCs w:val="0"/>
                <w:snapToGrid w:val="0"/>
                <w:color w:val="auto"/>
                <w:kern w:val="0"/>
                <w:sz w:val="21"/>
                <w:szCs w:val="21"/>
                <w:highlight w:val="none"/>
                <w:u w:val="none"/>
                <w:lang w:val="en-US" w:eastAsia="zh-CN" w:bidi="ar"/>
              </w:rPr>
              <w:t xml:space="preserve">100.00 </w:t>
            </w:r>
          </w:p>
        </w:tc>
      </w:tr>
    </w:tbl>
    <w:p w14:paraId="1BFF7C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kern w:val="2"/>
          <w:sz w:val="24"/>
          <w:szCs w:val="24"/>
          <w:highlight w:val="none"/>
          <w:lang w:val="en-US" w:eastAsia="zh-CN" w:bidi="ar"/>
        </w:rPr>
      </w:pPr>
      <w:r>
        <w:rPr>
          <w:rFonts w:hint="default" w:ascii="Times New Roman" w:hAnsi="Times New Roman" w:eastAsia="宋体" w:cs="Times New Roman"/>
          <w:color w:val="auto"/>
          <w:kern w:val="2"/>
          <w:sz w:val="24"/>
          <w:szCs w:val="24"/>
          <w:highlight w:val="none"/>
          <w:lang w:val="en-US" w:eastAsia="zh-CN" w:bidi="ar"/>
        </w:rPr>
        <w:t>由上表可知，含量大于25%的阳离子毫克当量百分比最大的是</w:t>
      </w:r>
      <w:r>
        <w:rPr>
          <w:rFonts w:hint="default" w:ascii="Times New Roman" w:hAnsi="Times New Roman" w:eastAsia="宋体" w:cs="Times New Roman"/>
          <w:color w:val="auto"/>
          <w:spacing w:val="-2"/>
          <w:sz w:val="24"/>
          <w:szCs w:val="24"/>
          <w:highlight w:val="none"/>
        </w:rPr>
        <w:t>Ca</w:t>
      </w:r>
      <w:r>
        <w:rPr>
          <w:rFonts w:hint="default" w:ascii="Times New Roman" w:hAnsi="Times New Roman" w:eastAsia="宋体" w:cs="Times New Roman"/>
          <w:color w:val="auto"/>
          <w:spacing w:val="-2"/>
          <w:sz w:val="24"/>
          <w:szCs w:val="24"/>
          <w:highlight w:val="none"/>
          <w:vertAlign w:val="superscript"/>
        </w:rPr>
        <w:t>2+</w:t>
      </w:r>
      <w:r>
        <w:rPr>
          <w:rFonts w:hint="default" w:ascii="Times New Roman" w:hAnsi="Times New Roman" w:eastAsia="宋体" w:cs="Times New Roman"/>
          <w:color w:val="auto"/>
          <w:spacing w:val="-2"/>
          <w:sz w:val="24"/>
          <w:szCs w:val="24"/>
          <w:highlight w:val="none"/>
          <w:vertAlign w:val="baseline"/>
          <w:lang w:eastAsia="zh-CN"/>
        </w:rPr>
        <w:t>、Mg</w:t>
      </w:r>
      <w:r>
        <w:rPr>
          <w:rFonts w:hint="default" w:ascii="Times New Roman" w:hAnsi="Times New Roman" w:eastAsia="宋体" w:cs="Times New Roman"/>
          <w:color w:val="auto"/>
          <w:spacing w:val="-2"/>
          <w:sz w:val="24"/>
          <w:szCs w:val="24"/>
          <w:highlight w:val="none"/>
          <w:vertAlign w:val="superscript"/>
          <w:lang w:eastAsia="zh-CN"/>
        </w:rPr>
        <w:t>2+</w:t>
      </w:r>
      <w:r>
        <w:rPr>
          <w:rFonts w:hint="default" w:ascii="Times New Roman" w:hAnsi="Times New Roman" w:eastAsia="宋体" w:cs="Times New Roman"/>
          <w:color w:val="auto"/>
          <w:kern w:val="2"/>
          <w:sz w:val="24"/>
          <w:szCs w:val="24"/>
          <w:highlight w:val="none"/>
          <w:lang w:val="en-US" w:eastAsia="zh-CN" w:bidi="ar"/>
        </w:rPr>
        <w:t>，含量大于25%的阴离子毫克当量百分比最大的是</w:t>
      </w:r>
      <w:r>
        <w:rPr>
          <w:rFonts w:hint="default" w:ascii="Times New Roman" w:hAnsi="Times New Roman" w:eastAsia="宋体" w:cs="Times New Roman"/>
          <w:color w:val="auto"/>
          <w:spacing w:val="-2"/>
          <w:sz w:val="24"/>
          <w:szCs w:val="24"/>
          <w:highlight w:val="none"/>
        </w:rPr>
        <w:t>HCO</w:t>
      </w:r>
      <w:r>
        <w:rPr>
          <w:rFonts w:hint="default" w:ascii="Times New Roman" w:hAnsi="Times New Roman" w:eastAsia="宋体" w:cs="Times New Roman"/>
          <w:color w:val="auto"/>
          <w:spacing w:val="-2"/>
          <w:sz w:val="24"/>
          <w:szCs w:val="24"/>
          <w:highlight w:val="none"/>
          <w:vertAlign w:val="subscript"/>
        </w:rPr>
        <w:t>3</w:t>
      </w:r>
      <w:r>
        <w:rPr>
          <w:rFonts w:hint="default" w:ascii="Times New Roman" w:hAnsi="Times New Roman" w:eastAsia="宋体" w:cs="Times New Roman"/>
          <w:color w:val="auto"/>
          <w:spacing w:val="-2"/>
          <w:sz w:val="24"/>
          <w:szCs w:val="24"/>
          <w:highlight w:val="none"/>
          <w:vertAlign w:val="subscript"/>
          <w:lang w:val="en-US" w:eastAsia="zh-CN"/>
        </w:rPr>
        <w:t>-</w:t>
      </w:r>
      <w:r>
        <w:rPr>
          <w:rFonts w:hint="default" w:ascii="Times New Roman" w:hAnsi="Times New Roman" w:eastAsia="宋体" w:cs="Times New Roman"/>
          <w:color w:val="auto"/>
          <w:kern w:val="2"/>
          <w:sz w:val="24"/>
          <w:szCs w:val="24"/>
          <w:highlight w:val="none"/>
          <w:lang w:val="en-US" w:eastAsia="zh-CN" w:bidi="ar"/>
        </w:rPr>
        <w:t>，结合舒卡列夫分类表，确定评价区地下水化学类型为</w:t>
      </w:r>
      <w:r>
        <w:rPr>
          <w:rFonts w:hint="default" w:ascii="Times New Roman" w:hAnsi="Times New Roman" w:eastAsia="宋体" w:cs="Times New Roman"/>
          <w:b w:val="0"/>
          <w:bCs w:val="0"/>
          <w:color w:val="auto"/>
          <w:sz w:val="24"/>
          <w:szCs w:val="24"/>
          <w:highlight w:val="none"/>
        </w:rPr>
        <w:t>HCO</w:t>
      </w:r>
      <w:r>
        <w:rPr>
          <w:rFonts w:hint="default" w:ascii="Times New Roman" w:hAnsi="Times New Roman" w:eastAsia="宋体" w:cs="Times New Roman"/>
          <w:b w:val="0"/>
          <w:bCs w:val="0"/>
          <w:color w:val="auto"/>
          <w:sz w:val="24"/>
          <w:szCs w:val="24"/>
          <w:highlight w:val="none"/>
          <w:vertAlign w:val="subscript"/>
        </w:rPr>
        <w:t>3</w:t>
      </w:r>
      <w:r>
        <w:rPr>
          <w:rFonts w:hint="default" w:ascii="Times New Roman" w:hAnsi="Times New Roman" w:eastAsia="宋体" w:cs="Times New Roman"/>
          <w:b w:val="0"/>
          <w:bCs w:val="0"/>
          <w:color w:val="auto"/>
          <w:sz w:val="24"/>
          <w:szCs w:val="24"/>
          <w:highlight w:val="none"/>
          <w:vertAlign w:val="superscript"/>
        </w:rPr>
        <w:t>-</w:t>
      </w:r>
      <w:r>
        <w:rPr>
          <w:rFonts w:hint="default" w:ascii="Times New Roman" w:hAnsi="Times New Roman" w:eastAsia="宋体" w:cs="Times New Roman"/>
          <w:b w:val="0"/>
          <w:bCs w:val="0"/>
          <w:color w:val="auto"/>
          <w:sz w:val="24"/>
          <w:szCs w:val="24"/>
          <w:highlight w:val="none"/>
          <w:vertAlign w:val="baseline"/>
          <w:lang w:val="en-US" w:eastAsia="zh-CN"/>
        </w:rPr>
        <w:t>-</w:t>
      </w:r>
      <w:r>
        <w:rPr>
          <w:rFonts w:hint="default" w:ascii="Times New Roman" w:hAnsi="Times New Roman" w:eastAsia="宋体" w:cs="Times New Roman"/>
          <w:b w:val="0"/>
          <w:bCs w:val="0"/>
          <w:color w:val="auto"/>
          <w:sz w:val="24"/>
          <w:szCs w:val="24"/>
          <w:highlight w:val="none"/>
        </w:rPr>
        <w:t>C</w:t>
      </w:r>
      <w:r>
        <w:rPr>
          <w:rFonts w:hint="default" w:ascii="Times New Roman" w:hAnsi="Times New Roman" w:eastAsia="宋体" w:cs="Times New Roman"/>
          <w:color w:val="auto"/>
          <w:sz w:val="24"/>
          <w:szCs w:val="24"/>
          <w:highlight w:val="none"/>
        </w:rPr>
        <w:t>a</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-Mg</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kern w:val="2"/>
          <w:sz w:val="24"/>
          <w:szCs w:val="24"/>
          <w:highlight w:val="none"/>
          <w:lang w:val="en-US" w:eastAsia="zh-CN" w:bidi="ar"/>
        </w:rPr>
        <w:t>型水。</w:t>
      </w:r>
    </w:p>
    <w:p w14:paraId="086DA95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zh-CN"/>
        </w:rPr>
      </w:pPr>
      <w:r>
        <w:rPr>
          <w:rFonts w:hint="default" w:ascii="Times New Roman" w:hAnsi="Times New Roman" w:eastAsia="宋体" w:cs="Times New Roman"/>
          <w:color w:val="auto"/>
          <w:sz w:val="24"/>
          <w:szCs w:val="24"/>
          <w:highlight w:val="none"/>
          <w:lang w:val="zh-CN"/>
        </w:rPr>
        <w:t>（3）</w:t>
      </w:r>
      <w:r>
        <w:rPr>
          <w:rFonts w:hint="default" w:ascii="Times New Roman" w:hAnsi="Times New Roman" w:eastAsia="宋体" w:cs="Times New Roman"/>
          <w:color w:val="auto"/>
          <w:kern w:val="2"/>
          <w:sz w:val="24"/>
          <w:szCs w:val="24"/>
          <w:highlight w:val="none"/>
          <w:lang w:val="en-US" w:eastAsia="zh-CN" w:bidi="ar"/>
        </w:rPr>
        <w:t>地下水环境现状评价结论</w:t>
      </w:r>
    </w:p>
    <w:p w14:paraId="4CAAC85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kern w:val="2"/>
          <w:sz w:val="24"/>
          <w:szCs w:val="24"/>
          <w:highlight w:val="none"/>
          <w:lang w:val="en-US" w:eastAsia="zh-CN" w:bidi="ar"/>
        </w:rPr>
        <w:t>根据地下水环境现状评价，项目评价区域各监测点监测因子均符合《地下水质量标准》（GB/T14848-2017）中Ⅲ类标准。</w:t>
      </w:r>
    </w:p>
    <w:p w14:paraId="59332B34">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53" w:name="_Toc32604"/>
      <w:r>
        <w:rPr>
          <w:rFonts w:hint="default" w:ascii="Times New Roman" w:hAnsi="Times New Roman" w:eastAsia="宋体" w:cs="Times New Roman"/>
          <w:b/>
          <w:bCs/>
          <w:color w:val="auto"/>
          <w:spacing w:val="-2"/>
          <w:sz w:val="24"/>
          <w:szCs w:val="24"/>
          <w:highlight w:val="none"/>
          <w:lang w:val="en-US" w:eastAsia="zh-CN"/>
        </w:rPr>
        <w:t>4.3.4噪声环境现状监测与评价</w:t>
      </w:r>
      <w:bookmarkEnd w:id="153"/>
    </w:p>
    <w:p w14:paraId="02B0D7AA">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4.3.4.1噪声环境质量现状检测</w:t>
      </w:r>
    </w:p>
    <w:p w14:paraId="5780F21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kern w:val="2"/>
          <w:sz w:val="24"/>
          <w:szCs w:val="24"/>
          <w:highlight w:val="none"/>
          <w:lang w:val="en-US" w:eastAsia="zh-CN" w:bidi="ar"/>
        </w:rPr>
      </w:pPr>
      <w:r>
        <w:rPr>
          <w:rFonts w:hint="default" w:ascii="Times New Roman" w:hAnsi="Times New Roman" w:eastAsia="宋体" w:cs="Times New Roman"/>
          <w:snapToGrid w:val="0"/>
          <w:color w:val="auto"/>
          <w:kern w:val="2"/>
          <w:sz w:val="24"/>
          <w:szCs w:val="24"/>
          <w:highlight w:val="none"/>
          <w:lang w:val="en-US" w:eastAsia="zh-CN" w:bidi="ar"/>
        </w:rPr>
        <w:t>（1）</w:t>
      </w:r>
      <w:r>
        <w:rPr>
          <w:rFonts w:hint="default" w:ascii="Times New Roman" w:hAnsi="Times New Roman" w:eastAsia="宋体" w:cs="Times New Roman"/>
          <w:color w:val="auto"/>
          <w:kern w:val="2"/>
          <w:sz w:val="24"/>
          <w:szCs w:val="24"/>
          <w:highlight w:val="none"/>
          <w:lang w:val="en-US" w:eastAsia="zh-CN" w:bidi="ar"/>
        </w:rPr>
        <w:t>监测布点</w:t>
      </w:r>
    </w:p>
    <w:p w14:paraId="236C7D8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kern w:val="2"/>
          <w:sz w:val="24"/>
          <w:szCs w:val="24"/>
          <w:highlight w:val="none"/>
          <w:lang w:val="en-US" w:eastAsia="zh-CN" w:bidi="ar"/>
        </w:rPr>
      </w:pPr>
      <w:r>
        <w:rPr>
          <w:rFonts w:hint="default" w:ascii="Times New Roman" w:hAnsi="Times New Roman" w:eastAsia="宋体" w:cs="Times New Roman"/>
          <w:color w:val="auto"/>
          <w:kern w:val="2"/>
          <w:sz w:val="24"/>
          <w:szCs w:val="24"/>
          <w:highlight w:val="none"/>
          <w:lang w:val="en-US" w:eastAsia="zh-CN" w:bidi="ar"/>
        </w:rPr>
        <w:t>本项目厂界外200m范围内无居民等敏感目标，故本次声环境质量现状监测点位主要为厂界东、南、西、北四个点位。</w:t>
      </w:r>
    </w:p>
    <w:p w14:paraId="38F9CC62">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outlineLvl w:val="9"/>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4695190" cy="3065780"/>
            <wp:effectExtent l="0" t="0" r="10160" b="127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82"/>
                    <a:stretch>
                      <a:fillRect/>
                    </a:stretch>
                  </pic:blipFill>
                  <pic:spPr>
                    <a:xfrm>
                      <a:off x="0" y="0"/>
                      <a:ext cx="4695190" cy="3065780"/>
                    </a:xfrm>
                    <a:prstGeom prst="rect">
                      <a:avLst/>
                    </a:prstGeom>
                    <a:noFill/>
                    <a:ln>
                      <a:noFill/>
                    </a:ln>
                  </pic:spPr>
                </pic:pic>
              </a:graphicData>
            </a:graphic>
          </wp:inline>
        </w:drawing>
      </w:r>
    </w:p>
    <w:p w14:paraId="23DA5001">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3"/>
          <w:sz w:val="24"/>
          <w:szCs w:val="24"/>
          <w:highlight w:val="none"/>
        </w:rPr>
        <w:t>表</w:t>
      </w:r>
      <w:r>
        <w:rPr>
          <w:rFonts w:hint="default" w:ascii="Times New Roman" w:hAnsi="Times New Roman" w:eastAsia="Times New Roman" w:cs="Times New Roman"/>
          <w:b/>
          <w:bCs/>
          <w:color w:val="auto"/>
          <w:spacing w:val="-3"/>
          <w:sz w:val="24"/>
          <w:szCs w:val="24"/>
          <w:highlight w:val="none"/>
        </w:rPr>
        <w:t>4.3-3</w:t>
      </w:r>
      <w:r>
        <w:rPr>
          <w:rFonts w:hint="default" w:ascii="Times New Roman" w:hAnsi="Times New Roman" w:eastAsia="宋体" w:cs="Times New Roman"/>
          <w:b/>
          <w:bCs/>
          <w:color w:val="auto"/>
          <w:spacing w:val="-3"/>
          <w:sz w:val="24"/>
          <w:szCs w:val="24"/>
          <w:highlight w:val="none"/>
        </w:rPr>
        <w:t>噪声监测点位示意图</w:t>
      </w:r>
    </w:p>
    <w:p w14:paraId="2700DE25">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right="0" w:rightChars="0" w:firstLine="468" w:firstLineChars="200"/>
        <w:jc w:val="both"/>
        <w:textAlignment w:val="baseline"/>
        <w:rPr>
          <w:rFonts w:hint="default" w:ascii="Times New Roman" w:hAnsi="Times New Roman" w:eastAsia="宋体" w:cs="Times New Roman"/>
          <w:snapToGrid w:val="0"/>
          <w:color w:val="auto"/>
          <w:spacing w:val="-3"/>
          <w:kern w:val="0"/>
          <w:sz w:val="24"/>
          <w:szCs w:val="24"/>
          <w:highlight w:val="none"/>
          <w:lang w:val="en-US" w:eastAsia="zh-CN" w:bidi="ar-SA"/>
        </w:rPr>
      </w:pPr>
      <w:r>
        <w:rPr>
          <w:rFonts w:hint="default" w:ascii="Times New Roman" w:hAnsi="Times New Roman" w:eastAsia="宋体" w:cs="Times New Roman"/>
          <w:snapToGrid w:val="0"/>
          <w:color w:val="auto"/>
          <w:spacing w:val="-3"/>
          <w:kern w:val="0"/>
          <w:sz w:val="24"/>
          <w:szCs w:val="24"/>
          <w:highlight w:val="none"/>
          <w:lang w:val="en-US" w:eastAsia="zh-CN" w:bidi="ar-SA"/>
        </w:rPr>
        <w:t>（2）监测时间、频率</w:t>
      </w:r>
    </w:p>
    <w:p w14:paraId="72DEE1B5">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right="0" w:rightChars="0" w:firstLine="468" w:firstLineChars="200"/>
        <w:jc w:val="both"/>
        <w:textAlignment w:val="baseline"/>
        <w:rPr>
          <w:rFonts w:hint="default" w:ascii="Times New Roman" w:hAnsi="Times New Roman" w:eastAsia="宋体" w:cs="Times New Roman"/>
          <w:snapToGrid w:val="0"/>
          <w:color w:val="auto"/>
          <w:spacing w:val="-3"/>
          <w:kern w:val="0"/>
          <w:sz w:val="24"/>
          <w:szCs w:val="24"/>
          <w:highlight w:val="none"/>
          <w:lang w:val="en-US" w:eastAsia="zh-CN" w:bidi="ar-SA"/>
        </w:rPr>
      </w:pPr>
      <w:r>
        <w:rPr>
          <w:rFonts w:hint="default" w:ascii="Times New Roman" w:hAnsi="Times New Roman" w:eastAsia="宋体" w:cs="Times New Roman"/>
          <w:snapToGrid w:val="0"/>
          <w:color w:val="auto"/>
          <w:spacing w:val="-3"/>
          <w:kern w:val="0"/>
          <w:sz w:val="24"/>
          <w:szCs w:val="24"/>
          <w:highlight w:val="none"/>
          <w:lang w:val="en-US" w:eastAsia="zh-CN" w:bidi="ar-SA"/>
        </w:rPr>
        <w:t>2025年5月17日</w:t>
      </w:r>
      <w:r>
        <w:rPr>
          <w:rFonts w:hint="default" w:ascii="Times New Roman" w:hAnsi="Times New Roman" w:eastAsia="宋体" w:cs="Times New Roman"/>
          <w:snapToGrid w:val="0"/>
          <w:color w:val="auto"/>
          <w:spacing w:val="-3"/>
          <w:kern w:val="0"/>
          <w:sz w:val="24"/>
          <w:szCs w:val="24"/>
          <w:highlight w:val="none"/>
          <w:lang w:val="zh-CN" w:eastAsia="zh-CN" w:bidi="ar-SA"/>
        </w:rPr>
        <w:t>~</w:t>
      </w:r>
      <w:r>
        <w:rPr>
          <w:rFonts w:hint="default" w:ascii="Times New Roman" w:hAnsi="Times New Roman" w:eastAsia="宋体" w:cs="Times New Roman"/>
          <w:snapToGrid w:val="0"/>
          <w:color w:val="auto"/>
          <w:spacing w:val="-3"/>
          <w:kern w:val="0"/>
          <w:sz w:val="24"/>
          <w:szCs w:val="24"/>
          <w:highlight w:val="none"/>
          <w:lang w:val="en-US" w:eastAsia="zh-CN" w:bidi="ar-SA"/>
        </w:rPr>
        <w:t>2025年5月18日</w:t>
      </w:r>
      <w:r>
        <w:rPr>
          <w:rFonts w:hint="default" w:ascii="Times New Roman" w:hAnsi="Times New Roman" w:eastAsia="宋体" w:cs="Times New Roman"/>
          <w:snapToGrid w:val="0"/>
          <w:color w:val="auto"/>
          <w:spacing w:val="-3"/>
          <w:kern w:val="0"/>
          <w:sz w:val="24"/>
          <w:szCs w:val="24"/>
          <w:highlight w:val="none"/>
          <w:lang w:val="zh-CN" w:eastAsia="zh-CN" w:bidi="ar-SA"/>
        </w:rPr>
        <w:t>，连续</w:t>
      </w:r>
      <w:r>
        <w:rPr>
          <w:rFonts w:hint="default" w:ascii="Times New Roman" w:hAnsi="Times New Roman" w:eastAsia="宋体" w:cs="Times New Roman"/>
          <w:snapToGrid w:val="0"/>
          <w:color w:val="auto"/>
          <w:spacing w:val="-3"/>
          <w:kern w:val="0"/>
          <w:sz w:val="24"/>
          <w:szCs w:val="24"/>
          <w:highlight w:val="none"/>
          <w:lang w:val="en-US" w:eastAsia="zh-CN" w:bidi="ar-SA"/>
        </w:rPr>
        <w:t>监测2</w:t>
      </w:r>
      <w:r>
        <w:rPr>
          <w:rFonts w:hint="default" w:ascii="Times New Roman" w:hAnsi="Times New Roman" w:eastAsia="宋体" w:cs="Times New Roman"/>
          <w:snapToGrid w:val="0"/>
          <w:color w:val="auto"/>
          <w:spacing w:val="-3"/>
          <w:kern w:val="0"/>
          <w:sz w:val="24"/>
          <w:szCs w:val="24"/>
          <w:highlight w:val="none"/>
          <w:lang w:val="zh-CN" w:eastAsia="zh-CN" w:bidi="ar-SA"/>
        </w:rPr>
        <w:t>天，昼、夜各监测1次</w:t>
      </w:r>
      <w:r>
        <w:rPr>
          <w:rFonts w:hint="default" w:ascii="Times New Roman" w:hAnsi="Times New Roman" w:eastAsia="宋体" w:cs="Times New Roman"/>
          <w:snapToGrid w:val="0"/>
          <w:color w:val="auto"/>
          <w:spacing w:val="-3"/>
          <w:kern w:val="0"/>
          <w:sz w:val="24"/>
          <w:szCs w:val="24"/>
          <w:highlight w:val="none"/>
          <w:lang w:val="en-US" w:eastAsia="zh-CN" w:bidi="ar-SA"/>
        </w:rPr>
        <w:t>。</w:t>
      </w:r>
    </w:p>
    <w:p w14:paraId="177B9F75">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right="0" w:rightChars="0" w:firstLine="468" w:firstLineChars="200"/>
        <w:jc w:val="both"/>
        <w:textAlignment w:val="baseline"/>
        <w:rPr>
          <w:rFonts w:hint="default" w:ascii="Times New Roman" w:hAnsi="Times New Roman" w:eastAsia="宋体" w:cs="Times New Roman"/>
          <w:snapToGrid w:val="0"/>
          <w:color w:val="auto"/>
          <w:spacing w:val="-3"/>
          <w:kern w:val="0"/>
          <w:sz w:val="24"/>
          <w:szCs w:val="24"/>
          <w:highlight w:val="none"/>
          <w:lang w:val="en-US" w:eastAsia="zh-CN" w:bidi="ar-SA"/>
        </w:rPr>
      </w:pPr>
      <w:r>
        <w:rPr>
          <w:rFonts w:hint="default" w:ascii="Times New Roman" w:hAnsi="Times New Roman" w:eastAsia="宋体" w:cs="Times New Roman"/>
          <w:snapToGrid w:val="0"/>
          <w:color w:val="auto"/>
          <w:spacing w:val="-3"/>
          <w:kern w:val="0"/>
          <w:sz w:val="24"/>
          <w:szCs w:val="24"/>
          <w:highlight w:val="none"/>
          <w:lang w:val="en-US" w:eastAsia="zh-CN" w:bidi="ar-SA"/>
        </w:rPr>
        <w:t>（3）监测结果</w:t>
      </w:r>
    </w:p>
    <w:p w14:paraId="46BD98C3">
      <w:pPr>
        <w:keepNext w:val="0"/>
        <w:keepLines w:val="0"/>
        <w:pageBreakBefore w:val="0"/>
        <w:widowControl/>
        <w:kinsoku/>
        <w:wordWrap w:val="0"/>
        <w:overflowPunct/>
        <w:topLinePunct/>
        <w:autoSpaceDE/>
        <w:autoSpaceDN/>
        <w:bidi w:val="0"/>
        <w:adjustRightInd w:val="0"/>
        <w:snapToGrid w:val="0"/>
        <w:spacing w:line="360" w:lineRule="auto"/>
        <w:ind w:lef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声环境现状监测结果见表</w:t>
      </w:r>
      <w:r>
        <w:rPr>
          <w:rFonts w:hint="default" w:ascii="Times New Roman" w:hAnsi="Times New Roman" w:eastAsia="Times New Roman" w:cs="Times New Roman"/>
          <w:color w:val="auto"/>
          <w:spacing w:val="-2"/>
          <w:sz w:val="24"/>
          <w:szCs w:val="24"/>
          <w:highlight w:val="none"/>
        </w:rPr>
        <w:t>4.3-1</w:t>
      </w:r>
      <w:r>
        <w:rPr>
          <w:rFonts w:hint="eastAsia" w:ascii="Times New Roman" w:hAnsi="Times New Roman" w:eastAsia="宋体" w:cs="Times New Roman"/>
          <w:color w:val="auto"/>
          <w:spacing w:val="-2"/>
          <w:sz w:val="24"/>
          <w:szCs w:val="24"/>
          <w:highlight w:val="none"/>
          <w:lang w:val="en-US" w:eastAsia="zh-CN"/>
        </w:rPr>
        <w:t>1</w:t>
      </w:r>
      <w:r>
        <w:rPr>
          <w:rFonts w:hint="default" w:ascii="Times New Roman" w:hAnsi="Times New Roman" w:eastAsia="宋体" w:cs="Times New Roman"/>
          <w:color w:val="auto"/>
          <w:spacing w:val="-2"/>
          <w:sz w:val="24"/>
          <w:szCs w:val="24"/>
          <w:highlight w:val="none"/>
        </w:rPr>
        <w:t>。</w:t>
      </w:r>
    </w:p>
    <w:p w14:paraId="3C4BD9F6">
      <w:pPr>
        <w:keepNext w:val="0"/>
        <w:keepLines w:val="0"/>
        <w:pageBreakBefore w:val="0"/>
        <w:widowControl/>
        <w:kinsoku/>
        <w:wordWrap w:val="0"/>
        <w:overflowPunct/>
        <w:topLinePunct/>
        <w:autoSpaceDE/>
        <w:autoSpaceDN/>
        <w:bidi w:val="0"/>
        <w:adjustRightInd w:val="0"/>
        <w:snapToGrid w:val="0"/>
        <w:spacing w:line="213" w:lineRule="auto"/>
        <w:ind w:left="0"/>
        <w:jc w:val="center"/>
        <w:textAlignment w:val="baseline"/>
        <w:rPr>
          <w:rFonts w:hint="default" w:ascii="Times New Roman" w:hAnsi="Times New Roman" w:eastAsia="Times New Roman"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4.3-1</w:t>
      </w:r>
      <w:r>
        <w:rPr>
          <w:rFonts w:hint="eastAsia" w:ascii="Times New Roman" w:hAnsi="Times New Roman" w:eastAsia="宋体" w:cs="Times New Roman"/>
          <w:b/>
          <w:bCs/>
          <w:color w:val="auto"/>
          <w:spacing w:val="-1"/>
          <w:sz w:val="24"/>
          <w:szCs w:val="24"/>
          <w:highlight w:val="none"/>
          <w:lang w:val="en-US" w:eastAsia="zh-CN"/>
        </w:rPr>
        <w:t>1</w:t>
      </w:r>
      <w:r>
        <w:rPr>
          <w:rFonts w:hint="default" w:ascii="Times New Roman" w:hAnsi="Times New Roman" w:eastAsia="宋体" w:cs="Times New Roman"/>
          <w:b/>
          <w:bCs/>
          <w:color w:val="auto"/>
          <w:spacing w:val="-1"/>
          <w:sz w:val="24"/>
          <w:szCs w:val="24"/>
          <w:highlight w:val="none"/>
        </w:rPr>
        <w:t>现状噪声监测结果一览表单位：</w:t>
      </w:r>
      <w:r>
        <w:rPr>
          <w:rFonts w:hint="default" w:ascii="Times New Roman" w:hAnsi="Times New Roman" w:eastAsia="Times New Roman" w:cs="Times New Roman"/>
          <w:b/>
          <w:bCs/>
          <w:color w:val="auto"/>
          <w:spacing w:val="-1"/>
          <w:sz w:val="24"/>
          <w:szCs w:val="24"/>
          <w:highlight w:val="none"/>
        </w:rPr>
        <w:t>dB(A)</w:t>
      </w:r>
    </w:p>
    <w:p w14:paraId="4BB1A7B2">
      <w:pPr>
        <w:keepNext w:val="0"/>
        <w:keepLines w:val="0"/>
        <w:pageBreakBefore w:val="0"/>
        <w:kinsoku/>
        <w:wordWrap w:val="0"/>
        <w:overflowPunct/>
        <w:topLinePunct/>
        <w:autoSpaceDE/>
        <w:autoSpaceDN/>
        <w:bidi w:val="0"/>
        <w:adjustRightInd w:val="0"/>
        <w:snapToGrid w:val="0"/>
        <w:spacing w:line="18" w:lineRule="auto"/>
        <w:textAlignment w:val="baseline"/>
        <w:rPr>
          <w:rFonts w:hint="default" w:ascii="Times New Roman" w:hAnsi="Times New Roman" w:cs="Times New Roman"/>
          <w:color w:val="auto"/>
          <w:sz w:val="2"/>
          <w:highlight w:val="none"/>
        </w:rPr>
      </w:pPr>
    </w:p>
    <w:tbl>
      <w:tblPr>
        <w:tblStyle w:val="34"/>
        <w:tblW w:w="901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45"/>
        <w:gridCol w:w="1765"/>
        <w:gridCol w:w="1770"/>
        <w:gridCol w:w="1768"/>
        <w:gridCol w:w="1770"/>
      </w:tblGrid>
      <w:tr w14:paraId="00A3BD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 w:hRule="atLeast"/>
        </w:trPr>
        <w:tc>
          <w:tcPr>
            <w:tcW w:w="1945" w:type="dxa"/>
            <w:vMerge w:val="restart"/>
            <w:tcBorders>
              <w:top w:val="single" w:color="000000" w:sz="10" w:space="0"/>
              <w:left w:val="nil"/>
              <w:bottom w:val="nil"/>
            </w:tcBorders>
            <w:vAlign w:val="top"/>
          </w:tcPr>
          <w:p w14:paraId="3E5B0FA3">
            <w:pPr>
              <w:pStyle w:val="35"/>
              <w:keepNext w:val="0"/>
              <w:keepLines w:val="0"/>
              <w:pageBreakBefore w:val="0"/>
              <w:kinsoku/>
              <w:wordWrap w:val="0"/>
              <w:overflowPunct/>
              <w:topLinePunct/>
              <w:autoSpaceDE/>
              <w:autoSpaceDN/>
              <w:bidi w:val="0"/>
              <w:adjustRightInd w:val="0"/>
              <w:snapToGrid w:val="0"/>
              <w:spacing w:before="158" w:line="222" w:lineRule="auto"/>
              <w:ind w:left="565"/>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监测位点</w:t>
            </w:r>
          </w:p>
        </w:tc>
        <w:tc>
          <w:tcPr>
            <w:tcW w:w="3535" w:type="dxa"/>
            <w:gridSpan w:val="2"/>
            <w:tcBorders>
              <w:top w:val="single" w:color="000000" w:sz="10" w:space="0"/>
            </w:tcBorders>
            <w:vAlign w:val="top"/>
          </w:tcPr>
          <w:p w14:paraId="25053BD4">
            <w:pPr>
              <w:keepNext w:val="0"/>
              <w:keepLines w:val="0"/>
              <w:pageBreakBefore w:val="0"/>
              <w:kinsoku/>
              <w:wordWrap w:val="0"/>
              <w:overflowPunct/>
              <w:topLinePunct/>
              <w:autoSpaceDE/>
              <w:autoSpaceDN/>
              <w:bidi w:val="0"/>
              <w:adjustRightInd w:val="0"/>
              <w:snapToGrid w:val="0"/>
              <w:spacing w:before="54" w:line="181" w:lineRule="auto"/>
              <w:ind w:left="1295"/>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b/>
                <w:bCs/>
                <w:color w:val="auto"/>
                <w:spacing w:val="-1"/>
                <w:sz w:val="21"/>
                <w:szCs w:val="21"/>
                <w:highlight w:val="none"/>
              </w:rPr>
              <w:t>202</w:t>
            </w:r>
            <w:r>
              <w:rPr>
                <w:rFonts w:hint="default" w:ascii="Times New Roman" w:hAnsi="Times New Roman" w:eastAsia="宋体" w:cs="Times New Roman"/>
                <w:b/>
                <w:bCs/>
                <w:color w:val="auto"/>
                <w:spacing w:val="-1"/>
                <w:sz w:val="21"/>
                <w:szCs w:val="21"/>
                <w:highlight w:val="none"/>
                <w:lang w:val="en-US" w:eastAsia="zh-CN"/>
              </w:rPr>
              <w:t>5</w:t>
            </w:r>
            <w:r>
              <w:rPr>
                <w:rFonts w:hint="default" w:ascii="Times New Roman" w:hAnsi="Times New Roman" w:eastAsia="Times New Roman" w:cs="Times New Roman"/>
                <w:b/>
                <w:bCs/>
                <w:color w:val="auto"/>
                <w:spacing w:val="-1"/>
                <w:sz w:val="21"/>
                <w:szCs w:val="21"/>
                <w:highlight w:val="none"/>
              </w:rPr>
              <w:t>.0</w:t>
            </w:r>
            <w:r>
              <w:rPr>
                <w:rFonts w:hint="default" w:ascii="Times New Roman" w:hAnsi="Times New Roman" w:eastAsia="宋体" w:cs="Times New Roman"/>
                <w:b/>
                <w:bCs/>
                <w:color w:val="auto"/>
                <w:spacing w:val="-1"/>
                <w:sz w:val="21"/>
                <w:szCs w:val="21"/>
                <w:highlight w:val="none"/>
                <w:lang w:val="en-US" w:eastAsia="zh-CN"/>
              </w:rPr>
              <w:t>5</w:t>
            </w:r>
            <w:r>
              <w:rPr>
                <w:rFonts w:hint="default" w:ascii="Times New Roman" w:hAnsi="Times New Roman" w:eastAsia="Times New Roman" w:cs="Times New Roman"/>
                <w:b/>
                <w:bCs/>
                <w:color w:val="auto"/>
                <w:spacing w:val="-1"/>
                <w:sz w:val="21"/>
                <w:szCs w:val="21"/>
                <w:highlight w:val="none"/>
              </w:rPr>
              <w:t>.</w:t>
            </w:r>
            <w:r>
              <w:rPr>
                <w:rFonts w:hint="default" w:ascii="Times New Roman" w:hAnsi="Times New Roman" w:eastAsia="宋体" w:cs="Times New Roman"/>
                <w:b/>
                <w:bCs/>
                <w:color w:val="auto"/>
                <w:spacing w:val="-1"/>
                <w:sz w:val="21"/>
                <w:szCs w:val="21"/>
                <w:highlight w:val="none"/>
                <w:lang w:val="en-US" w:eastAsia="zh-CN"/>
              </w:rPr>
              <w:t>17</w:t>
            </w:r>
          </w:p>
        </w:tc>
        <w:tc>
          <w:tcPr>
            <w:tcW w:w="3538" w:type="dxa"/>
            <w:gridSpan w:val="2"/>
            <w:tcBorders>
              <w:top w:val="single" w:color="000000" w:sz="10" w:space="0"/>
              <w:right w:val="nil"/>
            </w:tcBorders>
            <w:vAlign w:val="top"/>
          </w:tcPr>
          <w:p w14:paraId="1241BC7D">
            <w:pPr>
              <w:keepNext w:val="0"/>
              <w:keepLines w:val="0"/>
              <w:pageBreakBefore w:val="0"/>
              <w:kinsoku/>
              <w:wordWrap w:val="0"/>
              <w:overflowPunct/>
              <w:topLinePunct/>
              <w:autoSpaceDE/>
              <w:autoSpaceDN/>
              <w:bidi w:val="0"/>
              <w:adjustRightInd w:val="0"/>
              <w:snapToGrid w:val="0"/>
              <w:spacing w:before="54" w:line="181" w:lineRule="auto"/>
              <w:ind w:left="1299"/>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Times New Roman" w:cs="Times New Roman"/>
                <w:b/>
                <w:bCs/>
                <w:color w:val="auto"/>
                <w:spacing w:val="-1"/>
                <w:sz w:val="21"/>
                <w:szCs w:val="21"/>
                <w:highlight w:val="none"/>
              </w:rPr>
              <w:t>202</w:t>
            </w:r>
            <w:r>
              <w:rPr>
                <w:rFonts w:hint="default" w:ascii="Times New Roman" w:hAnsi="Times New Roman" w:eastAsia="宋体" w:cs="Times New Roman"/>
                <w:b/>
                <w:bCs/>
                <w:color w:val="auto"/>
                <w:spacing w:val="-1"/>
                <w:sz w:val="21"/>
                <w:szCs w:val="21"/>
                <w:highlight w:val="none"/>
                <w:lang w:val="en-US" w:eastAsia="zh-CN"/>
              </w:rPr>
              <w:t>5</w:t>
            </w:r>
            <w:r>
              <w:rPr>
                <w:rFonts w:hint="default" w:ascii="Times New Roman" w:hAnsi="Times New Roman" w:eastAsia="Times New Roman" w:cs="Times New Roman"/>
                <w:b/>
                <w:bCs/>
                <w:color w:val="auto"/>
                <w:spacing w:val="-1"/>
                <w:sz w:val="21"/>
                <w:szCs w:val="21"/>
                <w:highlight w:val="none"/>
              </w:rPr>
              <w:t>.0</w:t>
            </w:r>
            <w:r>
              <w:rPr>
                <w:rFonts w:hint="default" w:ascii="Times New Roman" w:hAnsi="Times New Roman" w:eastAsia="宋体" w:cs="Times New Roman"/>
                <w:b/>
                <w:bCs/>
                <w:color w:val="auto"/>
                <w:spacing w:val="-1"/>
                <w:sz w:val="21"/>
                <w:szCs w:val="21"/>
                <w:highlight w:val="none"/>
                <w:lang w:val="en-US" w:eastAsia="zh-CN"/>
              </w:rPr>
              <w:t>5</w:t>
            </w:r>
            <w:r>
              <w:rPr>
                <w:rFonts w:hint="default" w:ascii="Times New Roman" w:hAnsi="Times New Roman" w:eastAsia="Times New Roman" w:cs="Times New Roman"/>
                <w:b/>
                <w:bCs/>
                <w:color w:val="auto"/>
                <w:spacing w:val="-1"/>
                <w:sz w:val="21"/>
                <w:szCs w:val="21"/>
                <w:highlight w:val="none"/>
              </w:rPr>
              <w:t>.</w:t>
            </w:r>
            <w:r>
              <w:rPr>
                <w:rFonts w:hint="default" w:ascii="Times New Roman" w:hAnsi="Times New Roman" w:eastAsia="宋体" w:cs="Times New Roman"/>
                <w:b/>
                <w:bCs/>
                <w:color w:val="auto"/>
                <w:spacing w:val="-1"/>
                <w:sz w:val="21"/>
                <w:szCs w:val="21"/>
                <w:highlight w:val="none"/>
                <w:lang w:val="en-US" w:eastAsia="zh-CN"/>
              </w:rPr>
              <w:t>18</w:t>
            </w:r>
          </w:p>
        </w:tc>
      </w:tr>
      <w:tr w14:paraId="6389D2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2" w:hRule="atLeast"/>
        </w:trPr>
        <w:tc>
          <w:tcPr>
            <w:tcW w:w="1945" w:type="dxa"/>
            <w:vMerge w:val="continue"/>
            <w:tcBorders>
              <w:top w:val="nil"/>
              <w:left w:val="nil"/>
            </w:tcBorders>
            <w:vAlign w:val="top"/>
          </w:tcPr>
          <w:p w14:paraId="50389171">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sz w:val="21"/>
                <w:highlight w:val="none"/>
              </w:rPr>
            </w:pPr>
          </w:p>
        </w:tc>
        <w:tc>
          <w:tcPr>
            <w:tcW w:w="1765" w:type="dxa"/>
            <w:vAlign w:val="top"/>
          </w:tcPr>
          <w:p w14:paraId="46EEE3E5">
            <w:pPr>
              <w:pStyle w:val="35"/>
              <w:keepNext w:val="0"/>
              <w:keepLines w:val="0"/>
              <w:pageBreakBefore w:val="0"/>
              <w:kinsoku/>
              <w:wordWrap w:val="0"/>
              <w:overflowPunct/>
              <w:topLinePunct/>
              <w:autoSpaceDE/>
              <w:autoSpaceDN/>
              <w:bidi w:val="0"/>
              <w:adjustRightInd w:val="0"/>
              <w:snapToGrid w:val="0"/>
              <w:spacing w:before="33" w:line="201" w:lineRule="auto"/>
              <w:ind w:left="333"/>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b/>
                <w:bCs/>
                <w:color w:val="auto"/>
                <w:spacing w:val="-1"/>
                <w:highlight w:val="none"/>
              </w:rPr>
              <w:t>昼间</w:t>
            </w:r>
            <w:r>
              <w:rPr>
                <w:rFonts w:hint="default" w:ascii="Times New Roman" w:hAnsi="Times New Roman" w:eastAsia="Times New Roman" w:cs="Times New Roman"/>
                <w:b/>
                <w:bCs/>
                <w:color w:val="auto"/>
                <w:spacing w:val="-1"/>
                <w:highlight w:val="none"/>
              </w:rPr>
              <w:t>(dB(A))</w:t>
            </w:r>
          </w:p>
        </w:tc>
        <w:tc>
          <w:tcPr>
            <w:tcW w:w="1770" w:type="dxa"/>
            <w:vAlign w:val="top"/>
          </w:tcPr>
          <w:p w14:paraId="436EED6F">
            <w:pPr>
              <w:pStyle w:val="35"/>
              <w:keepNext w:val="0"/>
              <w:keepLines w:val="0"/>
              <w:pageBreakBefore w:val="0"/>
              <w:kinsoku/>
              <w:wordWrap w:val="0"/>
              <w:overflowPunct/>
              <w:topLinePunct/>
              <w:autoSpaceDE/>
              <w:autoSpaceDN/>
              <w:bidi w:val="0"/>
              <w:adjustRightInd w:val="0"/>
              <w:snapToGrid w:val="0"/>
              <w:spacing w:before="33" w:line="201" w:lineRule="auto"/>
              <w:ind w:left="339"/>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b/>
                <w:bCs/>
                <w:color w:val="auto"/>
                <w:spacing w:val="-2"/>
                <w:highlight w:val="none"/>
              </w:rPr>
              <w:t>夜间</w:t>
            </w:r>
            <w:r>
              <w:rPr>
                <w:rFonts w:hint="default" w:ascii="Times New Roman" w:hAnsi="Times New Roman" w:eastAsia="Times New Roman" w:cs="Times New Roman"/>
                <w:b/>
                <w:bCs/>
                <w:color w:val="auto"/>
                <w:spacing w:val="-2"/>
                <w:highlight w:val="none"/>
              </w:rPr>
              <w:t>(dB(A))</w:t>
            </w:r>
          </w:p>
        </w:tc>
        <w:tc>
          <w:tcPr>
            <w:tcW w:w="1768" w:type="dxa"/>
            <w:vAlign w:val="top"/>
          </w:tcPr>
          <w:p w14:paraId="24EBAC2A">
            <w:pPr>
              <w:pStyle w:val="35"/>
              <w:keepNext w:val="0"/>
              <w:keepLines w:val="0"/>
              <w:pageBreakBefore w:val="0"/>
              <w:kinsoku/>
              <w:wordWrap w:val="0"/>
              <w:overflowPunct/>
              <w:topLinePunct/>
              <w:autoSpaceDE/>
              <w:autoSpaceDN/>
              <w:bidi w:val="0"/>
              <w:adjustRightInd w:val="0"/>
              <w:snapToGrid w:val="0"/>
              <w:spacing w:before="33" w:line="201" w:lineRule="auto"/>
              <w:ind w:left="333"/>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b/>
                <w:bCs/>
                <w:color w:val="auto"/>
                <w:spacing w:val="-1"/>
                <w:highlight w:val="none"/>
              </w:rPr>
              <w:t>昼间</w:t>
            </w:r>
            <w:r>
              <w:rPr>
                <w:rFonts w:hint="default" w:ascii="Times New Roman" w:hAnsi="Times New Roman" w:eastAsia="Times New Roman" w:cs="Times New Roman"/>
                <w:b/>
                <w:bCs/>
                <w:color w:val="auto"/>
                <w:spacing w:val="-1"/>
                <w:highlight w:val="none"/>
              </w:rPr>
              <w:t>(dB(A))</w:t>
            </w:r>
          </w:p>
        </w:tc>
        <w:tc>
          <w:tcPr>
            <w:tcW w:w="1770" w:type="dxa"/>
            <w:tcBorders>
              <w:right w:val="nil"/>
            </w:tcBorders>
            <w:vAlign w:val="top"/>
          </w:tcPr>
          <w:p w14:paraId="409740C6">
            <w:pPr>
              <w:pStyle w:val="35"/>
              <w:keepNext w:val="0"/>
              <w:keepLines w:val="0"/>
              <w:pageBreakBefore w:val="0"/>
              <w:kinsoku/>
              <w:wordWrap w:val="0"/>
              <w:overflowPunct/>
              <w:topLinePunct/>
              <w:autoSpaceDE/>
              <w:autoSpaceDN/>
              <w:bidi w:val="0"/>
              <w:adjustRightInd w:val="0"/>
              <w:snapToGrid w:val="0"/>
              <w:spacing w:before="33" w:line="201" w:lineRule="auto"/>
              <w:ind w:left="337"/>
              <w:textAlignment w:val="baseline"/>
              <w:rPr>
                <w:rFonts w:hint="default" w:ascii="Times New Roman" w:hAnsi="Times New Roman" w:eastAsia="Times New Roman" w:cs="Times New Roman"/>
                <w:color w:val="auto"/>
                <w:highlight w:val="none"/>
              </w:rPr>
            </w:pPr>
            <w:r>
              <w:rPr>
                <w:rFonts w:hint="default" w:ascii="Times New Roman" w:hAnsi="Times New Roman" w:cs="Times New Roman"/>
                <w:b/>
                <w:bCs/>
                <w:color w:val="auto"/>
                <w:spacing w:val="-2"/>
                <w:highlight w:val="none"/>
              </w:rPr>
              <w:t>夜间</w:t>
            </w:r>
            <w:r>
              <w:rPr>
                <w:rFonts w:hint="default" w:ascii="Times New Roman" w:hAnsi="Times New Roman" w:eastAsia="Times New Roman" w:cs="Times New Roman"/>
                <w:b/>
                <w:bCs/>
                <w:color w:val="auto"/>
                <w:spacing w:val="-2"/>
                <w:highlight w:val="none"/>
              </w:rPr>
              <w:t>(dB(A))</w:t>
            </w:r>
          </w:p>
        </w:tc>
      </w:tr>
      <w:tr w14:paraId="204AC8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8" w:hRule="atLeast"/>
        </w:trPr>
        <w:tc>
          <w:tcPr>
            <w:tcW w:w="1945" w:type="dxa"/>
            <w:tcBorders>
              <w:left w:val="nil"/>
            </w:tcBorders>
            <w:vAlign w:val="top"/>
          </w:tcPr>
          <w:p w14:paraId="27F15807">
            <w:pPr>
              <w:pStyle w:val="35"/>
              <w:keepNext w:val="0"/>
              <w:keepLines w:val="0"/>
              <w:pageBreakBefore w:val="0"/>
              <w:kinsoku/>
              <w:wordWrap w:val="0"/>
              <w:overflowPunct/>
              <w:topLinePunct/>
              <w:autoSpaceDE/>
              <w:autoSpaceDN/>
              <w:bidi w:val="0"/>
              <w:adjustRightInd w:val="0"/>
              <w:snapToGrid w:val="0"/>
              <w:spacing w:before="39" w:line="197" w:lineRule="auto"/>
              <w:ind w:left="267"/>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3"/>
                <w:highlight w:val="none"/>
              </w:rPr>
              <w:t>1#</w:t>
            </w:r>
            <w:r>
              <w:rPr>
                <w:rFonts w:hint="default" w:ascii="Times New Roman" w:hAnsi="Times New Roman" w:cs="Times New Roman"/>
                <w:color w:val="auto"/>
                <w:spacing w:val="-3"/>
                <w:highlight w:val="none"/>
              </w:rPr>
              <w:t>项目厂界</w:t>
            </w:r>
            <w:r>
              <w:rPr>
                <w:rFonts w:hint="default" w:ascii="Times New Roman" w:hAnsi="Times New Roman" w:cs="Times New Roman"/>
                <w:color w:val="auto"/>
                <w:spacing w:val="-1"/>
                <w:highlight w:val="none"/>
              </w:rPr>
              <w:t>东</w:t>
            </w:r>
            <w:r>
              <w:rPr>
                <w:rFonts w:hint="default" w:ascii="Times New Roman" w:hAnsi="Times New Roman" w:cs="Times New Roman"/>
                <w:color w:val="auto"/>
                <w:spacing w:val="-3"/>
                <w:highlight w:val="none"/>
              </w:rPr>
              <w:t>侧</w:t>
            </w:r>
          </w:p>
        </w:tc>
        <w:tc>
          <w:tcPr>
            <w:tcW w:w="1765" w:type="dxa"/>
            <w:vAlign w:val="top"/>
          </w:tcPr>
          <w:p w14:paraId="602F3A96">
            <w:pPr>
              <w:keepNext w:val="0"/>
              <w:keepLines w:val="0"/>
              <w:pageBreakBefore w:val="0"/>
              <w:kinsoku/>
              <w:wordWrap w:val="0"/>
              <w:overflowPunct/>
              <w:topLinePunct/>
              <w:autoSpaceDE/>
              <w:autoSpaceDN/>
              <w:bidi w:val="0"/>
              <w:adjustRightInd w:val="0"/>
              <w:snapToGrid w:val="0"/>
              <w:spacing w:before="67" w:line="195"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51</w:t>
            </w:r>
          </w:p>
        </w:tc>
        <w:tc>
          <w:tcPr>
            <w:tcW w:w="1770" w:type="dxa"/>
            <w:vAlign w:val="top"/>
          </w:tcPr>
          <w:p w14:paraId="42E0F49B">
            <w:pPr>
              <w:keepNext w:val="0"/>
              <w:keepLines w:val="0"/>
              <w:pageBreakBefore w:val="0"/>
              <w:kinsoku/>
              <w:wordWrap w:val="0"/>
              <w:overflowPunct/>
              <w:topLinePunct/>
              <w:autoSpaceDE/>
              <w:autoSpaceDN/>
              <w:bidi w:val="0"/>
              <w:adjustRightInd w:val="0"/>
              <w:snapToGrid w:val="0"/>
              <w:spacing w:before="67" w:line="195"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43</w:t>
            </w:r>
          </w:p>
        </w:tc>
        <w:tc>
          <w:tcPr>
            <w:tcW w:w="1768" w:type="dxa"/>
            <w:vAlign w:val="top"/>
          </w:tcPr>
          <w:p w14:paraId="3F0D3D1E">
            <w:pPr>
              <w:keepNext w:val="0"/>
              <w:keepLines w:val="0"/>
              <w:pageBreakBefore w:val="0"/>
              <w:kinsoku/>
              <w:wordWrap w:val="0"/>
              <w:overflowPunct/>
              <w:topLinePunct/>
              <w:autoSpaceDE/>
              <w:autoSpaceDN/>
              <w:bidi w:val="0"/>
              <w:adjustRightInd w:val="0"/>
              <w:snapToGrid w:val="0"/>
              <w:spacing w:before="67" w:line="195"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w:t>
            </w:r>
          </w:p>
        </w:tc>
        <w:tc>
          <w:tcPr>
            <w:tcW w:w="1770" w:type="dxa"/>
            <w:tcBorders>
              <w:right w:val="nil"/>
            </w:tcBorders>
            <w:vAlign w:val="top"/>
          </w:tcPr>
          <w:p w14:paraId="7FA4BA0B">
            <w:pPr>
              <w:keepNext w:val="0"/>
              <w:keepLines w:val="0"/>
              <w:pageBreakBefore w:val="0"/>
              <w:kinsoku/>
              <w:wordWrap w:val="0"/>
              <w:overflowPunct/>
              <w:topLinePunct/>
              <w:autoSpaceDE/>
              <w:autoSpaceDN/>
              <w:bidi w:val="0"/>
              <w:adjustRightInd w:val="0"/>
              <w:snapToGrid w:val="0"/>
              <w:spacing w:before="67" w:line="195"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42</w:t>
            </w:r>
          </w:p>
        </w:tc>
      </w:tr>
      <w:tr w14:paraId="7E1CF6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4" w:hRule="atLeast"/>
        </w:trPr>
        <w:tc>
          <w:tcPr>
            <w:tcW w:w="1945" w:type="dxa"/>
            <w:tcBorders>
              <w:left w:val="nil"/>
            </w:tcBorders>
            <w:vAlign w:val="top"/>
          </w:tcPr>
          <w:p w14:paraId="3F6CB1CE">
            <w:pPr>
              <w:pStyle w:val="35"/>
              <w:keepNext w:val="0"/>
              <w:keepLines w:val="0"/>
              <w:pageBreakBefore w:val="0"/>
              <w:kinsoku/>
              <w:wordWrap w:val="0"/>
              <w:overflowPunct/>
              <w:topLinePunct/>
              <w:autoSpaceDE/>
              <w:autoSpaceDN/>
              <w:bidi w:val="0"/>
              <w:adjustRightInd w:val="0"/>
              <w:snapToGrid w:val="0"/>
              <w:spacing w:before="41" w:line="196" w:lineRule="auto"/>
              <w:ind w:left="246"/>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1"/>
                <w:highlight w:val="none"/>
              </w:rPr>
              <w:t>2#</w:t>
            </w:r>
            <w:r>
              <w:rPr>
                <w:rFonts w:hint="default" w:ascii="Times New Roman" w:hAnsi="Times New Roman" w:cs="Times New Roman"/>
                <w:color w:val="auto"/>
                <w:spacing w:val="-1"/>
                <w:highlight w:val="none"/>
              </w:rPr>
              <w:t>项目厂界</w:t>
            </w:r>
            <w:r>
              <w:rPr>
                <w:rFonts w:hint="default" w:ascii="Times New Roman" w:hAnsi="Times New Roman" w:cs="Times New Roman"/>
                <w:color w:val="auto"/>
                <w:highlight w:val="none"/>
              </w:rPr>
              <w:t>西</w:t>
            </w:r>
            <w:r>
              <w:rPr>
                <w:rFonts w:hint="default" w:ascii="Times New Roman" w:hAnsi="Times New Roman" w:cs="Times New Roman"/>
                <w:color w:val="auto"/>
                <w:spacing w:val="-1"/>
                <w:highlight w:val="none"/>
              </w:rPr>
              <w:t>侧</w:t>
            </w:r>
          </w:p>
        </w:tc>
        <w:tc>
          <w:tcPr>
            <w:tcW w:w="1765" w:type="dxa"/>
            <w:vAlign w:val="top"/>
          </w:tcPr>
          <w:p w14:paraId="31CACB5B">
            <w:pPr>
              <w:keepNext w:val="0"/>
              <w:keepLines w:val="0"/>
              <w:pageBreakBefore w:val="0"/>
              <w:kinsoku/>
              <w:wordWrap w:val="0"/>
              <w:overflowPunct/>
              <w:topLinePunct/>
              <w:autoSpaceDE/>
              <w:autoSpaceDN/>
              <w:bidi w:val="0"/>
              <w:adjustRightInd w:val="0"/>
              <w:snapToGrid w:val="0"/>
              <w:spacing w:before="71" w:line="191"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w:t>
            </w:r>
          </w:p>
        </w:tc>
        <w:tc>
          <w:tcPr>
            <w:tcW w:w="1770" w:type="dxa"/>
            <w:vAlign w:val="top"/>
          </w:tcPr>
          <w:p w14:paraId="5987F14A">
            <w:pPr>
              <w:keepNext w:val="0"/>
              <w:keepLines w:val="0"/>
              <w:pageBreakBefore w:val="0"/>
              <w:kinsoku/>
              <w:wordWrap w:val="0"/>
              <w:overflowPunct/>
              <w:topLinePunct/>
              <w:autoSpaceDE/>
              <w:autoSpaceDN/>
              <w:bidi w:val="0"/>
              <w:adjustRightInd w:val="0"/>
              <w:snapToGrid w:val="0"/>
              <w:spacing w:before="71" w:line="191"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42</w:t>
            </w:r>
          </w:p>
        </w:tc>
        <w:tc>
          <w:tcPr>
            <w:tcW w:w="1768" w:type="dxa"/>
            <w:vAlign w:val="top"/>
          </w:tcPr>
          <w:p w14:paraId="6682EDBB">
            <w:pPr>
              <w:keepNext w:val="0"/>
              <w:keepLines w:val="0"/>
              <w:pageBreakBefore w:val="0"/>
              <w:kinsoku/>
              <w:wordWrap w:val="0"/>
              <w:overflowPunct/>
              <w:topLinePunct/>
              <w:autoSpaceDE/>
              <w:autoSpaceDN/>
              <w:bidi w:val="0"/>
              <w:adjustRightInd w:val="0"/>
              <w:snapToGrid w:val="0"/>
              <w:spacing w:before="71" w:line="191"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51</w:t>
            </w:r>
          </w:p>
        </w:tc>
        <w:tc>
          <w:tcPr>
            <w:tcW w:w="1770" w:type="dxa"/>
            <w:tcBorders>
              <w:right w:val="nil"/>
            </w:tcBorders>
            <w:vAlign w:val="top"/>
          </w:tcPr>
          <w:p w14:paraId="6EBCC046">
            <w:pPr>
              <w:keepNext w:val="0"/>
              <w:keepLines w:val="0"/>
              <w:pageBreakBefore w:val="0"/>
              <w:kinsoku/>
              <w:wordWrap w:val="0"/>
              <w:overflowPunct/>
              <w:topLinePunct/>
              <w:autoSpaceDE/>
              <w:autoSpaceDN/>
              <w:bidi w:val="0"/>
              <w:adjustRightInd w:val="0"/>
              <w:snapToGrid w:val="0"/>
              <w:spacing w:before="71" w:line="191"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43</w:t>
            </w:r>
          </w:p>
        </w:tc>
      </w:tr>
      <w:tr w14:paraId="0FB8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1" w:hRule="atLeast"/>
        </w:trPr>
        <w:tc>
          <w:tcPr>
            <w:tcW w:w="1945" w:type="dxa"/>
            <w:tcBorders>
              <w:left w:val="nil"/>
            </w:tcBorders>
            <w:vAlign w:val="top"/>
          </w:tcPr>
          <w:p w14:paraId="04C2E5B4">
            <w:pPr>
              <w:pStyle w:val="35"/>
              <w:keepNext w:val="0"/>
              <w:keepLines w:val="0"/>
              <w:pageBreakBefore w:val="0"/>
              <w:kinsoku/>
              <w:wordWrap w:val="0"/>
              <w:overflowPunct/>
              <w:topLinePunct/>
              <w:autoSpaceDE/>
              <w:autoSpaceDN/>
              <w:bidi w:val="0"/>
              <w:adjustRightInd w:val="0"/>
              <w:snapToGrid w:val="0"/>
              <w:spacing w:before="46" w:line="189" w:lineRule="auto"/>
              <w:ind w:left="251"/>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pacing w:val="-1"/>
                <w:highlight w:val="none"/>
              </w:rPr>
              <w:t>3#</w:t>
            </w:r>
            <w:r>
              <w:rPr>
                <w:rFonts w:hint="default" w:ascii="Times New Roman" w:hAnsi="Times New Roman" w:cs="Times New Roman"/>
                <w:color w:val="auto"/>
                <w:spacing w:val="-1"/>
                <w:highlight w:val="none"/>
              </w:rPr>
              <w:t>项目厂界南侧</w:t>
            </w:r>
          </w:p>
        </w:tc>
        <w:tc>
          <w:tcPr>
            <w:tcW w:w="1765" w:type="dxa"/>
            <w:vAlign w:val="top"/>
          </w:tcPr>
          <w:p w14:paraId="5E75A3D6">
            <w:pPr>
              <w:keepNext w:val="0"/>
              <w:keepLines w:val="0"/>
              <w:pageBreakBefore w:val="0"/>
              <w:kinsoku/>
              <w:wordWrap w:val="0"/>
              <w:overflowPunct/>
              <w:topLinePunct/>
              <w:autoSpaceDE/>
              <w:autoSpaceDN/>
              <w:bidi w:val="0"/>
              <w:adjustRightInd w:val="0"/>
              <w:snapToGrid w:val="0"/>
              <w:spacing w:before="73" w:line="186"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w:t>
            </w:r>
          </w:p>
        </w:tc>
        <w:tc>
          <w:tcPr>
            <w:tcW w:w="1770" w:type="dxa"/>
            <w:vAlign w:val="top"/>
          </w:tcPr>
          <w:p w14:paraId="480FDAB8">
            <w:pPr>
              <w:keepNext w:val="0"/>
              <w:keepLines w:val="0"/>
              <w:pageBreakBefore w:val="0"/>
              <w:kinsoku/>
              <w:wordWrap w:val="0"/>
              <w:overflowPunct/>
              <w:topLinePunct/>
              <w:autoSpaceDE/>
              <w:autoSpaceDN/>
              <w:bidi w:val="0"/>
              <w:adjustRightInd w:val="0"/>
              <w:snapToGrid w:val="0"/>
              <w:spacing w:before="73" w:line="186"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41</w:t>
            </w:r>
          </w:p>
        </w:tc>
        <w:tc>
          <w:tcPr>
            <w:tcW w:w="1768" w:type="dxa"/>
            <w:vAlign w:val="top"/>
          </w:tcPr>
          <w:p w14:paraId="41A330FE">
            <w:pPr>
              <w:keepNext w:val="0"/>
              <w:keepLines w:val="0"/>
              <w:pageBreakBefore w:val="0"/>
              <w:kinsoku/>
              <w:wordWrap w:val="0"/>
              <w:overflowPunct/>
              <w:topLinePunct/>
              <w:autoSpaceDE/>
              <w:autoSpaceDN/>
              <w:bidi w:val="0"/>
              <w:adjustRightInd w:val="0"/>
              <w:snapToGrid w:val="0"/>
              <w:spacing w:before="73" w:line="186"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w:t>
            </w:r>
          </w:p>
        </w:tc>
        <w:tc>
          <w:tcPr>
            <w:tcW w:w="1770" w:type="dxa"/>
            <w:tcBorders>
              <w:right w:val="nil"/>
            </w:tcBorders>
            <w:vAlign w:val="top"/>
          </w:tcPr>
          <w:p w14:paraId="7A44BA02">
            <w:pPr>
              <w:keepNext w:val="0"/>
              <w:keepLines w:val="0"/>
              <w:pageBreakBefore w:val="0"/>
              <w:kinsoku/>
              <w:wordWrap w:val="0"/>
              <w:overflowPunct/>
              <w:topLinePunct/>
              <w:autoSpaceDE/>
              <w:autoSpaceDN/>
              <w:bidi w:val="0"/>
              <w:adjustRightInd w:val="0"/>
              <w:snapToGrid w:val="0"/>
              <w:spacing w:before="73" w:line="186"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41</w:t>
            </w:r>
          </w:p>
        </w:tc>
      </w:tr>
      <w:tr w14:paraId="644E35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8" w:hRule="atLeast"/>
        </w:trPr>
        <w:tc>
          <w:tcPr>
            <w:tcW w:w="1945" w:type="dxa"/>
            <w:tcBorders>
              <w:left w:val="nil"/>
              <w:bottom w:val="single" w:color="000000" w:sz="10" w:space="0"/>
            </w:tcBorders>
            <w:vAlign w:val="top"/>
          </w:tcPr>
          <w:p w14:paraId="187D0F6D">
            <w:pPr>
              <w:pStyle w:val="35"/>
              <w:keepNext w:val="0"/>
              <w:keepLines w:val="0"/>
              <w:pageBreakBefore w:val="0"/>
              <w:kinsoku/>
              <w:wordWrap w:val="0"/>
              <w:overflowPunct/>
              <w:topLinePunct/>
              <w:autoSpaceDE/>
              <w:autoSpaceDN/>
              <w:bidi w:val="0"/>
              <w:adjustRightInd w:val="0"/>
              <w:snapToGrid w:val="0"/>
              <w:spacing w:before="50" w:line="209" w:lineRule="auto"/>
              <w:ind w:left="245"/>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highlight w:val="none"/>
              </w:rPr>
              <w:t>4#</w:t>
            </w:r>
            <w:r>
              <w:rPr>
                <w:rFonts w:hint="default" w:ascii="Times New Roman" w:hAnsi="Times New Roman" w:cs="Times New Roman"/>
                <w:color w:val="auto"/>
                <w:highlight w:val="none"/>
              </w:rPr>
              <w:t>项目厂界</w:t>
            </w:r>
            <w:r>
              <w:rPr>
                <w:rFonts w:hint="default" w:ascii="Times New Roman" w:hAnsi="Times New Roman" w:cs="Times New Roman"/>
                <w:color w:val="auto"/>
                <w:spacing w:val="-3"/>
                <w:highlight w:val="none"/>
              </w:rPr>
              <w:t>北</w:t>
            </w:r>
            <w:r>
              <w:rPr>
                <w:rFonts w:hint="default" w:ascii="Times New Roman" w:hAnsi="Times New Roman" w:cs="Times New Roman"/>
                <w:color w:val="auto"/>
                <w:highlight w:val="none"/>
              </w:rPr>
              <w:t>侧</w:t>
            </w:r>
          </w:p>
        </w:tc>
        <w:tc>
          <w:tcPr>
            <w:tcW w:w="1765" w:type="dxa"/>
            <w:tcBorders>
              <w:bottom w:val="single" w:color="000000" w:sz="10" w:space="0"/>
            </w:tcBorders>
            <w:vAlign w:val="top"/>
          </w:tcPr>
          <w:p w14:paraId="40F4BC0E">
            <w:pPr>
              <w:keepNext w:val="0"/>
              <w:keepLines w:val="0"/>
              <w:pageBreakBefore w:val="0"/>
              <w:kinsoku/>
              <w:wordWrap w:val="0"/>
              <w:overflowPunct/>
              <w:topLinePunct/>
              <w:autoSpaceDE/>
              <w:autoSpaceDN/>
              <w:bidi w:val="0"/>
              <w:adjustRightInd w:val="0"/>
              <w:snapToGrid w:val="0"/>
              <w:spacing w:before="80" w:line="206"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52</w:t>
            </w:r>
          </w:p>
        </w:tc>
        <w:tc>
          <w:tcPr>
            <w:tcW w:w="1770" w:type="dxa"/>
            <w:tcBorders>
              <w:bottom w:val="single" w:color="000000" w:sz="10" w:space="0"/>
            </w:tcBorders>
            <w:vAlign w:val="top"/>
          </w:tcPr>
          <w:p w14:paraId="259A761D">
            <w:pPr>
              <w:keepNext w:val="0"/>
              <w:keepLines w:val="0"/>
              <w:pageBreakBefore w:val="0"/>
              <w:kinsoku/>
              <w:wordWrap w:val="0"/>
              <w:overflowPunct/>
              <w:topLinePunct/>
              <w:autoSpaceDE/>
              <w:autoSpaceDN/>
              <w:bidi w:val="0"/>
              <w:adjustRightInd w:val="0"/>
              <w:snapToGrid w:val="0"/>
              <w:spacing w:before="80" w:line="206"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41</w:t>
            </w:r>
          </w:p>
        </w:tc>
        <w:tc>
          <w:tcPr>
            <w:tcW w:w="1768" w:type="dxa"/>
            <w:tcBorders>
              <w:bottom w:val="single" w:color="000000" w:sz="10" w:space="0"/>
            </w:tcBorders>
            <w:vAlign w:val="top"/>
          </w:tcPr>
          <w:p w14:paraId="515BB4B9">
            <w:pPr>
              <w:keepNext w:val="0"/>
              <w:keepLines w:val="0"/>
              <w:pageBreakBefore w:val="0"/>
              <w:kinsoku/>
              <w:wordWrap w:val="0"/>
              <w:overflowPunct/>
              <w:topLinePunct/>
              <w:autoSpaceDE/>
              <w:autoSpaceDN/>
              <w:bidi w:val="0"/>
              <w:adjustRightInd w:val="0"/>
              <w:snapToGrid w:val="0"/>
              <w:spacing w:before="80" w:line="206"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50</w:t>
            </w:r>
          </w:p>
        </w:tc>
        <w:tc>
          <w:tcPr>
            <w:tcW w:w="1770" w:type="dxa"/>
            <w:tcBorders>
              <w:bottom w:val="single" w:color="000000" w:sz="10" w:space="0"/>
              <w:right w:val="nil"/>
            </w:tcBorders>
            <w:vAlign w:val="top"/>
          </w:tcPr>
          <w:p w14:paraId="18570D87">
            <w:pPr>
              <w:keepNext w:val="0"/>
              <w:keepLines w:val="0"/>
              <w:pageBreakBefore w:val="0"/>
              <w:kinsoku/>
              <w:wordWrap w:val="0"/>
              <w:overflowPunct/>
              <w:topLinePunct/>
              <w:autoSpaceDE/>
              <w:autoSpaceDN/>
              <w:bidi w:val="0"/>
              <w:adjustRightInd w:val="0"/>
              <w:snapToGrid w:val="0"/>
              <w:spacing w:before="80" w:line="206" w:lineRule="auto"/>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40</w:t>
            </w:r>
          </w:p>
        </w:tc>
      </w:tr>
    </w:tbl>
    <w:p w14:paraId="2181D47B">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en-US" w:eastAsia="zh-CN"/>
        </w:rPr>
        <w:t>4.3.4.2声环境现状评价</w:t>
      </w:r>
    </w:p>
    <w:p w14:paraId="37B9EABD">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Times New Roman" w:cs="Times New Roman"/>
          <w:color w:val="auto"/>
          <w:spacing w:val="-7"/>
          <w:sz w:val="24"/>
          <w:szCs w:val="24"/>
          <w:highlight w:val="none"/>
          <w:lang w:val="zh-CN"/>
        </w:rPr>
      </w:pPr>
      <w:r>
        <w:rPr>
          <w:rFonts w:hint="default" w:ascii="Times New Roman" w:hAnsi="Times New Roman" w:eastAsia="Times New Roman" w:cs="Times New Roman"/>
          <w:color w:val="auto"/>
          <w:spacing w:val="-7"/>
          <w:sz w:val="24"/>
          <w:szCs w:val="24"/>
          <w:highlight w:val="none"/>
          <w:lang w:val="zh-CN"/>
        </w:rPr>
        <w:t>（1）评价因子</w:t>
      </w:r>
    </w:p>
    <w:p w14:paraId="4D18ECEE">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Times New Roman" w:cs="Times New Roman"/>
          <w:color w:val="auto"/>
          <w:spacing w:val="-7"/>
          <w:sz w:val="24"/>
          <w:szCs w:val="24"/>
          <w:highlight w:val="none"/>
          <w:lang w:val="zh-CN"/>
        </w:rPr>
      </w:pPr>
      <w:r>
        <w:rPr>
          <w:rFonts w:hint="default" w:ascii="Times New Roman" w:hAnsi="Times New Roman" w:eastAsia="Times New Roman" w:cs="Times New Roman"/>
          <w:color w:val="auto"/>
          <w:spacing w:val="-7"/>
          <w:sz w:val="24"/>
          <w:szCs w:val="24"/>
          <w:highlight w:val="none"/>
          <w:lang w:val="zh-CN"/>
        </w:rPr>
        <w:t>选择等效连续A声级Leq（A）为本项目环境噪声的评价因子。</w:t>
      </w:r>
    </w:p>
    <w:p w14:paraId="1A039CB1">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Times New Roman" w:cs="Times New Roman"/>
          <w:color w:val="auto"/>
          <w:spacing w:val="-7"/>
          <w:sz w:val="24"/>
          <w:szCs w:val="24"/>
          <w:highlight w:val="none"/>
          <w:lang w:val="zh-CN"/>
        </w:rPr>
      </w:pPr>
      <w:r>
        <w:rPr>
          <w:rFonts w:hint="default" w:ascii="Times New Roman" w:hAnsi="Times New Roman" w:eastAsia="Times New Roman" w:cs="Times New Roman"/>
          <w:color w:val="auto"/>
          <w:spacing w:val="-7"/>
          <w:sz w:val="24"/>
          <w:szCs w:val="24"/>
          <w:highlight w:val="none"/>
          <w:lang w:val="zh-CN"/>
        </w:rPr>
        <w:t>（2）评价方法</w:t>
      </w:r>
    </w:p>
    <w:p w14:paraId="453E156A">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Times New Roman" w:cs="Times New Roman"/>
          <w:color w:val="auto"/>
          <w:spacing w:val="-7"/>
          <w:sz w:val="24"/>
          <w:szCs w:val="24"/>
          <w:highlight w:val="none"/>
        </w:rPr>
      </w:pPr>
      <w:r>
        <w:rPr>
          <w:rFonts w:hint="default" w:ascii="Times New Roman" w:hAnsi="Times New Roman" w:eastAsia="Times New Roman" w:cs="Times New Roman"/>
          <w:color w:val="auto"/>
          <w:spacing w:val="-7"/>
          <w:sz w:val="24"/>
          <w:szCs w:val="24"/>
          <w:highlight w:val="none"/>
          <w:lang w:val="zh-CN"/>
        </w:rPr>
        <w:t>直接比较法。</w:t>
      </w:r>
    </w:p>
    <w:p w14:paraId="4E606E8A">
      <w:pPr>
        <w:keepNext w:val="0"/>
        <w:keepLines w:val="0"/>
        <w:pageBreakBefore w:val="0"/>
        <w:widowControl/>
        <w:kinsoku/>
        <w:wordWrap w:val="0"/>
        <w:overflowPunct/>
        <w:topLinePunct/>
        <w:autoSpaceDE/>
        <w:autoSpaceDN/>
        <w:bidi w:val="0"/>
        <w:adjustRightInd w:val="0"/>
        <w:snapToGrid w:val="0"/>
        <w:spacing w:line="360" w:lineRule="auto"/>
        <w:ind w:left="0" w:right="0" w:firstLine="45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7"/>
          <w:sz w:val="24"/>
          <w:szCs w:val="24"/>
          <w:highlight w:val="none"/>
          <w:lang w:eastAsia="zh-CN"/>
        </w:rPr>
        <w:t>（</w:t>
      </w:r>
      <w:r>
        <w:rPr>
          <w:rFonts w:hint="default" w:ascii="Times New Roman" w:hAnsi="Times New Roman" w:eastAsia="宋体" w:cs="Times New Roman"/>
          <w:color w:val="auto"/>
          <w:spacing w:val="-7"/>
          <w:sz w:val="24"/>
          <w:szCs w:val="24"/>
          <w:highlight w:val="none"/>
          <w:lang w:val="en-US" w:eastAsia="zh-CN"/>
        </w:rPr>
        <w:t>3）</w:t>
      </w:r>
      <w:r>
        <w:rPr>
          <w:rFonts w:hint="default" w:ascii="Times New Roman" w:hAnsi="Times New Roman" w:eastAsia="宋体" w:cs="Times New Roman"/>
          <w:color w:val="auto"/>
          <w:spacing w:val="-7"/>
          <w:sz w:val="24"/>
          <w:szCs w:val="24"/>
          <w:highlight w:val="none"/>
        </w:rPr>
        <w:t>评价标准</w:t>
      </w:r>
    </w:p>
    <w:p w14:paraId="713A3E9F">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bookmarkStart w:id="154" w:name="bookmark66"/>
      <w:bookmarkEnd w:id="154"/>
      <w:r>
        <w:rPr>
          <w:rFonts w:hint="default" w:ascii="Times New Roman" w:hAnsi="Times New Roman" w:eastAsia="宋体" w:cs="Times New Roman"/>
          <w:color w:val="auto"/>
          <w:spacing w:val="-2"/>
          <w:sz w:val="24"/>
          <w:szCs w:val="24"/>
          <w:highlight w:val="none"/>
        </w:rPr>
        <w:t>评价标准为《声环境质量标准》（</w:t>
      </w:r>
      <w:r>
        <w:rPr>
          <w:rFonts w:hint="default" w:ascii="Times New Roman" w:hAnsi="Times New Roman" w:eastAsia="Times New Roman" w:cs="Times New Roman"/>
          <w:color w:val="auto"/>
          <w:spacing w:val="-2"/>
          <w:sz w:val="24"/>
          <w:szCs w:val="24"/>
          <w:highlight w:val="none"/>
        </w:rPr>
        <w:t>GB3096-2008</w:t>
      </w:r>
      <w:r>
        <w:rPr>
          <w:rFonts w:hint="default" w:ascii="Times New Roman" w:hAnsi="Times New Roman" w:eastAsia="宋体" w:cs="Times New Roman"/>
          <w:color w:val="auto"/>
          <w:spacing w:val="-2"/>
          <w:sz w:val="24"/>
          <w:szCs w:val="24"/>
          <w:highlight w:val="none"/>
        </w:rPr>
        <w:t>）中的</w:t>
      </w:r>
      <w:r>
        <w:rPr>
          <w:rFonts w:hint="default" w:ascii="Times New Roman" w:hAnsi="Times New Roman" w:eastAsia="宋体" w:cs="Times New Roman"/>
          <w:color w:val="FF0000"/>
          <w:spacing w:val="-2"/>
          <w:sz w:val="24"/>
          <w:szCs w:val="24"/>
          <w:highlight w:val="none"/>
          <w:lang w:val="en-US" w:eastAsia="zh-CN"/>
        </w:rPr>
        <w:t>1</w:t>
      </w:r>
      <w:r>
        <w:rPr>
          <w:rFonts w:hint="default" w:ascii="Times New Roman" w:hAnsi="Times New Roman" w:eastAsia="宋体" w:cs="Times New Roman"/>
          <w:color w:val="FF0000"/>
          <w:spacing w:val="-2"/>
          <w:sz w:val="24"/>
          <w:szCs w:val="24"/>
          <w:highlight w:val="none"/>
        </w:rPr>
        <w:t>类</w:t>
      </w:r>
      <w:r>
        <w:rPr>
          <w:rFonts w:hint="default" w:ascii="Times New Roman" w:hAnsi="Times New Roman" w:eastAsia="宋体" w:cs="Times New Roman"/>
          <w:color w:val="auto"/>
          <w:spacing w:val="-2"/>
          <w:sz w:val="24"/>
          <w:szCs w:val="24"/>
          <w:highlight w:val="none"/>
        </w:rPr>
        <w:t>标准。</w:t>
      </w:r>
    </w:p>
    <w:p w14:paraId="1A49B17E">
      <w:pPr>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4.3-1</w:t>
      </w:r>
      <w:r>
        <w:rPr>
          <w:rFonts w:hint="eastAsia" w:ascii="Times New Roman" w:hAnsi="Times New Roman" w:eastAsia="宋体" w:cs="Times New Roman"/>
          <w:b/>
          <w:bCs/>
          <w:color w:val="auto"/>
          <w:spacing w:val="-1"/>
          <w:sz w:val="24"/>
          <w:szCs w:val="24"/>
          <w:highlight w:val="none"/>
          <w:lang w:val="en-US" w:eastAsia="zh-CN"/>
        </w:rPr>
        <w:t>2</w:t>
      </w:r>
      <w:r>
        <w:rPr>
          <w:rFonts w:hint="default" w:ascii="Times New Roman" w:hAnsi="Times New Roman" w:eastAsia="宋体" w:cs="Times New Roman"/>
          <w:b/>
          <w:bCs/>
          <w:color w:val="auto"/>
          <w:spacing w:val="-1"/>
          <w:sz w:val="24"/>
          <w:szCs w:val="24"/>
          <w:highlight w:val="none"/>
        </w:rPr>
        <w:t>声环境质量标准</w:t>
      </w:r>
    </w:p>
    <w:tbl>
      <w:tblPr>
        <w:tblStyle w:val="34"/>
        <w:tblW w:w="7949" w:type="dxa"/>
        <w:jc w:val="center"/>
        <w:tblBorders>
          <w:top w:val="single" w:color="000000" w:sz="2" w:space="0"/>
          <w:left w:val="none" w:color="auto" w:sz="0" w:space="0"/>
          <w:bottom w:val="single" w:color="000000" w:sz="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2216"/>
        <w:gridCol w:w="1519"/>
        <w:gridCol w:w="2631"/>
        <w:gridCol w:w="1583"/>
      </w:tblGrid>
      <w:tr w14:paraId="192964F1">
        <w:tblPrEx>
          <w:tblBorders>
            <w:top w:val="single" w:color="000000" w:sz="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216" w:type="dxa"/>
            <w:vMerge w:val="restart"/>
            <w:tcBorders>
              <w:tl2br w:val="nil"/>
              <w:tr2bl w:val="nil"/>
            </w:tcBorders>
            <w:vAlign w:val="center"/>
          </w:tcPr>
          <w:p w14:paraId="10943A33">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声环境功能区类别</w:t>
            </w:r>
          </w:p>
        </w:tc>
        <w:tc>
          <w:tcPr>
            <w:tcW w:w="1519" w:type="dxa"/>
            <w:vMerge w:val="restart"/>
            <w:tcBorders>
              <w:tl2br w:val="nil"/>
              <w:tr2bl w:val="nil"/>
            </w:tcBorders>
            <w:vAlign w:val="center"/>
          </w:tcPr>
          <w:p w14:paraId="09F2C159">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单位</w:t>
            </w:r>
          </w:p>
        </w:tc>
        <w:tc>
          <w:tcPr>
            <w:tcW w:w="4214" w:type="dxa"/>
            <w:gridSpan w:val="2"/>
            <w:tcBorders>
              <w:tl2br w:val="nil"/>
              <w:tr2bl w:val="nil"/>
            </w:tcBorders>
            <w:vAlign w:val="center"/>
          </w:tcPr>
          <w:p w14:paraId="00B448AE">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7"/>
                <w:highlight w:val="none"/>
              </w:rPr>
              <w:t>时段</w:t>
            </w:r>
          </w:p>
        </w:tc>
      </w:tr>
      <w:tr w14:paraId="195B5F42">
        <w:tblPrEx>
          <w:tblBorders>
            <w:top w:val="single" w:color="000000" w:sz="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216" w:type="dxa"/>
            <w:vMerge w:val="continue"/>
            <w:tcBorders>
              <w:tl2br w:val="nil"/>
              <w:tr2bl w:val="nil"/>
            </w:tcBorders>
            <w:vAlign w:val="center"/>
          </w:tcPr>
          <w:p w14:paraId="0BAF33D0">
            <w:pPr>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color w:val="auto"/>
                <w:sz w:val="21"/>
                <w:highlight w:val="none"/>
              </w:rPr>
            </w:pPr>
          </w:p>
        </w:tc>
        <w:tc>
          <w:tcPr>
            <w:tcW w:w="1519" w:type="dxa"/>
            <w:vMerge w:val="continue"/>
            <w:tcBorders>
              <w:tl2br w:val="nil"/>
              <w:tr2bl w:val="nil"/>
            </w:tcBorders>
            <w:vAlign w:val="center"/>
          </w:tcPr>
          <w:p w14:paraId="79E5C709">
            <w:pPr>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color w:val="auto"/>
                <w:sz w:val="21"/>
                <w:highlight w:val="none"/>
              </w:rPr>
            </w:pPr>
          </w:p>
        </w:tc>
        <w:tc>
          <w:tcPr>
            <w:tcW w:w="2631" w:type="dxa"/>
            <w:tcBorders>
              <w:tl2br w:val="nil"/>
              <w:tr2bl w:val="nil"/>
            </w:tcBorders>
            <w:vAlign w:val="center"/>
          </w:tcPr>
          <w:p w14:paraId="0E80A0C6">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4"/>
                <w:highlight w:val="none"/>
              </w:rPr>
              <w:t>昼间</w:t>
            </w:r>
          </w:p>
        </w:tc>
        <w:tc>
          <w:tcPr>
            <w:tcW w:w="1583" w:type="dxa"/>
            <w:tcBorders>
              <w:tl2br w:val="nil"/>
              <w:tr2bl w:val="nil"/>
            </w:tcBorders>
            <w:vAlign w:val="center"/>
          </w:tcPr>
          <w:p w14:paraId="3038EA6D">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5"/>
                <w:highlight w:val="none"/>
              </w:rPr>
              <w:t>夜间</w:t>
            </w:r>
          </w:p>
        </w:tc>
      </w:tr>
      <w:tr w14:paraId="06883EAE">
        <w:tblPrEx>
          <w:tblBorders>
            <w:top w:val="single" w:color="000000" w:sz="2" w:space="0"/>
            <w:left w:val="none" w:color="auto" w:sz="0" w:space="0"/>
            <w:bottom w:val="single" w:color="000000" w:sz="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216" w:type="dxa"/>
            <w:tcBorders>
              <w:tl2br w:val="nil"/>
              <w:tr2bl w:val="nil"/>
            </w:tcBorders>
            <w:vAlign w:val="center"/>
          </w:tcPr>
          <w:p w14:paraId="6D9D2D0D">
            <w:pPr>
              <w:pStyle w:val="35"/>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color w:val="auto"/>
                <w:highlight w:val="none"/>
              </w:rPr>
            </w:pPr>
            <w:r>
              <w:rPr>
                <w:rFonts w:hint="default" w:ascii="Times New Roman" w:hAnsi="Times New Roman" w:eastAsia="宋体" w:cs="Times New Roman"/>
                <w:color w:val="FF0000"/>
                <w:spacing w:val="-2"/>
                <w:highlight w:val="none"/>
                <w:lang w:val="en-US" w:eastAsia="zh-CN"/>
              </w:rPr>
              <w:t>1</w:t>
            </w:r>
            <w:r>
              <w:rPr>
                <w:rFonts w:hint="default" w:ascii="Times New Roman" w:hAnsi="Times New Roman" w:cs="Times New Roman"/>
                <w:color w:val="FF0000"/>
                <w:spacing w:val="-2"/>
                <w:highlight w:val="none"/>
              </w:rPr>
              <w:t>类</w:t>
            </w:r>
          </w:p>
        </w:tc>
        <w:tc>
          <w:tcPr>
            <w:tcW w:w="1519" w:type="dxa"/>
            <w:tcBorders>
              <w:tl2br w:val="nil"/>
              <w:tr2bl w:val="nil"/>
            </w:tcBorders>
            <w:vAlign w:val="center"/>
          </w:tcPr>
          <w:p w14:paraId="73D629B9">
            <w:pPr>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dB(A)</w:t>
            </w:r>
          </w:p>
        </w:tc>
        <w:tc>
          <w:tcPr>
            <w:tcW w:w="2631" w:type="dxa"/>
            <w:tcBorders>
              <w:tl2br w:val="nil"/>
              <w:tr2bl w:val="nil"/>
            </w:tcBorders>
            <w:vAlign w:val="center"/>
          </w:tcPr>
          <w:p w14:paraId="1EF9194E">
            <w:pPr>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2"/>
                <w:sz w:val="21"/>
                <w:szCs w:val="21"/>
                <w:highlight w:val="none"/>
                <w:lang w:val="en-US" w:eastAsia="zh-CN"/>
              </w:rPr>
              <w:t>55</w:t>
            </w:r>
          </w:p>
        </w:tc>
        <w:tc>
          <w:tcPr>
            <w:tcW w:w="1583" w:type="dxa"/>
            <w:tcBorders>
              <w:tl2br w:val="nil"/>
              <w:tr2bl w:val="nil"/>
            </w:tcBorders>
            <w:vAlign w:val="center"/>
          </w:tcPr>
          <w:p w14:paraId="2CB26D39">
            <w:pPr>
              <w:keepNext w:val="0"/>
              <w:keepLines w:val="0"/>
              <w:pageBreakBefore w:val="0"/>
              <w:widowControl/>
              <w:kinsoku/>
              <w:wordWrap w:val="0"/>
              <w:overflowPunct/>
              <w:topLinePunct/>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3"/>
                <w:sz w:val="21"/>
                <w:szCs w:val="21"/>
                <w:highlight w:val="none"/>
                <w:lang w:val="en-US" w:eastAsia="zh-CN"/>
              </w:rPr>
              <w:t>45</w:t>
            </w:r>
          </w:p>
        </w:tc>
      </w:tr>
    </w:tbl>
    <w:p w14:paraId="33BEA98C">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lang w:val="en-US" w:eastAsia="zh-CN"/>
        </w:rPr>
        <w:t>4</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rPr>
        <w:t>评价结果</w:t>
      </w:r>
    </w:p>
    <w:p w14:paraId="0B0F6B77">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由监测结果表可知，厂界噪声昼间在</w:t>
      </w:r>
      <w:r>
        <w:rPr>
          <w:rFonts w:hint="default" w:ascii="Times New Roman" w:hAnsi="Times New Roman" w:eastAsia="宋体" w:cs="Times New Roman"/>
          <w:color w:val="auto"/>
          <w:spacing w:val="-4"/>
          <w:sz w:val="24"/>
          <w:szCs w:val="24"/>
          <w:highlight w:val="none"/>
          <w:lang w:val="en-US" w:eastAsia="zh-CN"/>
        </w:rPr>
        <w:t>50</w:t>
      </w:r>
      <w:r>
        <w:rPr>
          <w:rFonts w:hint="default" w:ascii="Times New Roman" w:hAnsi="Times New Roman" w:eastAsia="Times New Roman" w:cs="Times New Roman"/>
          <w:color w:val="auto"/>
          <w:spacing w:val="-4"/>
          <w:sz w:val="24"/>
          <w:szCs w:val="24"/>
          <w:highlight w:val="none"/>
        </w:rPr>
        <w:t>-5</w:t>
      </w:r>
      <w:r>
        <w:rPr>
          <w:rFonts w:hint="default" w:ascii="Times New Roman" w:hAnsi="Times New Roman" w:eastAsia="宋体" w:cs="Times New Roman"/>
          <w:color w:val="auto"/>
          <w:spacing w:val="-4"/>
          <w:sz w:val="24"/>
          <w:szCs w:val="24"/>
          <w:highlight w:val="none"/>
          <w:lang w:val="en-US" w:eastAsia="zh-CN"/>
        </w:rPr>
        <w:t>2</w:t>
      </w:r>
      <w:r>
        <w:rPr>
          <w:rFonts w:hint="default" w:ascii="Times New Roman" w:hAnsi="Times New Roman" w:eastAsia="Times New Roman" w:cs="Times New Roman"/>
          <w:color w:val="auto"/>
          <w:spacing w:val="-4"/>
          <w:sz w:val="24"/>
          <w:szCs w:val="24"/>
          <w:highlight w:val="none"/>
        </w:rPr>
        <w:t>dB(A)</w:t>
      </w:r>
      <w:r>
        <w:rPr>
          <w:rFonts w:hint="default" w:ascii="Times New Roman" w:hAnsi="Times New Roman" w:eastAsia="宋体" w:cs="Times New Roman"/>
          <w:color w:val="auto"/>
          <w:spacing w:val="-4"/>
          <w:sz w:val="24"/>
          <w:szCs w:val="24"/>
          <w:highlight w:val="none"/>
        </w:rPr>
        <w:t>之间，夜间</w:t>
      </w:r>
      <w:r>
        <w:rPr>
          <w:rFonts w:hint="default" w:ascii="Times New Roman" w:hAnsi="Times New Roman" w:eastAsia="宋体" w:cs="Times New Roman"/>
          <w:color w:val="auto"/>
          <w:spacing w:val="-5"/>
          <w:sz w:val="24"/>
          <w:szCs w:val="24"/>
          <w:highlight w:val="none"/>
        </w:rPr>
        <w:t>在</w:t>
      </w:r>
      <w:r>
        <w:rPr>
          <w:rFonts w:hint="default" w:ascii="Times New Roman" w:hAnsi="Times New Roman" w:eastAsia="宋体" w:cs="Times New Roman"/>
          <w:color w:val="auto"/>
          <w:spacing w:val="-5"/>
          <w:sz w:val="24"/>
          <w:szCs w:val="24"/>
          <w:highlight w:val="none"/>
          <w:lang w:val="en-US" w:eastAsia="zh-CN"/>
        </w:rPr>
        <w:t>40-43</w:t>
      </w:r>
      <w:r>
        <w:rPr>
          <w:rFonts w:hint="default" w:ascii="Times New Roman" w:hAnsi="Times New Roman" w:eastAsia="Times New Roman" w:cs="Times New Roman"/>
          <w:color w:val="auto"/>
          <w:spacing w:val="-5"/>
          <w:sz w:val="24"/>
          <w:szCs w:val="24"/>
          <w:highlight w:val="none"/>
        </w:rPr>
        <w:t>dB(A)</w:t>
      </w:r>
      <w:r>
        <w:rPr>
          <w:rFonts w:hint="default" w:ascii="Times New Roman" w:hAnsi="Times New Roman" w:eastAsia="宋体" w:cs="Times New Roman"/>
          <w:color w:val="auto"/>
          <w:spacing w:val="-1"/>
          <w:sz w:val="24"/>
          <w:szCs w:val="24"/>
          <w:highlight w:val="none"/>
        </w:rPr>
        <w:t>之间，项目厂界可以满足《声环境质量标准》（</w:t>
      </w:r>
      <w:r>
        <w:rPr>
          <w:rFonts w:hint="default" w:ascii="Times New Roman" w:hAnsi="Times New Roman" w:eastAsia="Times New Roman" w:cs="Times New Roman"/>
          <w:color w:val="auto"/>
          <w:spacing w:val="-1"/>
          <w:sz w:val="24"/>
          <w:szCs w:val="24"/>
          <w:highlight w:val="none"/>
        </w:rPr>
        <w:t>GB3096-2008</w:t>
      </w:r>
      <w:r>
        <w:rPr>
          <w:rFonts w:hint="default" w:ascii="Times New Roman" w:hAnsi="Times New Roman" w:eastAsia="宋体" w:cs="Times New Roman"/>
          <w:color w:val="auto"/>
          <w:spacing w:val="-1"/>
          <w:sz w:val="24"/>
          <w:szCs w:val="24"/>
          <w:highlight w:val="none"/>
        </w:rPr>
        <w:t>）中的</w:t>
      </w:r>
      <w:r>
        <w:rPr>
          <w:rFonts w:hint="default" w:ascii="Times New Roman" w:hAnsi="Times New Roman" w:eastAsia="宋体" w:cs="Times New Roman"/>
          <w:color w:val="auto"/>
          <w:spacing w:val="-1"/>
          <w:sz w:val="24"/>
          <w:szCs w:val="24"/>
          <w:highlight w:val="none"/>
          <w:lang w:val="en-US" w:eastAsia="zh-CN"/>
        </w:rPr>
        <w:t>1</w:t>
      </w:r>
      <w:r>
        <w:rPr>
          <w:rFonts w:hint="default" w:ascii="Times New Roman" w:hAnsi="Times New Roman" w:eastAsia="宋体" w:cs="Times New Roman"/>
          <w:color w:val="auto"/>
          <w:spacing w:val="-1"/>
          <w:sz w:val="24"/>
          <w:szCs w:val="24"/>
          <w:highlight w:val="none"/>
        </w:rPr>
        <w:t>类标准：</w:t>
      </w:r>
      <w:r>
        <w:rPr>
          <w:rFonts w:hint="default" w:ascii="Times New Roman" w:hAnsi="Times New Roman" w:eastAsia="宋体" w:cs="Times New Roman"/>
          <w:color w:val="auto"/>
          <w:spacing w:val="-2"/>
          <w:sz w:val="24"/>
          <w:szCs w:val="24"/>
          <w:highlight w:val="none"/>
        </w:rPr>
        <w:t>昼</w:t>
      </w:r>
      <w:r>
        <w:rPr>
          <w:rFonts w:hint="default" w:ascii="Times New Roman" w:hAnsi="Times New Roman" w:eastAsia="宋体" w:cs="Times New Roman"/>
          <w:color w:val="FF0000"/>
          <w:spacing w:val="-2"/>
          <w:sz w:val="24"/>
          <w:szCs w:val="24"/>
          <w:highlight w:val="none"/>
        </w:rPr>
        <w:t>间</w:t>
      </w:r>
      <w:r>
        <w:rPr>
          <w:rFonts w:hint="default" w:ascii="Times New Roman" w:hAnsi="Times New Roman" w:eastAsia="宋体" w:cs="Times New Roman"/>
          <w:color w:val="FF0000"/>
          <w:spacing w:val="-3"/>
          <w:sz w:val="24"/>
          <w:szCs w:val="24"/>
          <w:highlight w:val="none"/>
          <w:lang w:val="en-US" w:eastAsia="zh-CN"/>
        </w:rPr>
        <w:t>55</w:t>
      </w:r>
      <w:r>
        <w:rPr>
          <w:rFonts w:hint="default" w:ascii="Times New Roman" w:hAnsi="Times New Roman" w:eastAsia="Times New Roman" w:cs="Times New Roman"/>
          <w:color w:val="FF0000"/>
          <w:spacing w:val="-3"/>
          <w:sz w:val="24"/>
          <w:szCs w:val="24"/>
          <w:highlight w:val="none"/>
        </w:rPr>
        <w:t>dB(A)</w:t>
      </w:r>
      <w:r>
        <w:rPr>
          <w:rFonts w:hint="default" w:ascii="Times New Roman" w:hAnsi="Times New Roman" w:eastAsia="宋体" w:cs="Times New Roman"/>
          <w:color w:val="FF0000"/>
          <w:spacing w:val="-3"/>
          <w:sz w:val="24"/>
          <w:szCs w:val="24"/>
          <w:highlight w:val="none"/>
        </w:rPr>
        <w:t>，夜间</w:t>
      </w:r>
      <w:r>
        <w:rPr>
          <w:rFonts w:hint="default" w:ascii="Times New Roman" w:hAnsi="Times New Roman" w:eastAsia="宋体" w:cs="Times New Roman"/>
          <w:color w:val="FF0000"/>
          <w:spacing w:val="-3"/>
          <w:sz w:val="24"/>
          <w:szCs w:val="24"/>
          <w:highlight w:val="none"/>
          <w:lang w:val="en-US" w:eastAsia="zh-CN"/>
        </w:rPr>
        <w:t>45</w:t>
      </w:r>
      <w:r>
        <w:rPr>
          <w:rFonts w:hint="default" w:ascii="Times New Roman" w:hAnsi="Times New Roman" w:eastAsia="Times New Roman" w:cs="Times New Roman"/>
          <w:color w:val="FF0000"/>
          <w:spacing w:val="-3"/>
          <w:sz w:val="24"/>
          <w:szCs w:val="24"/>
          <w:highlight w:val="none"/>
        </w:rPr>
        <w:t>dB(A)</w:t>
      </w:r>
      <w:r>
        <w:rPr>
          <w:rFonts w:hint="default" w:ascii="Times New Roman" w:hAnsi="Times New Roman" w:eastAsia="宋体" w:cs="Times New Roman"/>
          <w:color w:val="auto"/>
          <w:spacing w:val="-3"/>
          <w:sz w:val="24"/>
          <w:szCs w:val="24"/>
          <w:highlight w:val="none"/>
        </w:rPr>
        <w:t>。</w:t>
      </w:r>
    </w:p>
    <w:p w14:paraId="47211346">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55" w:name="_Toc17466"/>
      <w:r>
        <w:rPr>
          <w:rFonts w:hint="default" w:ascii="Times New Roman" w:hAnsi="Times New Roman" w:eastAsia="宋体" w:cs="Times New Roman"/>
          <w:b/>
          <w:bCs/>
          <w:color w:val="auto"/>
          <w:spacing w:val="-2"/>
          <w:sz w:val="24"/>
          <w:szCs w:val="24"/>
          <w:highlight w:val="none"/>
          <w:lang w:val="en-US" w:eastAsia="zh-CN"/>
        </w:rPr>
        <w:t>4.3.5土壤环境质量现状评价</w:t>
      </w:r>
      <w:bookmarkEnd w:id="155"/>
    </w:p>
    <w:p w14:paraId="1E837C2D">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4.</w:t>
      </w:r>
      <w:r>
        <w:rPr>
          <w:rFonts w:hint="default"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宋体" w:cs="Times New Roman"/>
          <w:b/>
          <w:bCs/>
          <w:color w:val="auto"/>
          <w:spacing w:val="-1"/>
          <w:sz w:val="24"/>
          <w:szCs w:val="24"/>
          <w:highlight w:val="none"/>
          <w:lang w:val="zh-CN" w:eastAsia="zh-CN"/>
        </w:rPr>
        <w:t>.5.1</w:t>
      </w:r>
      <w:r>
        <w:rPr>
          <w:rFonts w:hint="default" w:ascii="Times New Roman" w:hAnsi="Times New Roman" w:eastAsia="宋体" w:cs="Times New Roman"/>
          <w:b/>
          <w:bCs/>
          <w:color w:val="auto"/>
          <w:spacing w:val="-4"/>
          <w:sz w:val="24"/>
          <w:szCs w:val="24"/>
          <w:highlight w:val="none"/>
        </w:rPr>
        <w:t>土壤环境</w:t>
      </w:r>
      <w:r>
        <w:rPr>
          <w:rFonts w:hint="default" w:ascii="Times New Roman" w:hAnsi="Times New Roman" w:eastAsia="宋体" w:cs="Times New Roman"/>
          <w:b/>
          <w:bCs/>
          <w:color w:val="auto"/>
          <w:spacing w:val="-4"/>
          <w:sz w:val="24"/>
          <w:szCs w:val="24"/>
          <w:highlight w:val="none"/>
          <w:lang w:val="en-US" w:eastAsia="zh-CN"/>
        </w:rPr>
        <w:t>质量</w:t>
      </w:r>
      <w:r>
        <w:rPr>
          <w:rFonts w:hint="default" w:ascii="Times New Roman" w:hAnsi="Times New Roman" w:eastAsia="宋体" w:cs="Times New Roman"/>
          <w:b/>
          <w:bCs/>
          <w:color w:val="auto"/>
          <w:spacing w:val="-4"/>
          <w:sz w:val="24"/>
          <w:szCs w:val="24"/>
          <w:highlight w:val="none"/>
        </w:rPr>
        <w:t>现状监测</w:t>
      </w:r>
    </w:p>
    <w:p w14:paraId="2B6D9383">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1</w:t>
      </w:r>
      <w:r>
        <w:rPr>
          <w:rFonts w:hint="default" w:ascii="Times New Roman" w:hAnsi="Times New Roman" w:eastAsia="宋体" w:cs="Times New Roman"/>
          <w:color w:val="auto"/>
          <w:spacing w:val="-4"/>
          <w:sz w:val="24"/>
          <w:szCs w:val="24"/>
          <w:highlight w:val="none"/>
        </w:rPr>
        <w:t>）监测点位</w:t>
      </w:r>
    </w:p>
    <w:p w14:paraId="47399A40">
      <w:pPr>
        <w:keepNext w:val="0"/>
        <w:keepLines w:val="0"/>
        <w:pageBreakBefore w:val="0"/>
        <w:widowControl/>
        <w:kinsoku/>
        <w:wordWrap w:val="0"/>
        <w:overflowPunct/>
        <w:topLinePunct/>
        <w:autoSpaceDE/>
        <w:autoSpaceDN/>
        <w:bidi w:val="0"/>
        <w:adjustRightInd w:val="0"/>
        <w:snapToGrid w:val="0"/>
        <w:spacing w:line="360" w:lineRule="auto"/>
        <w:ind w:left="0" w:right="0" w:firstLine="444" w:firstLineChars="200"/>
        <w:textAlignment w:val="baseline"/>
        <w:rPr>
          <w:rFonts w:hint="default" w:ascii="Times New Roman" w:hAnsi="Times New Roman" w:eastAsia="宋体" w:cs="Times New Roman"/>
          <w:color w:val="FF0000"/>
          <w:spacing w:val="-11"/>
          <w:sz w:val="24"/>
          <w:szCs w:val="24"/>
          <w:highlight w:val="none"/>
          <w:lang w:val="en-US" w:eastAsia="zh-CN"/>
        </w:rPr>
      </w:pPr>
      <w:r>
        <w:rPr>
          <w:rFonts w:hint="default" w:ascii="Times New Roman" w:hAnsi="Times New Roman" w:eastAsia="宋体" w:cs="Times New Roman"/>
          <w:color w:val="FF0000"/>
          <w:spacing w:val="-9"/>
          <w:sz w:val="24"/>
          <w:szCs w:val="24"/>
          <w:highlight w:val="none"/>
        </w:rPr>
        <w:t>依据《环境影响评价技术导则土壤环境（试行）》</w:t>
      </w:r>
      <w:r>
        <w:rPr>
          <w:rFonts w:hint="default" w:ascii="Times New Roman" w:hAnsi="Times New Roman" w:eastAsia="宋体" w:cs="Times New Roman"/>
          <w:color w:val="FF0000"/>
          <w:spacing w:val="-9"/>
          <w:sz w:val="24"/>
          <w:szCs w:val="24"/>
          <w:highlight w:val="none"/>
          <w:lang w:eastAsia="zh-CN"/>
        </w:rPr>
        <w:t>（</w:t>
      </w:r>
      <w:r>
        <w:rPr>
          <w:rFonts w:hint="default" w:ascii="Times New Roman" w:hAnsi="Times New Roman" w:eastAsia="宋体" w:cs="Times New Roman"/>
          <w:color w:val="FF0000"/>
          <w:spacing w:val="-9"/>
          <w:sz w:val="24"/>
          <w:szCs w:val="24"/>
          <w:highlight w:val="none"/>
        </w:rPr>
        <w:t>HJ 964—2018</w:t>
      </w:r>
      <w:r>
        <w:rPr>
          <w:rFonts w:hint="default" w:ascii="Times New Roman" w:hAnsi="Times New Roman" w:eastAsia="宋体" w:cs="Times New Roman"/>
          <w:color w:val="FF0000"/>
          <w:spacing w:val="-9"/>
          <w:sz w:val="24"/>
          <w:szCs w:val="24"/>
          <w:highlight w:val="none"/>
          <w:lang w:eastAsia="zh-CN"/>
        </w:rPr>
        <w:t>）</w:t>
      </w:r>
      <w:r>
        <w:rPr>
          <w:rFonts w:hint="default" w:ascii="Times New Roman" w:hAnsi="Times New Roman" w:eastAsia="宋体" w:cs="Times New Roman"/>
          <w:color w:val="FF0000"/>
          <w:spacing w:val="-9"/>
          <w:sz w:val="24"/>
          <w:szCs w:val="24"/>
          <w:highlight w:val="none"/>
        </w:rPr>
        <w:t>本项目属于污染影响型项目，</w:t>
      </w:r>
      <w:r>
        <w:rPr>
          <w:rFonts w:hint="default" w:ascii="Times New Roman" w:hAnsi="Times New Roman" w:eastAsia="宋体" w:cs="Times New Roman"/>
          <w:color w:val="FF0000"/>
          <w:spacing w:val="-5"/>
          <w:sz w:val="24"/>
          <w:szCs w:val="24"/>
          <w:highlight w:val="none"/>
        </w:rPr>
        <w:t>评价等级为三级。根据土壤导则现状监测点数量要求，在厂区内共设</w:t>
      </w:r>
      <w:r>
        <w:rPr>
          <w:rFonts w:hint="default" w:ascii="Times New Roman" w:hAnsi="Times New Roman" w:eastAsia="Times New Roman" w:cs="Times New Roman"/>
          <w:color w:val="FF0000"/>
          <w:spacing w:val="-5"/>
          <w:sz w:val="24"/>
          <w:szCs w:val="24"/>
          <w:highlight w:val="none"/>
        </w:rPr>
        <w:t>3</w:t>
      </w:r>
      <w:r>
        <w:rPr>
          <w:rFonts w:hint="default" w:ascii="Times New Roman" w:hAnsi="Times New Roman" w:eastAsia="宋体" w:cs="Times New Roman"/>
          <w:color w:val="FF0000"/>
          <w:spacing w:val="-5"/>
          <w:sz w:val="24"/>
          <w:szCs w:val="24"/>
          <w:highlight w:val="none"/>
        </w:rPr>
        <w:t>个表层样检测</w:t>
      </w:r>
      <w:r>
        <w:rPr>
          <w:rFonts w:hint="default" w:ascii="Times New Roman" w:hAnsi="Times New Roman" w:eastAsia="宋体" w:cs="Times New Roman"/>
          <w:color w:val="FF0000"/>
          <w:spacing w:val="-11"/>
          <w:sz w:val="24"/>
          <w:szCs w:val="24"/>
          <w:highlight w:val="none"/>
        </w:rPr>
        <w:t>点</w:t>
      </w:r>
      <w:r>
        <w:rPr>
          <w:rFonts w:hint="default" w:ascii="Times New Roman" w:hAnsi="Times New Roman" w:eastAsia="宋体" w:cs="Times New Roman"/>
          <w:color w:val="FF0000"/>
          <w:spacing w:val="-11"/>
          <w:sz w:val="24"/>
          <w:szCs w:val="24"/>
          <w:highlight w:val="none"/>
          <w:lang w:eastAsia="zh-CN"/>
        </w:rPr>
        <w:t>，</w:t>
      </w:r>
      <w:r>
        <w:rPr>
          <w:rFonts w:hint="default" w:ascii="Times New Roman" w:hAnsi="Times New Roman" w:eastAsia="宋体" w:cs="Times New Roman"/>
          <w:color w:val="FF0000"/>
          <w:spacing w:val="-11"/>
          <w:sz w:val="24"/>
          <w:szCs w:val="24"/>
          <w:highlight w:val="none"/>
          <w:lang w:val="en-US" w:eastAsia="zh-CN"/>
        </w:rPr>
        <w:t>分别取自粪污储存间附近，牛舍附近，医疗废物暂存间附近，本次所选的采样点位是建成后预测污染影响较大的区域，故本次布点合理。本项目建设不涉及土表剥离。</w:t>
      </w:r>
    </w:p>
    <w:p w14:paraId="5D5BC82D">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72405" cy="3277235"/>
            <wp:effectExtent l="0" t="0" r="4445" b="18415"/>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83"/>
                    <a:stretch>
                      <a:fillRect/>
                    </a:stretch>
                  </pic:blipFill>
                  <pic:spPr>
                    <a:xfrm>
                      <a:off x="0" y="0"/>
                      <a:ext cx="5272405" cy="3277235"/>
                    </a:xfrm>
                    <a:prstGeom prst="rect">
                      <a:avLst/>
                    </a:prstGeom>
                    <a:noFill/>
                    <a:ln>
                      <a:noFill/>
                    </a:ln>
                  </pic:spPr>
                </pic:pic>
              </a:graphicData>
            </a:graphic>
          </wp:inline>
        </w:drawing>
      </w:r>
    </w:p>
    <w:p w14:paraId="1C72D8FF">
      <w:pPr>
        <w:keepNext w:val="0"/>
        <w:keepLines w:val="0"/>
        <w:pageBreakBefore w:val="0"/>
        <w:widowControl/>
        <w:kinsoku/>
        <w:wordWrap w:val="0"/>
        <w:overflowPunct/>
        <w:topLinePunct/>
        <w:autoSpaceDE/>
        <w:autoSpaceDN/>
        <w:bidi w:val="0"/>
        <w:adjustRightInd w:val="0"/>
        <w:snapToGrid w:val="0"/>
        <w:spacing w:line="240" w:lineRule="auto"/>
        <w:jc w:val="center"/>
        <w:textAlignment w:val="baseline"/>
        <w:rPr>
          <w:rFonts w:hint="default" w:ascii="Times New Roman" w:hAnsi="Times New Roman" w:cs="Times New Roman"/>
          <w:color w:val="auto"/>
          <w:highlight w:val="none"/>
        </w:rPr>
      </w:pPr>
      <w:r>
        <w:rPr>
          <w:rFonts w:hint="default" w:ascii="Times New Roman" w:hAnsi="Times New Roman" w:eastAsia="宋体" w:cs="Times New Roman"/>
          <w:b/>
          <w:bCs/>
          <w:color w:val="auto"/>
          <w:spacing w:val="-3"/>
          <w:sz w:val="24"/>
          <w:szCs w:val="24"/>
          <w:highlight w:val="none"/>
        </w:rPr>
        <w:t>表</w:t>
      </w:r>
      <w:r>
        <w:rPr>
          <w:rFonts w:hint="default" w:ascii="Times New Roman" w:hAnsi="Times New Roman" w:eastAsia="Times New Roman" w:cs="Times New Roman"/>
          <w:b/>
          <w:bCs/>
          <w:color w:val="auto"/>
          <w:spacing w:val="-3"/>
          <w:sz w:val="24"/>
          <w:szCs w:val="24"/>
          <w:highlight w:val="none"/>
        </w:rPr>
        <w:t>4.3-</w:t>
      </w:r>
      <w:r>
        <w:rPr>
          <w:rFonts w:hint="default" w:ascii="Times New Roman" w:hAnsi="Times New Roman" w:eastAsia="宋体" w:cs="Times New Roman"/>
          <w:b/>
          <w:bCs/>
          <w:color w:val="auto"/>
          <w:spacing w:val="-3"/>
          <w:sz w:val="24"/>
          <w:szCs w:val="24"/>
          <w:highlight w:val="none"/>
          <w:lang w:val="en-US" w:eastAsia="zh-CN"/>
        </w:rPr>
        <w:t>4土壤</w:t>
      </w:r>
      <w:r>
        <w:rPr>
          <w:rFonts w:hint="default" w:ascii="Times New Roman" w:hAnsi="Times New Roman" w:eastAsia="宋体" w:cs="Times New Roman"/>
          <w:b/>
          <w:bCs/>
          <w:color w:val="auto"/>
          <w:spacing w:val="-3"/>
          <w:sz w:val="24"/>
          <w:szCs w:val="24"/>
          <w:highlight w:val="none"/>
        </w:rPr>
        <w:t>监测点位示意图</w:t>
      </w:r>
    </w:p>
    <w:p w14:paraId="09F422E5">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2</w:t>
      </w:r>
      <w:r>
        <w:rPr>
          <w:rFonts w:hint="default" w:ascii="Times New Roman" w:hAnsi="Times New Roman" w:eastAsia="宋体" w:cs="Times New Roman"/>
          <w:color w:val="auto"/>
          <w:spacing w:val="-4"/>
          <w:sz w:val="24"/>
          <w:szCs w:val="24"/>
          <w:highlight w:val="none"/>
        </w:rPr>
        <w:t>）监测因子</w:t>
      </w:r>
    </w:p>
    <w:p w14:paraId="6C38344D">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color w:val="auto"/>
          <w:spacing w:val="-3"/>
          <w:sz w:val="24"/>
          <w:szCs w:val="24"/>
          <w:highlight w:val="none"/>
        </w:rPr>
        <w:t>1#</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3"/>
          <w:sz w:val="24"/>
          <w:szCs w:val="24"/>
          <w:highlight w:val="none"/>
        </w:rPr>
        <w:t>监测点位：</w:t>
      </w:r>
      <w:r>
        <w:rPr>
          <w:rFonts w:hint="default" w:ascii="Times New Roman" w:hAnsi="Times New Roman" w:eastAsia="Times New Roman" w:cs="Times New Roman"/>
          <w:color w:val="auto"/>
          <w:spacing w:val="-3"/>
          <w:sz w:val="24"/>
          <w:szCs w:val="24"/>
          <w:highlight w:val="none"/>
        </w:rPr>
        <w:t>pH</w:t>
      </w:r>
      <w:r>
        <w:rPr>
          <w:rFonts w:hint="default" w:ascii="Times New Roman" w:hAnsi="Times New Roman" w:eastAsia="宋体" w:cs="Times New Roman"/>
          <w:color w:val="auto"/>
          <w:spacing w:val="-3"/>
          <w:sz w:val="24"/>
          <w:szCs w:val="24"/>
          <w:highlight w:val="none"/>
        </w:rPr>
        <w:t>、镉、汞、砷、铅、</w:t>
      </w:r>
      <w:r>
        <w:rPr>
          <w:rFonts w:hint="default" w:ascii="Times New Roman" w:hAnsi="Times New Roman" w:eastAsia="宋体" w:cs="Times New Roman"/>
          <w:color w:val="auto"/>
          <w:spacing w:val="-4"/>
          <w:sz w:val="24"/>
          <w:szCs w:val="24"/>
          <w:highlight w:val="none"/>
        </w:rPr>
        <w:t>铬</w:t>
      </w:r>
      <w:r>
        <w:rPr>
          <w:rFonts w:hint="default" w:ascii="Times New Roman" w:hAnsi="Times New Roman" w:eastAsia="宋体" w:cs="Times New Roman"/>
          <w:color w:val="auto"/>
          <w:spacing w:val="-3"/>
          <w:sz w:val="24"/>
          <w:szCs w:val="24"/>
          <w:highlight w:val="none"/>
        </w:rPr>
        <w:t>、铜</w:t>
      </w:r>
      <w:r>
        <w:rPr>
          <w:rFonts w:hint="default" w:ascii="Times New Roman" w:hAnsi="Times New Roman" w:eastAsia="宋体" w:cs="Times New Roman"/>
          <w:color w:val="auto"/>
          <w:spacing w:val="-4"/>
          <w:sz w:val="24"/>
          <w:szCs w:val="24"/>
          <w:highlight w:val="none"/>
        </w:rPr>
        <w:t>、镍</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lang w:val="en-US" w:eastAsia="zh-CN"/>
        </w:rPr>
        <w:t>锌</w:t>
      </w:r>
      <w:r>
        <w:rPr>
          <w:rFonts w:hint="default" w:ascii="Times New Roman" w:hAnsi="Times New Roman" w:eastAsia="宋体" w:cs="Times New Roman"/>
          <w:color w:val="auto"/>
          <w:spacing w:val="-4"/>
          <w:sz w:val="24"/>
          <w:szCs w:val="24"/>
          <w:highlight w:val="none"/>
        </w:rPr>
        <w:t>。</w:t>
      </w:r>
    </w:p>
    <w:p w14:paraId="0642494E">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3</w:t>
      </w:r>
      <w:r>
        <w:rPr>
          <w:rFonts w:hint="default" w:ascii="Times New Roman" w:hAnsi="Times New Roman" w:eastAsia="宋体" w:cs="Times New Roman"/>
          <w:color w:val="auto"/>
          <w:spacing w:val="-4"/>
          <w:sz w:val="24"/>
          <w:szCs w:val="24"/>
          <w:highlight w:val="none"/>
        </w:rPr>
        <w:t>）监测方法</w:t>
      </w:r>
    </w:p>
    <w:p w14:paraId="00C3C571">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监测点表层样监测方法按照《土壤环境监测技术规范》（</w:t>
      </w:r>
      <w:r>
        <w:rPr>
          <w:rFonts w:hint="default" w:ascii="Times New Roman" w:hAnsi="Times New Roman" w:eastAsia="Times New Roman" w:cs="Times New Roman"/>
          <w:color w:val="auto"/>
          <w:sz w:val="24"/>
          <w:szCs w:val="24"/>
          <w:highlight w:val="none"/>
        </w:rPr>
        <w:t>H</w:t>
      </w:r>
      <w:r>
        <w:rPr>
          <w:rFonts w:hint="default" w:ascii="Times New Roman" w:hAnsi="Times New Roman" w:eastAsia="Times New Roman" w:cs="Times New Roman"/>
          <w:color w:val="auto"/>
          <w:spacing w:val="-1"/>
          <w:sz w:val="24"/>
          <w:szCs w:val="24"/>
          <w:highlight w:val="none"/>
        </w:rPr>
        <w:t>J/T166-2004</w:t>
      </w:r>
      <w:r>
        <w:rPr>
          <w:rFonts w:hint="default" w:ascii="Times New Roman" w:hAnsi="Times New Roman" w:eastAsia="宋体" w:cs="Times New Roman"/>
          <w:color w:val="auto"/>
          <w:spacing w:val="-1"/>
          <w:sz w:val="24"/>
          <w:szCs w:val="24"/>
          <w:highlight w:val="none"/>
        </w:rPr>
        <w:t>）表</w:t>
      </w:r>
      <w:r>
        <w:rPr>
          <w:rFonts w:hint="default" w:ascii="Times New Roman" w:hAnsi="Times New Roman" w:eastAsia="Times New Roman" w:cs="Times New Roman"/>
          <w:color w:val="auto"/>
          <w:spacing w:val="-1"/>
          <w:sz w:val="24"/>
          <w:szCs w:val="24"/>
          <w:highlight w:val="none"/>
        </w:rPr>
        <w:t>1</w:t>
      </w:r>
      <w:r>
        <w:rPr>
          <w:rFonts w:hint="default" w:ascii="Times New Roman" w:hAnsi="Times New Roman" w:eastAsia="宋体" w:cs="Times New Roman"/>
          <w:color w:val="auto"/>
          <w:spacing w:val="-10"/>
          <w:sz w:val="24"/>
          <w:szCs w:val="24"/>
          <w:highlight w:val="none"/>
        </w:rPr>
        <w:t>执行。</w:t>
      </w:r>
    </w:p>
    <w:p w14:paraId="74D646E1">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4</w:t>
      </w:r>
      <w:r>
        <w:rPr>
          <w:rFonts w:hint="default" w:ascii="Times New Roman" w:hAnsi="Times New Roman" w:eastAsia="宋体" w:cs="Times New Roman"/>
          <w:color w:val="auto"/>
          <w:spacing w:val="-4"/>
          <w:sz w:val="24"/>
          <w:szCs w:val="24"/>
          <w:highlight w:val="none"/>
        </w:rPr>
        <w:t>）监测结果</w:t>
      </w:r>
    </w:p>
    <w:p w14:paraId="2B40E180">
      <w:pPr>
        <w:keepNext w:val="0"/>
        <w:keepLines w:val="0"/>
        <w:pageBreakBefore w:val="0"/>
        <w:kinsoku/>
        <w:wordWrap w:val="0"/>
        <w:overflowPunct/>
        <w:topLinePunct/>
        <w:autoSpaceDE/>
        <w:autoSpaceDN/>
        <w:bidi w:val="0"/>
        <w:adjustRightInd w:val="0"/>
        <w:snapToGrid w:val="0"/>
        <w:spacing w:before="78" w:line="214" w:lineRule="auto"/>
        <w:ind w:left="271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4.3-1</w:t>
      </w:r>
      <w:r>
        <w:rPr>
          <w:rFonts w:hint="eastAsia" w:ascii="Times New Roman" w:hAnsi="Times New Roman" w:eastAsia="宋体" w:cs="Times New Roman"/>
          <w:b/>
          <w:bCs/>
          <w:color w:val="auto"/>
          <w:spacing w:val="-1"/>
          <w:sz w:val="24"/>
          <w:szCs w:val="24"/>
          <w:highlight w:val="none"/>
          <w:lang w:val="en-US" w:eastAsia="zh-CN"/>
        </w:rPr>
        <w:t>3</w:t>
      </w:r>
      <w:r>
        <w:rPr>
          <w:rFonts w:hint="default" w:ascii="Times New Roman" w:hAnsi="Times New Roman" w:eastAsia="宋体" w:cs="Times New Roman"/>
          <w:b/>
          <w:bCs/>
          <w:color w:val="auto"/>
          <w:spacing w:val="-1"/>
          <w:sz w:val="24"/>
          <w:szCs w:val="24"/>
          <w:highlight w:val="none"/>
        </w:rPr>
        <w:t>土壤环境质量检测结果表</w:t>
      </w:r>
    </w:p>
    <w:p w14:paraId="48A49D96">
      <w:pPr>
        <w:keepNext w:val="0"/>
        <w:keepLines w:val="0"/>
        <w:pageBreakBefore w:val="0"/>
        <w:kinsoku/>
        <w:wordWrap w:val="0"/>
        <w:overflowPunct/>
        <w:topLinePunct/>
        <w:autoSpaceDE/>
        <w:autoSpaceDN/>
        <w:bidi w:val="0"/>
        <w:adjustRightInd w:val="0"/>
        <w:snapToGrid w:val="0"/>
        <w:spacing w:line="29" w:lineRule="exact"/>
        <w:ind w:firstLine="14"/>
        <w:textAlignment w:val="baseline"/>
        <w:rPr>
          <w:rFonts w:hint="default" w:ascii="Times New Roman" w:hAnsi="Times New Roman" w:cs="Times New Roman"/>
          <w:color w:val="auto"/>
          <w:highlight w:val="none"/>
        </w:rPr>
      </w:pPr>
    </w:p>
    <w:tbl>
      <w:tblPr>
        <w:tblStyle w:val="34"/>
        <w:tblW w:w="901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5"/>
        <w:gridCol w:w="1525"/>
        <w:gridCol w:w="986"/>
        <w:gridCol w:w="1932"/>
        <w:gridCol w:w="1933"/>
        <w:gridCol w:w="1937"/>
      </w:tblGrid>
      <w:tr w14:paraId="3A398F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018" w:type="dxa"/>
            <w:gridSpan w:val="6"/>
            <w:tcBorders>
              <w:left w:val="nil"/>
              <w:right w:val="nil"/>
            </w:tcBorders>
            <w:vAlign w:val="center"/>
          </w:tcPr>
          <w:p w14:paraId="4326E56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pacing w:val="-2"/>
                <w:sz w:val="21"/>
                <w:szCs w:val="21"/>
                <w:highlight w:val="none"/>
                <w:lang w:val="en-US" w:eastAsia="zh-CN"/>
              </w:rPr>
            </w:pPr>
            <w:r>
              <w:rPr>
                <w:rFonts w:hint="default" w:ascii="Times New Roman" w:hAnsi="Times New Roman" w:eastAsia="宋体" w:cs="Times New Roman"/>
                <w:color w:val="auto"/>
                <w:spacing w:val="-1"/>
                <w:sz w:val="21"/>
                <w:szCs w:val="21"/>
                <w:highlight w:val="none"/>
              </w:rPr>
              <w:t>采样时间：</w:t>
            </w:r>
            <w:r>
              <w:rPr>
                <w:rFonts w:hint="default" w:ascii="Times New Roman" w:hAnsi="Times New Roman" w:eastAsia="Times New Roman" w:cs="Times New Roman"/>
                <w:color w:val="auto"/>
                <w:spacing w:val="-1"/>
                <w:sz w:val="21"/>
                <w:szCs w:val="21"/>
                <w:highlight w:val="none"/>
              </w:rPr>
              <w:t>202</w:t>
            </w:r>
            <w:r>
              <w:rPr>
                <w:rFonts w:hint="default" w:ascii="Times New Roman" w:hAnsi="Times New Roman" w:eastAsia="宋体" w:cs="Times New Roman"/>
                <w:color w:val="auto"/>
                <w:spacing w:val="-1"/>
                <w:sz w:val="21"/>
                <w:szCs w:val="21"/>
                <w:highlight w:val="none"/>
                <w:lang w:val="en-US" w:eastAsia="zh-CN"/>
              </w:rPr>
              <w:t>5</w:t>
            </w:r>
            <w:r>
              <w:rPr>
                <w:rFonts w:hint="default" w:ascii="Times New Roman" w:hAnsi="Times New Roman" w:eastAsia="Times New Roman" w:cs="Times New Roman"/>
                <w:color w:val="auto"/>
                <w:spacing w:val="-1"/>
                <w:sz w:val="21"/>
                <w:szCs w:val="21"/>
                <w:highlight w:val="none"/>
              </w:rPr>
              <w:t>.</w:t>
            </w:r>
            <w:r>
              <w:rPr>
                <w:rFonts w:hint="default" w:ascii="Times New Roman" w:hAnsi="Times New Roman" w:eastAsia="宋体" w:cs="Times New Roman"/>
                <w:color w:val="auto"/>
                <w:spacing w:val="-1"/>
                <w:sz w:val="21"/>
                <w:szCs w:val="21"/>
                <w:highlight w:val="none"/>
                <w:lang w:val="en-US" w:eastAsia="zh-CN"/>
              </w:rPr>
              <w:t>05</w:t>
            </w:r>
            <w:r>
              <w:rPr>
                <w:rFonts w:hint="default" w:ascii="Times New Roman" w:hAnsi="Times New Roman" w:eastAsia="Times New Roman" w:cs="Times New Roman"/>
                <w:color w:val="auto"/>
                <w:spacing w:val="-1"/>
                <w:sz w:val="21"/>
                <w:szCs w:val="21"/>
                <w:highlight w:val="none"/>
              </w:rPr>
              <w:t>.</w:t>
            </w:r>
            <w:r>
              <w:rPr>
                <w:rFonts w:hint="default" w:ascii="Times New Roman" w:hAnsi="Times New Roman" w:eastAsia="宋体" w:cs="Times New Roman"/>
                <w:color w:val="auto"/>
                <w:spacing w:val="-1"/>
                <w:sz w:val="21"/>
                <w:szCs w:val="21"/>
                <w:highlight w:val="none"/>
                <w:lang w:val="en-US" w:eastAsia="zh-CN"/>
              </w:rPr>
              <w:t>17</w:t>
            </w:r>
          </w:p>
        </w:tc>
      </w:tr>
      <w:tr w14:paraId="70050D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3216" w:type="dxa"/>
            <w:gridSpan w:val="3"/>
            <w:tcBorders>
              <w:left w:val="nil"/>
            </w:tcBorders>
            <w:vAlign w:val="center"/>
          </w:tcPr>
          <w:p w14:paraId="3C5DFA5E">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采样地点</w:t>
            </w:r>
          </w:p>
        </w:tc>
        <w:tc>
          <w:tcPr>
            <w:tcW w:w="1932" w:type="dxa"/>
            <w:vAlign w:val="center"/>
          </w:tcPr>
          <w:p w14:paraId="67C602A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6"/>
                <w:sz w:val="21"/>
                <w:szCs w:val="21"/>
                <w:highlight w:val="none"/>
              </w:rPr>
              <w:t>1#</w:t>
            </w:r>
          </w:p>
        </w:tc>
        <w:tc>
          <w:tcPr>
            <w:tcW w:w="1933" w:type="dxa"/>
            <w:vAlign w:val="center"/>
          </w:tcPr>
          <w:p w14:paraId="3DA28DA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w:t>
            </w:r>
          </w:p>
        </w:tc>
        <w:tc>
          <w:tcPr>
            <w:tcW w:w="1937" w:type="dxa"/>
            <w:tcBorders>
              <w:right w:val="nil"/>
            </w:tcBorders>
            <w:vAlign w:val="center"/>
          </w:tcPr>
          <w:p w14:paraId="0BA6EF0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3#</w:t>
            </w:r>
          </w:p>
        </w:tc>
      </w:tr>
      <w:tr w14:paraId="64D361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4E2FB60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序号</w:t>
            </w:r>
          </w:p>
        </w:tc>
        <w:tc>
          <w:tcPr>
            <w:tcW w:w="1525" w:type="dxa"/>
            <w:vAlign w:val="center"/>
          </w:tcPr>
          <w:p w14:paraId="16B1CE6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检测项目</w:t>
            </w:r>
          </w:p>
        </w:tc>
        <w:tc>
          <w:tcPr>
            <w:tcW w:w="986" w:type="dxa"/>
            <w:vAlign w:val="center"/>
          </w:tcPr>
          <w:p w14:paraId="085CC783">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单位</w:t>
            </w:r>
          </w:p>
        </w:tc>
        <w:tc>
          <w:tcPr>
            <w:tcW w:w="1932" w:type="dxa"/>
            <w:vAlign w:val="center"/>
          </w:tcPr>
          <w:p w14:paraId="7E429C2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T2504063-01-01</w:t>
            </w:r>
          </w:p>
        </w:tc>
        <w:tc>
          <w:tcPr>
            <w:tcW w:w="1933" w:type="dxa"/>
            <w:vAlign w:val="center"/>
          </w:tcPr>
          <w:p w14:paraId="36041F6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pacing w:val="-1"/>
                <w:sz w:val="21"/>
                <w:szCs w:val="21"/>
                <w:highlight w:val="none"/>
                <w:lang w:val="en-US" w:eastAsia="zh-CN"/>
              </w:rPr>
              <w:t>T2504063-02-01</w:t>
            </w:r>
          </w:p>
        </w:tc>
        <w:tc>
          <w:tcPr>
            <w:tcW w:w="1937" w:type="dxa"/>
            <w:tcBorders>
              <w:right w:val="nil"/>
            </w:tcBorders>
            <w:vAlign w:val="center"/>
          </w:tcPr>
          <w:p w14:paraId="779F83C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pacing w:val="-1"/>
                <w:sz w:val="21"/>
                <w:szCs w:val="21"/>
                <w:highlight w:val="none"/>
                <w:lang w:val="en-US" w:eastAsia="zh-CN"/>
              </w:rPr>
              <w:t>T2504063-03-01</w:t>
            </w:r>
          </w:p>
        </w:tc>
      </w:tr>
      <w:tr w14:paraId="04715E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6B07033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1525" w:type="dxa"/>
            <w:vAlign w:val="center"/>
          </w:tcPr>
          <w:p w14:paraId="54EAE12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highlight w:val="none"/>
              </w:rPr>
              <w:t>pH</w:t>
            </w:r>
            <w:r>
              <w:rPr>
                <w:rFonts w:hint="default" w:ascii="Times New Roman" w:hAnsi="Times New Roman" w:cs="Times New Roman"/>
                <w:color w:val="auto"/>
                <w:spacing w:val="1"/>
                <w:highlight w:val="none"/>
              </w:rPr>
              <w:t>值</w:t>
            </w:r>
          </w:p>
        </w:tc>
        <w:tc>
          <w:tcPr>
            <w:tcW w:w="986" w:type="dxa"/>
            <w:vAlign w:val="center"/>
          </w:tcPr>
          <w:p w14:paraId="004FAC54">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无量纲</w:t>
            </w:r>
          </w:p>
        </w:tc>
        <w:tc>
          <w:tcPr>
            <w:tcW w:w="1932" w:type="dxa"/>
            <w:vAlign w:val="center"/>
          </w:tcPr>
          <w:p w14:paraId="79331C9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7.8</w:t>
            </w:r>
          </w:p>
        </w:tc>
        <w:tc>
          <w:tcPr>
            <w:tcW w:w="1933" w:type="dxa"/>
            <w:vAlign w:val="center"/>
          </w:tcPr>
          <w:p w14:paraId="6EE33F5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7.7</w:t>
            </w:r>
          </w:p>
        </w:tc>
        <w:tc>
          <w:tcPr>
            <w:tcW w:w="1937" w:type="dxa"/>
            <w:tcBorders>
              <w:right w:val="nil"/>
            </w:tcBorders>
            <w:vAlign w:val="center"/>
          </w:tcPr>
          <w:p w14:paraId="7D836EC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7.3</w:t>
            </w:r>
          </w:p>
        </w:tc>
      </w:tr>
      <w:tr w14:paraId="148E4E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0B39482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1525" w:type="dxa"/>
            <w:vAlign w:val="center"/>
          </w:tcPr>
          <w:p w14:paraId="158E1A48">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镉</w:t>
            </w:r>
          </w:p>
        </w:tc>
        <w:tc>
          <w:tcPr>
            <w:tcW w:w="986" w:type="dxa"/>
            <w:vAlign w:val="center"/>
          </w:tcPr>
          <w:p w14:paraId="4A04D8F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932" w:type="dxa"/>
            <w:vAlign w:val="center"/>
          </w:tcPr>
          <w:p w14:paraId="3DC26BC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0.39</w:t>
            </w:r>
          </w:p>
        </w:tc>
        <w:tc>
          <w:tcPr>
            <w:tcW w:w="1933" w:type="dxa"/>
            <w:vAlign w:val="center"/>
          </w:tcPr>
          <w:p w14:paraId="18DB918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0.24</w:t>
            </w:r>
          </w:p>
        </w:tc>
        <w:tc>
          <w:tcPr>
            <w:tcW w:w="1937" w:type="dxa"/>
            <w:tcBorders>
              <w:right w:val="nil"/>
            </w:tcBorders>
            <w:vAlign w:val="center"/>
          </w:tcPr>
          <w:p w14:paraId="4F2B48C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未检出</w:t>
            </w:r>
          </w:p>
        </w:tc>
      </w:tr>
      <w:tr w14:paraId="262C55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06BBCDF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1525" w:type="dxa"/>
            <w:vAlign w:val="center"/>
          </w:tcPr>
          <w:p w14:paraId="790DD5E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汞</w:t>
            </w:r>
          </w:p>
        </w:tc>
        <w:tc>
          <w:tcPr>
            <w:tcW w:w="986" w:type="dxa"/>
            <w:vAlign w:val="center"/>
          </w:tcPr>
          <w:p w14:paraId="25EDA01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932" w:type="dxa"/>
            <w:vAlign w:val="center"/>
          </w:tcPr>
          <w:p w14:paraId="507B772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0.034</w:t>
            </w:r>
          </w:p>
        </w:tc>
        <w:tc>
          <w:tcPr>
            <w:tcW w:w="1933" w:type="dxa"/>
            <w:vAlign w:val="center"/>
          </w:tcPr>
          <w:p w14:paraId="1E559BD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0.033</w:t>
            </w:r>
          </w:p>
        </w:tc>
        <w:tc>
          <w:tcPr>
            <w:tcW w:w="1937" w:type="dxa"/>
            <w:tcBorders>
              <w:right w:val="nil"/>
            </w:tcBorders>
            <w:vAlign w:val="center"/>
          </w:tcPr>
          <w:p w14:paraId="5068FAF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0.032</w:t>
            </w:r>
          </w:p>
        </w:tc>
      </w:tr>
      <w:tr w14:paraId="01BA6F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1CC8456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1525" w:type="dxa"/>
            <w:vAlign w:val="center"/>
          </w:tcPr>
          <w:p w14:paraId="7AE178D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砷</w:t>
            </w:r>
          </w:p>
        </w:tc>
        <w:tc>
          <w:tcPr>
            <w:tcW w:w="986" w:type="dxa"/>
            <w:vAlign w:val="center"/>
          </w:tcPr>
          <w:p w14:paraId="01D88C8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932" w:type="dxa"/>
            <w:vAlign w:val="center"/>
          </w:tcPr>
          <w:p w14:paraId="592676A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8.43</w:t>
            </w:r>
          </w:p>
        </w:tc>
        <w:tc>
          <w:tcPr>
            <w:tcW w:w="1933" w:type="dxa"/>
            <w:vAlign w:val="center"/>
          </w:tcPr>
          <w:p w14:paraId="1471741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7.32</w:t>
            </w:r>
          </w:p>
        </w:tc>
        <w:tc>
          <w:tcPr>
            <w:tcW w:w="1937" w:type="dxa"/>
            <w:tcBorders>
              <w:right w:val="nil"/>
            </w:tcBorders>
            <w:vAlign w:val="center"/>
          </w:tcPr>
          <w:p w14:paraId="44CC6F5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7.55</w:t>
            </w:r>
          </w:p>
        </w:tc>
      </w:tr>
      <w:tr w14:paraId="203153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2F2B3F6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c>
          <w:tcPr>
            <w:tcW w:w="1525" w:type="dxa"/>
            <w:vAlign w:val="center"/>
          </w:tcPr>
          <w:p w14:paraId="7903BBFB">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铅</w:t>
            </w:r>
          </w:p>
        </w:tc>
        <w:tc>
          <w:tcPr>
            <w:tcW w:w="986" w:type="dxa"/>
            <w:vAlign w:val="center"/>
          </w:tcPr>
          <w:p w14:paraId="3B3BDB2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932" w:type="dxa"/>
            <w:vAlign w:val="center"/>
          </w:tcPr>
          <w:p w14:paraId="7960D68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w:t>
            </w:r>
          </w:p>
        </w:tc>
        <w:tc>
          <w:tcPr>
            <w:tcW w:w="1933" w:type="dxa"/>
            <w:vAlign w:val="center"/>
          </w:tcPr>
          <w:p w14:paraId="7391F36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22</w:t>
            </w:r>
          </w:p>
        </w:tc>
        <w:tc>
          <w:tcPr>
            <w:tcW w:w="1937" w:type="dxa"/>
            <w:tcBorders>
              <w:right w:val="nil"/>
            </w:tcBorders>
            <w:vAlign w:val="center"/>
          </w:tcPr>
          <w:p w14:paraId="21AAFC9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19</w:t>
            </w:r>
          </w:p>
        </w:tc>
      </w:tr>
      <w:tr w14:paraId="77D15B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22948FB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6</w:t>
            </w:r>
          </w:p>
        </w:tc>
        <w:tc>
          <w:tcPr>
            <w:tcW w:w="1525" w:type="dxa"/>
            <w:vAlign w:val="center"/>
          </w:tcPr>
          <w:p w14:paraId="63D0F7D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铬</w:t>
            </w:r>
          </w:p>
        </w:tc>
        <w:tc>
          <w:tcPr>
            <w:tcW w:w="986" w:type="dxa"/>
            <w:vAlign w:val="center"/>
          </w:tcPr>
          <w:p w14:paraId="07FC6B2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932" w:type="dxa"/>
            <w:vAlign w:val="center"/>
          </w:tcPr>
          <w:p w14:paraId="5EBE7AA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未检出</w:t>
            </w:r>
          </w:p>
        </w:tc>
        <w:tc>
          <w:tcPr>
            <w:tcW w:w="1933" w:type="dxa"/>
            <w:vAlign w:val="center"/>
          </w:tcPr>
          <w:p w14:paraId="4F3B3FC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未检出</w:t>
            </w:r>
          </w:p>
        </w:tc>
        <w:tc>
          <w:tcPr>
            <w:tcW w:w="1937" w:type="dxa"/>
            <w:tcBorders>
              <w:right w:val="nil"/>
            </w:tcBorders>
            <w:vAlign w:val="center"/>
          </w:tcPr>
          <w:p w14:paraId="3FB92E8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未检出</w:t>
            </w:r>
          </w:p>
        </w:tc>
      </w:tr>
      <w:tr w14:paraId="63789B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2BAE8BF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7</w:t>
            </w:r>
          </w:p>
        </w:tc>
        <w:tc>
          <w:tcPr>
            <w:tcW w:w="1525" w:type="dxa"/>
            <w:vAlign w:val="center"/>
          </w:tcPr>
          <w:p w14:paraId="710D8C3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铜</w:t>
            </w:r>
          </w:p>
        </w:tc>
        <w:tc>
          <w:tcPr>
            <w:tcW w:w="986" w:type="dxa"/>
            <w:vAlign w:val="center"/>
          </w:tcPr>
          <w:p w14:paraId="12D6C7F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932" w:type="dxa"/>
            <w:vAlign w:val="center"/>
          </w:tcPr>
          <w:p w14:paraId="05FF67C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w:t>
            </w:r>
          </w:p>
        </w:tc>
        <w:tc>
          <w:tcPr>
            <w:tcW w:w="1933" w:type="dxa"/>
            <w:vAlign w:val="center"/>
          </w:tcPr>
          <w:p w14:paraId="1A6F67B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21</w:t>
            </w:r>
          </w:p>
        </w:tc>
        <w:tc>
          <w:tcPr>
            <w:tcW w:w="1937" w:type="dxa"/>
            <w:tcBorders>
              <w:right w:val="nil"/>
            </w:tcBorders>
            <w:vAlign w:val="center"/>
          </w:tcPr>
          <w:p w14:paraId="26C8C1E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12</w:t>
            </w:r>
          </w:p>
        </w:tc>
      </w:tr>
      <w:tr w14:paraId="165D90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45C64AA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8</w:t>
            </w:r>
          </w:p>
        </w:tc>
        <w:tc>
          <w:tcPr>
            <w:tcW w:w="1525" w:type="dxa"/>
            <w:vAlign w:val="center"/>
          </w:tcPr>
          <w:p w14:paraId="740D75DB">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镍</w:t>
            </w:r>
          </w:p>
        </w:tc>
        <w:tc>
          <w:tcPr>
            <w:tcW w:w="986" w:type="dxa"/>
            <w:vAlign w:val="center"/>
          </w:tcPr>
          <w:p w14:paraId="6A85A6E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932" w:type="dxa"/>
            <w:vAlign w:val="center"/>
          </w:tcPr>
          <w:p w14:paraId="4F2AE5B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w:t>
            </w:r>
          </w:p>
        </w:tc>
        <w:tc>
          <w:tcPr>
            <w:tcW w:w="1933" w:type="dxa"/>
            <w:vAlign w:val="center"/>
          </w:tcPr>
          <w:p w14:paraId="2D7CC9D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未检出</w:t>
            </w:r>
          </w:p>
        </w:tc>
        <w:tc>
          <w:tcPr>
            <w:tcW w:w="1937" w:type="dxa"/>
            <w:tcBorders>
              <w:right w:val="nil"/>
            </w:tcBorders>
            <w:vAlign w:val="center"/>
          </w:tcPr>
          <w:p w14:paraId="1A255C6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未检出</w:t>
            </w:r>
          </w:p>
        </w:tc>
      </w:tr>
      <w:tr w14:paraId="6071BA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705" w:type="dxa"/>
            <w:tcBorders>
              <w:left w:val="nil"/>
            </w:tcBorders>
            <w:vAlign w:val="center"/>
          </w:tcPr>
          <w:p w14:paraId="1555B39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9</w:t>
            </w:r>
          </w:p>
        </w:tc>
        <w:tc>
          <w:tcPr>
            <w:tcW w:w="1525" w:type="dxa"/>
            <w:vAlign w:val="center"/>
          </w:tcPr>
          <w:p w14:paraId="7B8EA2C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锌</w:t>
            </w:r>
          </w:p>
        </w:tc>
        <w:tc>
          <w:tcPr>
            <w:tcW w:w="986" w:type="dxa"/>
            <w:vAlign w:val="center"/>
          </w:tcPr>
          <w:p w14:paraId="7FCB62F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μg/kg</w:t>
            </w:r>
          </w:p>
        </w:tc>
        <w:tc>
          <w:tcPr>
            <w:tcW w:w="1932" w:type="dxa"/>
            <w:vAlign w:val="center"/>
          </w:tcPr>
          <w:p w14:paraId="7B9EDEB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35</w:t>
            </w:r>
          </w:p>
        </w:tc>
        <w:tc>
          <w:tcPr>
            <w:tcW w:w="1933" w:type="dxa"/>
            <w:vAlign w:val="center"/>
          </w:tcPr>
          <w:p w14:paraId="6E0D6B8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w:t>
            </w:r>
          </w:p>
        </w:tc>
        <w:tc>
          <w:tcPr>
            <w:tcW w:w="1937" w:type="dxa"/>
            <w:tcBorders>
              <w:right w:val="nil"/>
            </w:tcBorders>
            <w:vAlign w:val="center"/>
          </w:tcPr>
          <w:p w14:paraId="16C5FB4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w:t>
            </w:r>
          </w:p>
        </w:tc>
      </w:tr>
    </w:tbl>
    <w:p w14:paraId="34BC30EF">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firstLine="464" w:firstLineChars="200"/>
        <w:textAlignment w:val="baseline"/>
        <w:rPr>
          <w:rFonts w:hint="default" w:ascii="Times New Roman" w:hAnsi="Times New Roman" w:eastAsia="宋体" w:cs="Times New Roman"/>
          <w:color w:val="auto"/>
          <w:spacing w:val="-4"/>
          <w:sz w:val="24"/>
          <w:szCs w:val="24"/>
          <w:highlight w:val="none"/>
        </w:rPr>
      </w:pPr>
      <w:r>
        <w:rPr>
          <w:rFonts w:hint="default" w:ascii="Times New Roman" w:hAnsi="Times New Roman" w:eastAsia="宋体" w:cs="Times New Roman"/>
          <w:snapToGrid w:val="0"/>
          <w:color w:val="auto"/>
          <w:spacing w:val="-4"/>
          <w:kern w:val="0"/>
          <w:sz w:val="24"/>
          <w:szCs w:val="24"/>
          <w:highlight w:val="none"/>
          <w:lang w:val="en-US" w:eastAsia="en-US" w:bidi="ar-SA"/>
        </w:rPr>
        <w:t>（</w:t>
      </w:r>
      <w:r>
        <w:rPr>
          <w:rFonts w:hint="default" w:ascii="Times New Roman" w:hAnsi="Times New Roman" w:eastAsia="宋体" w:cs="Times New Roman"/>
          <w:snapToGrid w:val="0"/>
          <w:color w:val="auto"/>
          <w:spacing w:val="-4"/>
          <w:kern w:val="0"/>
          <w:sz w:val="24"/>
          <w:szCs w:val="24"/>
          <w:highlight w:val="none"/>
          <w:lang w:val="en-US" w:eastAsia="zh-CN" w:bidi="ar-SA"/>
        </w:rPr>
        <w:t>5</w:t>
      </w:r>
      <w:r>
        <w:rPr>
          <w:rFonts w:hint="default" w:ascii="Times New Roman" w:hAnsi="Times New Roman" w:eastAsia="宋体" w:cs="Times New Roman"/>
          <w:snapToGrid w:val="0"/>
          <w:color w:val="auto"/>
          <w:spacing w:val="-4"/>
          <w:kern w:val="0"/>
          <w:sz w:val="24"/>
          <w:szCs w:val="24"/>
          <w:highlight w:val="none"/>
          <w:lang w:val="en-US" w:eastAsia="en-US" w:bidi="ar-SA"/>
        </w:rPr>
        <w:t>）</w:t>
      </w:r>
      <w:r>
        <w:rPr>
          <w:rFonts w:hint="default" w:ascii="Times New Roman" w:hAnsi="Times New Roman" w:eastAsia="宋体" w:cs="Times New Roman"/>
          <w:color w:val="auto"/>
          <w:spacing w:val="-4"/>
          <w:sz w:val="24"/>
          <w:szCs w:val="24"/>
          <w:highlight w:val="none"/>
        </w:rPr>
        <w:t>评价方法</w:t>
      </w:r>
    </w:p>
    <w:p w14:paraId="6DCCACF4">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firstLine="476" w:firstLineChars="200"/>
        <w:textAlignment w:val="baseline"/>
        <w:rPr>
          <w:rFonts w:hint="default" w:ascii="Times New Roman" w:hAnsi="Times New Roman" w:eastAsia="宋体" w:cs="Times New Roman"/>
          <w:color w:val="auto"/>
          <w:spacing w:val="-2"/>
          <w:sz w:val="24"/>
          <w:szCs w:val="24"/>
          <w:highlight w:val="none"/>
        </w:rPr>
        <w:sectPr>
          <w:headerReference r:id="rId29" w:type="default"/>
          <w:footerReference r:id="rId30"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r>
        <w:rPr>
          <w:rFonts w:hint="default" w:ascii="Times New Roman" w:hAnsi="Times New Roman" w:eastAsia="宋体" w:cs="Times New Roman"/>
          <w:color w:val="auto"/>
          <w:spacing w:val="-1"/>
          <w:sz w:val="24"/>
          <w:szCs w:val="24"/>
          <w:highlight w:val="none"/>
        </w:rPr>
        <w:t>评价方法采用标准指数法，并进行统计分析并给出样本数量、最大值、最小值、</w:t>
      </w:r>
      <w:r>
        <w:rPr>
          <w:rFonts w:hint="default" w:ascii="Times New Roman" w:hAnsi="Times New Roman" w:eastAsia="宋体" w:cs="Times New Roman"/>
          <w:color w:val="auto"/>
          <w:spacing w:val="-6"/>
          <w:sz w:val="24"/>
          <w:szCs w:val="24"/>
          <w:highlight w:val="none"/>
        </w:rPr>
        <w:t>均值、标准差、检出率和超标率、最大超标倍数，本次评价土壤现状评价样本数量为</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，其他统计结果详见表</w:t>
      </w:r>
      <w:r>
        <w:rPr>
          <w:rFonts w:hint="default" w:ascii="Times New Roman" w:hAnsi="Times New Roman" w:eastAsia="Times New Roman" w:cs="Times New Roman"/>
          <w:color w:val="auto"/>
          <w:spacing w:val="-2"/>
          <w:sz w:val="24"/>
          <w:szCs w:val="24"/>
          <w:highlight w:val="none"/>
        </w:rPr>
        <w:t>4.3-1</w:t>
      </w:r>
      <w:r>
        <w:rPr>
          <w:rFonts w:hint="eastAsia" w:ascii="Times New Roman" w:hAnsi="Times New Roman" w:eastAsia="宋体" w:cs="Times New Roman"/>
          <w:color w:val="auto"/>
          <w:spacing w:val="-2"/>
          <w:sz w:val="24"/>
          <w:szCs w:val="24"/>
          <w:highlight w:val="none"/>
          <w:lang w:val="en-US" w:eastAsia="zh-CN"/>
        </w:rPr>
        <w:t>4</w:t>
      </w:r>
      <w:r>
        <w:rPr>
          <w:rFonts w:hint="default" w:ascii="Times New Roman" w:hAnsi="Times New Roman" w:eastAsia="宋体" w:cs="Times New Roman"/>
          <w:color w:val="auto"/>
          <w:spacing w:val="-2"/>
          <w:sz w:val="24"/>
          <w:szCs w:val="24"/>
          <w:highlight w:val="none"/>
        </w:rPr>
        <w:t>。</w:t>
      </w:r>
    </w:p>
    <w:p w14:paraId="5CDF3004">
      <w:pPr>
        <w:keepNext w:val="0"/>
        <w:keepLines w:val="0"/>
        <w:pageBreakBefore w:val="0"/>
        <w:kinsoku/>
        <w:wordWrap w:val="0"/>
        <w:overflowPunct/>
        <w:topLinePunct/>
        <w:autoSpaceDE/>
        <w:autoSpaceDN/>
        <w:bidi w:val="0"/>
        <w:adjustRightInd w:val="0"/>
        <w:snapToGrid w:val="0"/>
        <w:spacing w:before="78" w:line="214" w:lineRule="auto"/>
        <w:ind w:left="484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4.3-1</w:t>
      </w:r>
      <w:r>
        <w:rPr>
          <w:rFonts w:hint="eastAsia"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宋体" w:cs="Times New Roman"/>
          <w:b/>
          <w:bCs/>
          <w:color w:val="auto"/>
          <w:spacing w:val="-1"/>
          <w:sz w:val="24"/>
          <w:szCs w:val="24"/>
          <w:highlight w:val="none"/>
        </w:rPr>
        <w:t>土壤环境现状监测数据评价结果表</w:t>
      </w:r>
    </w:p>
    <w:tbl>
      <w:tblPr>
        <w:tblStyle w:val="34"/>
        <w:tblW w:w="1423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2"/>
        <w:gridCol w:w="1886"/>
        <w:gridCol w:w="1265"/>
        <w:gridCol w:w="1685"/>
        <w:gridCol w:w="1557"/>
        <w:gridCol w:w="1841"/>
        <w:gridCol w:w="1298"/>
        <w:gridCol w:w="1263"/>
        <w:gridCol w:w="1260"/>
        <w:gridCol w:w="1366"/>
      </w:tblGrid>
      <w:tr w14:paraId="601EDA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vMerge w:val="restart"/>
            <w:tcBorders>
              <w:top w:val="single" w:color="000000" w:sz="10" w:space="0"/>
              <w:left w:val="nil"/>
              <w:bottom w:val="nil"/>
              <w:right w:val="single" w:color="000000" w:sz="4" w:space="0"/>
            </w:tcBorders>
            <w:vAlign w:val="center"/>
          </w:tcPr>
          <w:p w14:paraId="141F338D">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序号</w:t>
            </w:r>
          </w:p>
        </w:tc>
        <w:tc>
          <w:tcPr>
            <w:tcW w:w="1886" w:type="dxa"/>
            <w:vMerge w:val="restart"/>
            <w:tcBorders>
              <w:top w:val="single" w:color="000000" w:sz="10" w:space="0"/>
              <w:left w:val="single" w:color="000000" w:sz="4" w:space="0"/>
              <w:bottom w:val="nil"/>
              <w:right w:val="single" w:color="000000" w:sz="4" w:space="0"/>
            </w:tcBorders>
            <w:vAlign w:val="center"/>
          </w:tcPr>
          <w:p w14:paraId="001CA760">
            <w:pPr>
              <w:pStyle w:val="35"/>
              <w:keepNext w:val="0"/>
              <w:keepLines w:val="0"/>
              <w:pageBreakBefore w:val="0"/>
              <w:widowControl/>
              <w:kinsoku/>
              <w:wordWrap w:val="0"/>
              <w:overflowPunct/>
              <w:topLinePunct/>
              <w:autoSpaceDE/>
              <w:autoSpaceDN/>
              <w:bidi w:val="0"/>
              <w:adjustRightInd w:val="0"/>
              <w:snapToGrid w:val="0"/>
              <w:spacing w:line="240" w:lineRule="auto"/>
              <w:ind w:left="0"/>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监测项目</w:t>
            </w:r>
          </w:p>
        </w:tc>
        <w:tc>
          <w:tcPr>
            <w:tcW w:w="1265" w:type="dxa"/>
            <w:vMerge w:val="restart"/>
            <w:tcBorders>
              <w:top w:val="single" w:color="000000" w:sz="10" w:space="0"/>
              <w:left w:val="single" w:color="000000" w:sz="4" w:space="0"/>
              <w:bottom w:val="nil"/>
              <w:right w:val="single" w:color="000000" w:sz="4" w:space="0"/>
            </w:tcBorders>
            <w:vAlign w:val="center"/>
          </w:tcPr>
          <w:p w14:paraId="3A3454C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3"/>
                <w:sz w:val="21"/>
                <w:szCs w:val="21"/>
                <w:highlight w:val="none"/>
              </w:rPr>
              <w:t>单位</w:t>
            </w:r>
          </w:p>
        </w:tc>
        <w:tc>
          <w:tcPr>
            <w:tcW w:w="1685" w:type="dxa"/>
            <w:tcBorders>
              <w:top w:val="single" w:color="000000" w:sz="10" w:space="0"/>
              <w:left w:val="single" w:color="000000" w:sz="4" w:space="0"/>
            </w:tcBorders>
            <w:vAlign w:val="center"/>
          </w:tcPr>
          <w:p w14:paraId="03B0E5D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5"/>
                <w:sz w:val="21"/>
                <w:szCs w:val="21"/>
                <w:highlight w:val="none"/>
              </w:rPr>
              <w:t>1#</w:t>
            </w:r>
          </w:p>
        </w:tc>
        <w:tc>
          <w:tcPr>
            <w:tcW w:w="1557" w:type="dxa"/>
            <w:tcBorders>
              <w:top w:val="single" w:color="000000" w:sz="10" w:space="0"/>
              <w:right w:val="single" w:color="auto" w:sz="4" w:space="0"/>
            </w:tcBorders>
            <w:vAlign w:val="center"/>
          </w:tcPr>
          <w:p w14:paraId="7F3185D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2#</w:t>
            </w:r>
          </w:p>
        </w:tc>
        <w:tc>
          <w:tcPr>
            <w:tcW w:w="1841" w:type="dxa"/>
            <w:tcBorders>
              <w:top w:val="single" w:color="000000" w:sz="10" w:space="0"/>
              <w:left w:val="single" w:color="auto" w:sz="4" w:space="0"/>
              <w:right w:val="single" w:color="000000" w:sz="4" w:space="0"/>
            </w:tcBorders>
            <w:vAlign w:val="center"/>
          </w:tcPr>
          <w:p w14:paraId="09AEE1F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3#</w:t>
            </w:r>
          </w:p>
        </w:tc>
        <w:tc>
          <w:tcPr>
            <w:tcW w:w="1298" w:type="dxa"/>
            <w:vMerge w:val="restart"/>
            <w:tcBorders>
              <w:top w:val="single" w:color="000000" w:sz="10" w:space="0"/>
              <w:left w:val="single" w:color="000000" w:sz="4" w:space="0"/>
              <w:bottom w:val="nil"/>
              <w:right w:val="single" w:color="000000" w:sz="4" w:space="0"/>
            </w:tcBorders>
            <w:vAlign w:val="center"/>
          </w:tcPr>
          <w:p w14:paraId="409B53C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检出率</w:t>
            </w:r>
          </w:p>
        </w:tc>
        <w:tc>
          <w:tcPr>
            <w:tcW w:w="1263" w:type="dxa"/>
            <w:vMerge w:val="restart"/>
            <w:tcBorders>
              <w:top w:val="single" w:color="000000" w:sz="10" w:space="0"/>
              <w:left w:val="single" w:color="000000" w:sz="4" w:space="0"/>
              <w:bottom w:val="nil"/>
              <w:right w:val="single" w:color="000000" w:sz="4" w:space="0"/>
            </w:tcBorders>
            <w:vAlign w:val="center"/>
          </w:tcPr>
          <w:p w14:paraId="32982A3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超标率</w:t>
            </w:r>
          </w:p>
        </w:tc>
        <w:tc>
          <w:tcPr>
            <w:tcW w:w="1260" w:type="dxa"/>
            <w:vMerge w:val="restart"/>
            <w:tcBorders>
              <w:top w:val="single" w:color="000000" w:sz="10" w:space="0"/>
              <w:left w:val="single" w:color="000000" w:sz="4" w:space="0"/>
              <w:bottom w:val="nil"/>
              <w:right w:val="single" w:color="000000" w:sz="4" w:space="0"/>
            </w:tcBorders>
            <w:vAlign w:val="center"/>
          </w:tcPr>
          <w:p w14:paraId="5BB9B77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最大超标倍</w:t>
            </w:r>
          </w:p>
          <w:p w14:paraId="459076E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数</w:t>
            </w:r>
          </w:p>
        </w:tc>
        <w:tc>
          <w:tcPr>
            <w:tcW w:w="1366" w:type="dxa"/>
            <w:vMerge w:val="restart"/>
            <w:tcBorders>
              <w:top w:val="single" w:color="000000" w:sz="10" w:space="0"/>
              <w:left w:val="single" w:color="000000" w:sz="4" w:space="0"/>
              <w:bottom w:val="nil"/>
              <w:right w:val="nil"/>
            </w:tcBorders>
            <w:vAlign w:val="center"/>
          </w:tcPr>
          <w:p w14:paraId="5B839E2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rPr>
              <w:t>标准值（农用</w:t>
            </w:r>
          </w:p>
          <w:p w14:paraId="6617AFCB">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5"/>
                <w:sz w:val="21"/>
                <w:szCs w:val="21"/>
                <w:highlight w:val="none"/>
              </w:rPr>
              <w:t>地）</w:t>
            </w:r>
          </w:p>
        </w:tc>
      </w:tr>
      <w:tr w14:paraId="6D354B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vMerge w:val="continue"/>
            <w:tcBorders>
              <w:top w:val="nil"/>
              <w:left w:val="nil"/>
              <w:right w:val="single" w:color="000000" w:sz="4" w:space="0"/>
            </w:tcBorders>
            <w:vAlign w:val="center"/>
          </w:tcPr>
          <w:p w14:paraId="7D0F597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p>
        </w:tc>
        <w:tc>
          <w:tcPr>
            <w:tcW w:w="1886" w:type="dxa"/>
            <w:vMerge w:val="continue"/>
            <w:tcBorders>
              <w:top w:val="nil"/>
              <w:left w:val="single" w:color="000000" w:sz="4" w:space="0"/>
              <w:right w:val="single" w:color="000000" w:sz="4" w:space="0"/>
            </w:tcBorders>
            <w:vAlign w:val="center"/>
          </w:tcPr>
          <w:p w14:paraId="664EAE5F">
            <w:pPr>
              <w:keepNext w:val="0"/>
              <w:keepLines w:val="0"/>
              <w:pageBreakBefore w:val="0"/>
              <w:widowControl/>
              <w:kinsoku/>
              <w:wordWrap w:val="0"/>
              <w:overflowPunct/>
              <w:topLinePunct/>
              <w:autoSpaceDE/>
              <w:autoSpaceDN/>
              <w:bidi w:val="0"/>
              <w:adjustRightInd w:val="0"/>
              <w:snapToGrid w:val="0"/>
              <w:spacing w:line="240" w:lineRule="auto"/>
              <w:ind w:left="0"/>
              <w:textAlignment w:val="baseline"/>
              <w:rPr>
                <w:rFonts w:hint="default" w:ascii="Times New Roman" w:hAnsi="Times New Roman" w:cs="Times New Roman"/>
                <w:color w:val="auto"/>
                <w:sz w:val="21"/>
                <w:szCs w:val="21"/>
                <w:highlight w:val="none"/>
              </w:rPr>
            </w:pPr>
          </w:p>
        </w:tc>
        <w:tc>
          <w:tcPr>
            <w:tcW w:w="1265" w:type="dxa"/>
            <w:vMerge w:val="continue"/>
            <w:tcBorders>
              <w:top w:val="nil"/>
              <w:left w:val="single" w:color="000000" w:sz="4" w:space="0"/>
              <w:right w:val="single" w:color="000000" w:sz="4" w:space="0"/>
            </w:tcBorders>
            <w:vAlign w:val="center"/>
          </w:tcPr>
          <w:p w14:paraId="6CF5C3D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p>
        </w:tc>
        <w:tc>
          <w:tcPr>
            <w:tcW w:w="1685" w:type="dxa"/>
            <w:tcBorders>
              <w:left w:val="single" w:color="000000" w:sz="4" w:space="0"/>
            </w:tcBorders>
            <w:vAlign w:val="center"/>
          </w:tcPr>
          <w:p w14:paraId="1227A55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0-0.2m</w:t>
            </w:r>
          </w:p>
        </w:tc>
        <w:tc>
          <w:tcPr>
            <w:tcW w:w="1557" w:type="dxa"/>
            <w:tcBorders>
              <w:right w:val="single" w:color="auto" w:sz="4" w:space="0"/>
            </w:tcBorders>
            <w:vAlign w:val="center"/>
          </w:tcPr>
          <w:p w14:paraId="268FE2D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0-0.2m</w:t>
            </w:r>
          </w:p>
        </w:tc>
        <w:tc>
          <w:tcPr>
            <w:tcW w:w="1841" w:type="dxa"/>
            <w:tcBorders>
              <w:left w:val="single" w:color="auto" w:sz="4" w:space="0"/>
              <w:right w:val="single" w:color="000000" w:sz="4" w:space="0"/>
            </w:tcBorders>
            <w:vAlign w:val="center"/>
          </w:tcPr>
          <w:p w14:paraId="181B26C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0-0.2m</w:t>
            </w:r>
          </w:p>
        </w:tc>
        <w:tc>
          <w:tcPr>
            <w:tcW w:w="1298" w:type="dxa"/>
            <w:vMerge w:val="continue"/>
            <w:tcBorders>
              <w:top w:val="nil"/>
              <w:left w:val="single" w:color="000000" w:sz="4" w:space="0"/>
              <w:right w:val="single" w:color="000000" w:sz="4" w:space="0"/>
            </w:tcBorders>
            <w:vAlign w:val="center"/>
          </w:tcPr>
          <w:p w14:paraId="44A487D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p>
        </w:tc>
        <w:tc>
          <w:tcPr>
            <w:tcW w:w="1263" w:type="dxa"/>
            <w:vMerge w:val="continue"/>
            <w:tcBorders>
              <w:top w:val="nil"/>
              <w:left w:val="single" w:color="000000" w:sz="4" w:space="0"/>
              <w:right w:val="single" w:color="000000" w:sz="4" w:space="0"/>
            </w:tcBorders>
            <w:vAlign w:val="center"/>
          </w:tcPr>
          <w:p w14:paraId="06E57F1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p>
        </w:tc>
        <w:tc>
          <w:tcPr>
            <w:tcW w:w="1260" w:type="dxa"/>
            <w:vMerge w:val="continue"/>
            <w:tcBorders>
              <w:top w:val="nil"/>
              <w:left w:val="single" w:color="000000" w:sz="4" w:space="0"/>
              <w:right w:val="single" w:color="000000" w:sz="4" w:space="0"/>
            </w:tcBorders>
            <w:vAlign w:val="center"/>
          </w:tcPr>
          <w:p w14:paraId="481CC39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p>
        </w:tc>
        <w:tc>
          <w:tcPr>
            <w:tcW w:w="1366" w:type="dxa"/>
            <w:vMerge w:val="continue"/>
            <w:tcBorders>
              <w:top w:val="nil"/>
              <w:left w:val="single" w:color="000000" w:sz="4" w:space="0"/>
              <w:right w:val="nil"/>
            </w:tcBorders>
            <w:vAlign w:val="center"/>
          </w:tcPr>
          <w:p w14:paraId="38474B5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p>
        </w:tc>
      </w:tr>
      <w:tr w14:paraId="610545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tcBorders>
              <w:left w:val="nil"/>
              <w:right w:val="single" w:color="000000" w:sz="4" w:space="0"/>
            </w:tcBorders>
            <w:vAlign w:val="center"/>
          </w:tcPr>
          <w:p w14:paraId="747FBBF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1886" w:type="dxa"/>
            <w:tcBorders>
              <w:left w:val="single" w:color="000000" w:sz="4" w:space="0"/>
              <w:right w:val="single" w:color="000000" w:sz="4" w:space="0"/>
            </w:tcBorders>
            <w:vAlign w:val="center"/>
          </w:tcPr>
          <w:p w14:paraId="07B310DA">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pH</w:t>
            </w:r>
            <w:r>
              <w:rPr>
                <w:rFonts w:hint="default" w:ascii="Times New Roman" w:hAnsi="Times New Roman" w:cs="Times New Roman"/>
                <w:color w:val="auto"/>
                <w:spacing w:val="1"/>
                <w:sz w:val="21"/>
                <w:szCs w:val="21"/>
                <w:highlight w:val="none"/>
              </w:rPr>
              <w:t>值</w:t>
            </w:r>
          </w:p>
        </w:tc>
        <w:tc>
          <w:tcPr>
            <w:tcW w:w="1265" w:type="dxa"/>
            <w:tcBorders>
              <w:left w:val="single" w:color="000000" w:sz="4" w:space="0"/>
              <w:right w:val="single" w:color="000000" w:sz="4" w:space="0"/>
            </w:tcBorders>
            <w:vAlign w:val="center"/>
          </w:tcPr>
          <w:p w14:paraId="5DB3308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position w:val="-5"/>
                <w:sz w:val="21"/>
                <w:szCs w:val="21"/>
                <w:highlight w:val="none"/>
              </w:rPr>
              <w:t>--</w:t>
            </w:r>
          </w:p>
        </w:tc>
        <w:tc>
          <w:tcPr>
            <w:tcW w:w="1685" w:type="dxa"/>
            <w:tcBorders>
              <w:left w:val="single" w:color="000000" w:sz="4" w:space="0"/>
              <w:right w:val="single" w:color="000000" w:sz="4" w:space="0"/>
            </w:tcBorders>
            <w:vAlign w:val="center"/>
          </w:tcPr>
          <w:p w14:paraId="1475FBCF">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7.8</w:t>
            </w:r>
          </w:p>
        </w:tc>
        <w:tc>
          <w:tcPr>
            <w:tcW w:w="1557" w:type="dxa"/>
            <w:tcBorders>
              <w:left w:val="single" w:color="000000" w:sz="4" w:space="0"/>
              <w:right w:val="single" w:color="000000" w:sz="4" w:space="0"/>
            </w:tcBorders>
            <w:vAlign w:val="center"/>
          </w:tcPr>
          <w:p w14:paraId="0D370BC7">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7.7</w:t>
            </w:r>
          </w:p>
        </w:tc>
        <w:tc>
          <w:tcPr>
            <w:tcW w:w="1841" w:type="dxa"/>
            <w:tcBorders>
              <w:left w:val="single" w:color="000000" w:sz="4" w:space="0"/>
              <w:right w:val="single" w:color="000000" w:sz="4" w:space="0"/>
            </w:tcBorders>
            <w:vAlign w:val="center"/>
          </w:tcPr>
          <w:p w14:paraId="014313D5">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7.3</w:t>
            </w:r>
          </w:p>
        </w:tc>
        <w:tc>
          <w:tcPr>
            <w:tcW w:w="1298" w:type="dxa"/>
            <w:tcBorders>
              <w:left w:val="single" w:color="000000" w:sz="4" w:space="0"/>
              <w:right w:val="single" w:color="000000" w:sz="4" w:space="0"/>
            </w:tcBorders>
            <w:vAlign w:val="center"/>
          </w:tcPr>
          <w:p w14:paraId="2CC7233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100%</w:t>
            </w:r>
          </w:p>
        </w:tc>
        <w:tc>
          <w:tcPr>
            <w:tcW w:w="1263" w:type="dxa"/>
            <w:tcBorders>
              <w:left w:val="single" w:color="000000" w:sz="4" w:space="0"/>
              <w:right w:val="single" w:color="000000" w:sz="4" w:space="0"/>
            </w:tcBorders>
            <w:vAlign w:val="center"/>
          </w:tcPr>
          <w:p w14:paraId="18EF2B7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246DB56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500162E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position w:val="-5"/>
                <w:sz w:val="21"/>
                <w:szCs w:val="21"/>
                <w:highlight w:val="none"/>
              </w:rPr>
              <w:t>-</w:t>
            </w:r>
          </w:p>
        </w:tc>
      </w:tr>
      <w:tr w14:paraId="6C4133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812" w:type="dxa"/>
            <w:tcBorders>
              <w:left w:val="nil"/>
              <w:right w:val="single" w:color="000000" w:sz="4" w:space="0"/>
            </w:tcBorders>
            <w:vAlign w:val="center"/>
          </w:tcPr>
          <w:p w14:paraId="268E1CB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1886" w:type="dxa"/>
            <w:tcBorders>
              <w:left w:val="single" w:color="000000" w:sz="4" w:space="0"/>
              <w:right w:val="single" w:color="000000" w:sz="4" w:space="0"/>
            </w:tcBorders>
            <w:vAlign w:val="center"/>
          </w:tcPr>
          <w:p w14:paraId="693708E3">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镉</w:t>
            </w:r>
          </w:p>
        </w:tc>
        <w:tc>
          <w:tcPr>
            <w:tcW w:w="1265" w:type="dxa"/>
            <w:tcBorders>
              <w:left w:val="single" w:color="000000" w:sz="4" w:space="0"/>
              <w:right w:val="single" w:color="000000" w:sz="4" w:space="0"/>
            </w:tcBorders>
            <w:vAlign w:val="center"/>
          </w:tcPr>
          <w:p w14:paraId="345A82C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685" w:type="dxa"/>
            <w:tcBorders>
              <w:left w:val="single" w:color="000000" w:sz="4" w:space="0"/>
              <w:right w:val="single" w:color="000000" w:sz="4" w:space="0"/>
            </w:tcBorders>
            <w:vAlign w:val="center"/>
          </w:tcPr>
          <w:p w14:paraId="020F033C">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0.39</w:t>
            </w:r>
          </w:p>
        </w:tc>
        <w:tc>
          <w:tcPr>
            <w:tcW w:w="1557" w:type="dxa"/>
            <w:tcBorders>
              <w:left w:val="single" w:color="000000" w:sz="4" w:space="0"/>
              <w:right w:val="single" w:color="000000" w:sz="4" w:space="0"/>
            </w:tcBorders>
            <w:vAlign w:val="center"/>
          </w:tcPr>
          <w:p w14:paraId="5E7F0F25">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0.24</w:t>
            </w:r>
          </w:p>
        </w:tc>
        <w:tc>
          <w:tcPr>
            <w:tcW w:w="1841" w:type="dxa"/>
            <w:tcBorders>
              <w:left w:val="single" w:color="000000" w:sz="4" w:space="0"/>
              <w:right w:val="single" w:color="000000" w:sz="4" w:space="0"/>
            </w:tcBorders>
            <w:vAlign w:val="center"/>
          </w:tcPr>
          <w:p w14:paraId="5F85A53F">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未检出</w:t>
            </w:r>
          </w:p>
        </w:tc>
        <w:tc>
          <w:tcPr>
            <w:tcW w:w="1298" w:type="dxa"/>
            <w:tcBorders>
              <w:left w:val="single" w:color="000000" w:sz="4" w:space="0"/>
              <w:right w:val="single" w:color="000000" w:sz="4" w:space="0"/>
            </w:tcBorders>
            <w:vAlign w:val="center"/>
          </w:tcPr>
          <w:p w14:paraId="01D064C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pacing w:val="-3"/>
                <w:sz w:val="21"/>
                <w:szCs w:val="21"/>
                <w:highlight w:val="none"/>
                <w:lang w:val="en-US" w:eastAsia="zh-CN"/>
              </w:rPr>
              <w:t>66</w:t>
            </w:r>
            <w:r>
              <w:rPr>
                <w:rFonts w:hint="default" w:ascii="Times New Roman" w:hAnsi="Times New Roman" w:eastAsia="Times New Roman" w:cs="Times New Roman"/>
                <w:color w:val="auto"/>
                <w:spacing w:val="-3"/>
                <w:sz w:val="21"/>
                <w:szCs w:val="21"/>
                <w:highlight w:val="none"/>
              </w:rPr>
              <w:t>%</w:t>
            </w:r>
          </w:p>
        </w:tc>
        <w:tc>
          <w:tcPr>
            <w:tcW w:w="1263" w:type="dxa"/>
            <w:tcBorders>
              <w:left w:val="single" w:color="000000" w:sz="4" w:space="0"/>
              <w:right w:val="single" w:color="000000" w:sz="4" w:space="0"/>
            </w:tcBorders>
            <w:vAlign w:val="center"/>
          </w:tcPr>
          <w:p w14:paraId="7B06102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04102D1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08F302E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6</w:t>
            </w:r>
            <w:r>
              <w:rPr>
                <w:rFonts w:hint="default" w:ascii="Times New Roman" w:hAnsi="Times New Roman" w:eastAsia="宋体" w:cs="Times New Roman"/>
                <w:color w:val="auto"/>
                <w:spacing w:val="-2"/>
                <w:sz w:val="21"/>
                <w:szCs w:val="21"/>
                <w:highlight w:val="none"/>
                <w:lang w:val="en-US" w:eastAsia="zh-CN"/>
              </w:rPr>
              <w:t>5</w:t>
            </w:r>
            <w:r>
              <w:rPr>
                <w:rFonts w:hint="default" w:ascii="Times New Roman" w:hAnsi="Times New Roman" w:cs="Times New Roman"/>
                <w:color w:val="auto"/>
                <w:spacing w:val="-2"/>
                <w:sz w:val="21"/>
                <w:szCs w:val="21"/>
                <w:highlight w:val="none"/>
              </w:rPr>
              <w:t>（</w:t>
            </w:r>
            <w:r>
              <w:rPr>
                <w:rFonts w:hint="default" w:ascii="Times New Roman" w:hAnsi="Times New Roman" w:eastAsia="宋体" w:cs="Times New Roman"/>
                <w:color w:val="auto"/>
                <w:spacing w:val="-2"/>
                <w:sz w:val="21"/>
                <w:szCs w:val="21"/>
                <w:highlight w:val="none"/>
                <w:lang w:val="en-US" w:eastAsia="zh-CN"/>
              </w:rPr>
              <w:t>0.6</w:t>
            </w:r>
            <w:r>
              <w:rPr>
                <w:rFonts w:hint="default" w:ascii="Times New Roman" w:hAnsi="Times New Roman" w:cs="Times New Roman"/>
                <w:color w:val="auto"/>
                <w:spacing w:val="-2"/>
                <w:sz w:val="21"/>
                <w:szCs w:val="21"/>
                <w:highlight w:val="none"/>
              </w:rPr>
              <w:t>）</w:t>
            </w:r>
          </w:p>
        </w:tc>
      </w:tr>
      <w:tr w14:paraId="024F5C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tcBorders>
              <w:left w:val="nil"/>
              <w:right w:val="single" w:color="000000" w:sz="4" w:space="0"/>
            </w:tcBorders>
            <w:vAlign w:val="center"/>
          </w:tcPr>
          <w:p w14:paraId="5131FCD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1886" w:type="dxa"/>
            <w:tcBorders>
              <w:left w:val="single" w:color="000000" w:sz="4" w:space="0"/>
              <w:right w:val="single" w:color="000000" w:sz="4" w:space="0"/>
            </w:tcBorders>
            <w:vAlign w:val="center"/>
          </w:tcPr>
          <w:p w14:paraId="1E9D589D">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汞</w:t>
            </w:r>
          </w:p>
        </w:tc>
        <w:tc>
          <w:tcPr>
            <w:tcW w:w="1265" w:type="dxa"/>
            <w:tcBorders>
              <w:left w:val="single" w:color="000000" w:sz="4" w:space="0"/>
              <w:right w:val="single" w:color="000000" w:sz="4" w:space="0"/>
            </w:tcBorders>
            <w:vAlign w:val="center"/>
          </w:tcPr>
          <w:p w14:paraId="1525BF0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685" w:type="dxa"/>
            <w:tcBorders>
              <w:left w:val="single" w:color="000000" w:sz="4" w:space="0"/>
              <w:right w:val="single" w:color="000000" w:sz="4" w:space="0"/>
            </w:tcBorders>
            <w:vAlign w:val="center"/>
          </w:tcPr>
          <w:p w14:paraId="6C866C91">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0.034</w:t>
            </w:r>
          </w:p>
        </w:tc>
        <w:tc>
          <w:tcPr>
            <w:tcW w:w="1557" w:type="dxa"/>
            <w:tcBorders>
              <w:left w:val="single" w:color="000000" w:sz="4" w:space="0"/>
              <w:right w:val="single" w:color="000000" w:sz="4" w:space="0"/>
            </w:tcBorders>
            <w:vAlign w:val="center"/>
          </w:tcPr>
          <w:p w14:paraId="435C5B67">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0.033</w:t>
            </w:r>
          </w:p>
        </w:tc>
        <w:tc>
          <w:tcPr>
            <w:tcW w:w="1841" w:type="dxa"/>
            <w:tcBorders>
              <w:left w:val="single" w:color="000000" w:sz="4" w:space="0"/>
              <w:right w:val="single" w:color="000000" w:sz="4" w:space="0"/>
            </w:tcBorders>
            <w:vAlign w:val="center"/>
          </w:tcPr>
          <w:p w14:paraId="51CFDA73">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0.032</w:t>
            </w:r>
          </w:p>
        </w:tc>
        <w:tc>
          <w:tcPr>
            <w:tcW w:w="1298" w:type="dxa"/>
            <w:tcBorders>
              <w:left w:val="single" w:color="000000" w:sz="4" w:space="0"/>
              <w:right w:val="single" w:color="000000" w:sz="4" w:space="0"/>
            </w:tcBorders>
            <w:vAlign w:val="center"/>
          </w:tcPr>
          <w:p w14:paraId="2AE352E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100%</w:t>
            </w:r>
          </w:p>
        </w:tc>
        <w:tc>
          <w:tcPr>
            <w:tcW w:w="1263" w:type="dxa"/>
            <w:tcBorders>
              <w:left w:val="single" w:color="000000" w:sz="4" w:space="0"/>
              <w:right w:val="single" w:color="000000" w:sz="4" w:space="0"/>
            </w:tcBorders>
            <w:vAlign w:val="center"/>
          </w:tcPr>
          <w:p w14:paraId="0C437AB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63BC679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4F42C2B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宋体" w:cs="Times New Roman"/>
                <w:color w:val="auto"/>
                <w:spacing w:val="-1"/>
                <w:sz w:val="21"/>
                <w:szCs w:val="21"/>
                <w:highlight w:val="none"/>
                <w:lang w:val="en-US" w:eastAsia="zh-CN"/>
              </w:rPr>
              <w:t>38</w:t>
            </w:r>
            <w:r>
              <w:rPr>
                <w:rFonts w:hint="default" w:ascii="Times New Roman" w:hAnsi="Times New Roman" w:cs="Times New Roman"/>
                <w:color w:val="auto"/>
                <w:spacing w:val="-1"/>
                <w:sz w:val="21"/>
                <w:szCs w:val="21"/>
                <w:highlight w:val="none"/>
              </w:rPr>
              <w:t>（</w:t>
            </w:r>
            <w:r>
              <w:rPr>
                <w:rFonts w:hint="default" w:ascii="Times New Roman" w:hAnsi="Times New Roman" w:eastAsia="宋体" w:cs="Times New Roman"/>
                <w:color w:val="auto"/>
                <w:spacing w:val="-1"/>
                <w:sz w:val="21"/>
                <w:szCs w:val="21"/>
                <w:highlight w:val="none"/>
                <w:lang w:val="en-US" w:eastAsia="zh-CN"/>
              </w:rPr>
              <w:t>2.4</w:t>
            </w:r>
            <w:r>
              <w:rPr>
                <w:rFonts w:hint="default" w:ascii="Times New Roman" w:hAnsi="Times New Roman" w:cs="Times New Roman"/>
                <w:color w:val="auto"/>
                <w:spacing w:val="-1"/>
                <w:sz w:val="21"/>
                <w:szCs w:val="21"/>
                <w:highlight w:val="none"/>
              </w:rPr>
              <w:t>）</w:t>
            </w:r>
          </w:p>
        </w:tc>
      </w:tr>
      <w:tr w14:paraId="51C44B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tcBorders>
              <w:left w:val="nil"/>
              <w:right w:val="single" w:color="000000" w:sz="4" w:space="0"/>
            </w:tcBorders>
            <w:vAlign w:val="center"/>
          </w:tcPr>
          <w:p w14:paraId="126CE89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1886" w:type="dxa"/>
            <w:tcBorders>
              <w:left w:val="single" w:color="000000" w:sz="4" w:space="0"/>
              <w:right w:val="single" w:color="000000" w:sz="4" w:space="0"/>
            </w:tcBorders>
            <w:vAlign w:val="center"/>
          </w:tcPr>
          <w:p w14:paraId="4BDC0764">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砷</w:t>
            </w:r>
          </w:p>
        </w:tc>
        <w:tc>
          <w:tcPr>
            <w:tcW w:w="1265" w:type="dxa"/>
            <w:tcBorders>
              <w:left w:val="single" w:color="000000" w:sz="4" w:space="0"/>
              <w:right w:val="single" w:color="000000" w:sz="4" w:space="0"/>
            </w:tcBorders>
            <w:vAlign w:val="center"/>
          </w:tcPr>
          <w:p w14:paraId="6E0BAB7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685" w:type="dxa"/>
            <w:tcBorders>
              <w:left w:val="single" w:color="000000" w:sz="4" w:space="0"/>
              <w:right w:val="single" w:color="000000" w:sz="4" w:space="0"/>
            </w:tcBorders>
            <w:vAlign w:val="center"/>
          </w:tcPr>
          <w:p w14:paraId="614271FF">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8.43</w:t>
            </w:r>
          </w:p>
        </w:tc>
        <w:tc>
          <w:tcPr>
            <w:tcW w:w="1557" w:type="dxa"/>
            <w:tcBorders>
              <w:left w:val="single" w:color="000000" w:sz="4" w:space="0"/>
              <w:right w:val="single" w:color="000000" w:sz="4" w:space="0"/>
            </w:tcBorders>
            <w:vAlign w:val="center"/>
          </w:tcPr>
          <w:p w14:paraId="00071C86">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7.32</w:t>
            </w:r>
          </w:p>
        </w:tc>
        <w:tc>
          <w:tcPr>
            <w:tcW w:w="1841" w:type="dxa"/>
            <w:tcBorders>
              <w:left w:val="single" w:color="000000" w:sz="4" w:space="0"/>
              <w:right w:val="single" w:color="000000" w:sz="4" w:space="0"/>
            </w:tcBorders>
            <w:vAlign w:val="center"/>
          </w:tcPr>
          <w:p w14:paraId="17C72E24">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7.55</w:t>
            </w:r>
          </w:p>
        </w:tc>
        <w:tc>
          <w:tcPr>
            <w:tcW w:w="1298" w:type="dxa"/>
            <w:tcBorders>
              <w:left w:val="single" w:color="000000" w:sz="4" w:space="0"/>
              <w:right w:val="single" w:color="000000" w:sz="4" w:space="0"/>
            </w:tcBorders>
            <w:vAlign w:val="center"/>
          </w:tcPr>
          <w:p w14:paraId="3E5D848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pacing w:val="-1"/>
                <w:sz w:val="21"/>
                <w:szCs w:val="21"/>
                <w:highlight w:val="none"/>
                <w:lang w:val="en-US" w:eastAsia="zh-CN"/>
              </w:rPr>
              <w:t>100</w:t>
            </w:r>
            <w:r>
              <w:rPr>
                <w:rFonts w:hint="default" w:ascii="Times New Roman" w:hAnsi="Times New Roman" w:eastAsia="Times New Roman" w:cs="Times New Roman"/>
                <w:color w:val="auto"/>
                <w:spacing w:val="-1"/>
                <w:sz w:val="21"/>
                <w:szCs w:val="21"/>
                <w:highlight w:val="none"/>
              </w:rPr>
              <w:t>%</w:t>
            </w:r>
          </w:p>
        </w:tc>
        <w:tc>
          <w:tcPr>
            <w:tcW w:w="1263" w:type="dxa"/>
            <w:tcBorders>
              <w:left w:val="single" w:color="000000" w:sz="4" w:space="0"/>
              <w:right w:val="single" w:color="000000" w:sz="4" w:space="0"/>
            </w:tcBorders>
            <w:vAlign w:val="center"/>
          </w:tcPr>
          <w:p w14:paraId="006D6ED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1AB2819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342120DE">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pacing w:val="-2"/>
                <w:sz w:val="21"/>
                <w:szCs w:val="21"/>
                <w:highlight w:val="none"/>
                <w:lang w:val="en-US" w:eastAsia="zh-CN"/>
              </w:rPr>
              <w:t>60</w:t>
            </w:r>
            <w:r>
              <w:rPr>
                <w:rFonts w:hint="default" w:ascii="Times New Roman" w:hAnsi="Times New Roman" w:cs="Times New Roman"/>
                <w:color w:val="auto"/>
                <w:spacing w:val="-2"/>
                <w:sz w:val="21"/>
                <w:szCs w:val="21"/>
                <w:highlight w:val="none"/>
              </w:rPr>
              <w:t>（</w:t>
            </w:r>
            <w:r>
              <w:rPr>
                <w:rFonts w:hint="default" w:ascii="Times New Roman" w:hAnsi="Times New Roman" w:eastAsia="宋体" w:cs="Times New Roman"/>
                <w:color w:val="auto"/>
                <w:spacing w:val="-2"/>
                <w:sz w:val="21"/>
                <w:szCs w:val="21"/>
                <w:highlight w:val="none"/>
                <w:lang w:val="en-US" w:eastAsia="zh-CN"/>
              </w:rPr>
              <w:t>30</w:t>
            </w:r>
            <w:r>
              <w:rPr>
                <w:rFonts w:hint="default" w:ascii="Times New Roman" w:hAnsi="Times New Roman" w:cs="Times New Roman"/>
                <w:color w:val="auto"/>
                <w:spacing w:val="-2"/>
                <w:sz w:val="21"/>
                <w:szCs w:val="21"/>
                <w:highlight w:val="none"/>
              </w:rPr>
              <w:t>）</w:t>
            </w:r>
          </w:p>
        </w:tc>
      </w:tr>
      <w:tr w14:paraId="55F5C9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tcBorders>
              <w:left w:val="nil"/>
              <w:right w:val="single" w:color="000000" w:sz="4" w:space="0"/>
            </w:tcBorders>
            <w:vAlign w:val="center"/>
          </w:tcPr>
          <w:p w14:paraId="5012064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5</w:t>
            </w:r>
          </w:p>
        </w:tc>
        <w:tc>
          <w:tcPr>
            <w:tcW w:w="1886" w:type="dxa"/>
            <w:tcBorders>
              <w:left w:val="single" w:color="000000" w:sz="4" w:space="0"/>
              <w:right w:val="single" w:color="000000" w:sz="4" w:space="0"/>
            </w:tcBorders>
            <w:vAlign w:val="center"/>
          </w:tcPr>
          <w:p w14:paraId="22177F07">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铅</w:t>
            </w:r>
          </w:p>
        </w:tc>
        <w:tc>
          <w:tcPr>
            <w:tcW w:w="1265" w:type="dxa"/>
            <w:tcBorders>
              <w:left w:val="single" w:color="000000" w:sz="4" w:space="0"/>
              <w:right w:val="single" w:color="000000" w:sz="4" w:space="0"/>
            </w:tcBorders>
            <w:vAlign w:val="center"/>
          </w:tcPr>
          <w:p w14:paraId="31EFC62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685" w:type="dxa"/>
            <w:tcBorders>
              <w:left w:val="single" w:color="000000" w:sz="4" w:space="0"/>
              <w:right w:val="single" w:color="000000" w:sz="4" w:space="0"/>
            </w:tcBorders>
            <w:vAlign w:val="center"/>
          </w:tcPr>
          <w:p w14:paraId="6CC6EB03">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w:t>
            </w:r>
          </w:p>
        </w:tc>
        <w:tc>
          <w:tcPr>
            <w:tcW w:w="1557" w:type="dxa"/>
            <w:tcBorders>
              <w:left w:val="single" w:color="000000" w:sz="4" w:space="0"/>
              <w:right w:val="single" w:color="000000" w:sz="4" w:space="0"/>
            </w:tcBorders>
            <w:vAlign w:val="center"/>
          </w:tcPr>
          <w:p w14:paraId="710BDE16">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22</w:t>
            </w:r>
          </w:p>
        </w:tc>
        <w:tc>
          <w:tcPr>
            <w:tcW w:w="1841" w:type="dxa"/>
            <w:tcBorders>
              <w:left w:val="single" w:color="000000" w:sz="4" w:space="0"/>
              <w:right w:val="single" w:color="000000" w:sz="4" w:space="0"/>
            </w:tcBorders>
            <w:vAlign w:val="center"/>
          </w:tcPr>
          <w:p w14:paraId="39A8D985">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19</w:t>
            </w:r>
          </w:p>
        </w:tc>
        <w:tc>
          <w:tcPr>
            <w:tcW w:w="1298" w:type="dxa"/>
            <w:tcBorders>
              <w:left w:val="single" w:color="000000" w:sz="4" w:space="0"/>
              <w:right w:val="single" w:color="000000" w:sz="4" w:space="0"/>
            </w:tcBorders>
            <w:vAlign w:val="center"/>
          </w:tcPr>
          <w:p w14:paraId="5A92EFC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100%</w:t>
            </w:r>
          </w:p>
        </w:tc>
        <w:tc>
          <w:tcPr>
            <w:tcW w:w="1263" w:type="dxa"/>
            <w:tcBorders>
              <w:left w:val="single" w:color="000000" w:sz="4" w:space="0"/>
              <w:right w:val="single" w:color="000000" w:sz="4" w:space="0"/>
            </w:tcBorders>
            <w:vAlign w:val="center"/>
          </w:tcPr>
          <w:p w14:paraId="4F7E077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5F843E2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55357FA7">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宋体" w:cs="Times New Roman"/>
                <w:color w:val="auto"/>
                <w:spacing w:val="-3"/>
                <w:sz w:val="21"/>
                <w:szCs w:val="21"/>
                <w:highlight w:val="none"/>
                <w:lang w:val="en-US" w:eastAsia="zh-CN"/>
              </w:rPr>
              <w:t>800</w:t>
            </w:r>
            <w:r>
              <w:rPr>
                <w:rFonts w:hint="default" w:ascii="Times New Roman" w:hAnsi="Times New Roman" w:cs="Times New Roman"/>
                <w:color w:val="auto"/>
                <w:spacing w:val="-3"/>
                <w:sz w:val="21"/>
                <w:szCs w:val="21"/>
                <w:highlight w:val="none"/>
              </w:rPr>
              <w:t>（</w:t>
            </w:r>
            <w:r>
              <w:rPr>
                <w:rFonts w:hint="default" w:ascii="Times New Roman" w:hAnsi="Times New Roman" w:eastAsia="Times New Roman" w:cs="Times New Roman"/>
                <w:color w:val="auto"/>
                <w:spacing w:val="-3"/>
                <w:sz w:val="21"/>
                <w:szCs w:val="21"/>
                <w:highlight w:val="none"/>
              </w:rPr>
              <w:t>1</w:t>
            </w:r>
            <w:r>
              <w:rPr>
                <w:rFonts w:hint="default" w:ascii="Times New Roman" w:hAnsi="Times New Roman" w:eastAsia="宋体" w:cs="Times New Roman"/>
                <w:color w:val="auto"/>
                <w:spacing w:val="-3"/>
                <w:sz w:val="21"/>
                <w:szCs w:val="21"/>
                <w:highlight w:val="none"/>
                <w:lang w:val="en-US" w:eastAsia="zh-CN"/>
              </w:rPr>
              <w:t>20</w:t>
            </w:r>
            <w:r>
              <w:rPr>
                <w:rFonts w:hint="default" w:ascii="Times New Roman" w:hAnsi="Times New Roman" w:cs="Times New Roman"/>
                <w:color w:val="auto"/>
                <w:spacing w:val="-3"/>
                <w:sz w:val="21"/>
                <w:szCs w:val="21"/>
                <w:highlight w:val="none"/>
              </w:rPr>
              <w:t>）</w:t>
            </w:r>
          </w:p>
        </w:tc>
      </w:tr>
      <w:tr w14:paraId="119E81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tcBorders>
              <w:left w:val="nil"/>
              <w:right w:val="single" w:color="000000" w:sz="4" w:space="0"/>
            </w:tcBorders>
            <w:vAlign w:val="center"/>
          </w:tcPr>
          <w:p w14:paraId="769C854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6</w:t>
            </w:r>
          </w:p>
        </w:tc>
        <w:tc>
          <w:tcPr>
            <w:tcW w:w="1886" w:type="dxa"/>
            <w:tcBorders>
              <w:left w:val="single" w:color="000000" w:sz="4" w:space="0"/>
              <w:right w:val="single" w:color="000000" w:sz="4" w:space="0"/>
            </w:tcBorders>
            <w:vAlign w:val="center"/>
          </w:tcPr>
          <w:p w14:paraId="498DD570">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铬</w:t>
            </w:r>
          </w:p>
        </w:tc>
        <w:tc>
          <w:tcPr>
            <w:tcW w:w="1265" w:type="dxa"/>
            <w:tcBorders>
              <w:left w:val="single" w:color="000000" w:sz="4" w:space="0"/>
              <w:right w:val="single" w:color="000000" w:sz="4" w:space="0"/>
            </w:tcBorders>
            <w:vAlign w:val="center"/>
          </w:tcPr>
          <w:p w14:paraId="6FD3EAE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685" w:type="dxa"/>
            <w:tcBorders>
              <w:left w:val="single" w:color="000000" w:sz="4" w:space="0"/>
              <w:right w:val="single" w:color="000000" w:sz="4" w:space="0"/>
            </w:tcBorders>
            <w:vAlign w:val="center"/>
          </w:tcPr>
          <w:p w14:paraId="497C5A13">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未检出</w:t>
            </w:r>
          </w:p>
        </w:tc>
        <w:tc>
          <w:tcPr>
            <w:tcW w:w="1557" w:type="dxa"/>
            <w:tcBorders>
              <w:left w:val="single" w:color="000000" w:sz="4" w:space="0"/>
              <w:right w:val="single" w:color="000000" w:sz="4" w:space="0"/>
            </w:tcBorders>
            <w:vAlign w:val="center"/>
          </w:tcPr>
          <w:p w14:paraId="201F1AA0">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未检出</w:t>
            </w:r>
          </w:p>
        </w:tc>
        <w:tc>
          <w:tcPr>
            <w:tcW w:w="1841" w:type="dxa"/>
            <w:tcBorders>
              <w:left w:val="single" w:color="000000" w:sz="4" w:space="0"/>
              <w:right w:val="single" w:color="000000" w:sz="4" w:space="0"/>
            </w:tcBorders>
            <w:vAlign w:val="center"/>
          </w:tcPr>
          <w:p w14:paraId="38B284A4">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未检出</w:t>
            </w:r>
          </w:p>
        </w:tc>
        <w:tc>
          <w:tcPr>
            <w:tcW w:w="1298" w:type="dxa"/>
            <w:tcBorders>
              <w:left w:val="single" w:color="000000" w:sz="4" w:space="0"/>
              <w:right w:val="single" w:color="000000" w:sz="4" w:space="0"/>
            </w:tcBorders>
            <w:vAlign w:val="center"/>
          </w:tcPr>
          <w:p w14:paraId="6783597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pacing w:val="-3"/>
                <w:sz w:val="21"/>
                <w:szCs w:val="21"/>
                <w:highlight w:val="none"/>
                <w:lang w:val="en-US" w:eastAsia="zh-CN"/>
              </w:rPr>
              <w:t>0</w:t>
            </w:r>
            <w:r>
              <w:rPr>
                <w:rFonts w:hint="default" w:ascii="Times New Roman" w:hAnsi="Times New Roman" w:eastAsia="Times New Roman" w:cs="Times New Roman"/>
                <w:color w:val="auto"/>
                <w:spacing w:val="-3"/>
                <w:sz w:val="21"/>
                <w:szCs w:val="21"/>
                <w:highlight w:val="none"/>
              </w:rPr>
              <w:t>%</w:t>
            </w:r>
          </w:p>
        </w:tc>
        <w:tc>
          <w:tcPr>
            <w:tcW w:w="1263" w:type="dxa"/>
            <w:tcBorders>
              <w:left w:val="single" w:color="000000" w:sz="4" w:space="0"/>
              <w:right w:val="single" w:color="000000" w:sz="4" w:space="0"/>
            </w:tcBorders>
            <w:vAlign w:val="center"/>
          </w:tcPr>
          <w:p w14:paraId="4BC8B4F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4012BDDC">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38A9B4C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宋体" w:cs="Times New Roman"/>
                <w:color w:val="auto"/>
                <w:spacing w:val="-2"/>
                <w:sz w:val="21"/>
                <w:szCs w:val="21"/>
                <w:highlight w:val="none"/>
                <w:lang w:val="en-US" w:eastAsia="zh-CN"/>
              </w:rPr>
              <w:t>5.7</w:t>
            </w:r>
            <w:r>
              <w:rPr>
                <w:rFonts w:hint="default" w:ascii="Times New Roman" w:hAnsi="Times New Roman" w:cs="Times New Roman"/>
                <w:color w:val="auto"/>
                <w:spacing w:val="-2"/>
                <w:sz w:val="21"/>
                <w:szCs w:val="21"/>
                <w:highlight w:val="none"/>
              </w:rPr>
              <w:t>（</w:t>
            </w:r>
            <w:r>
              <w:rPr>
                <w:rFonts w:hint="default" w:ascii="Times New Roman" w:hAnsi="Times New Roman" w:eastAsia="宋体" w:cs="Times New Roman"/>
                <w:color w:val="auto"/>
                <w:spacing w:val="-2"/>
                <w:sz w:val="21"/>
                <w:szCs w:val="21"/>
                <w:highlight w:val="none"/>
                <w:lang w:val="en-US" w:eastAsia="zh-CN"/>
              </w:rPr>
              <w:t>200</w:t>
            </w:r>
            <w:r>
              <w:rPr>
                <w:rFonts w:hint="default" w:ascii="Times New Roman" w:hAnsi="Times New Roman" w:cs="Times New Roman"/>
                <w:color w:val="auto"/>
                <w:spacing w:val="-2"/>
                <w:sz w:val="21"/>
                <w:szCs w:val="21"/>
                <w:highlight w:val="none"/>
              </w:rPr>
              <w:t>）</w:t>
            </w:r>
          </w:p>
        </w:tc>
      </w:tr>
      <w:tr w14:paraId="67CCCB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tcBorders>
              <w:left w:val="nil"/>
              <w:right w:val="single" w:color="000000" w:sz="4" w:space="0"/>
            </w:tcBorders>
            <w:vAlign w:val="center"/>
          </w:tcPr>
          <w:p w14:paraId="5A1F3AB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7</w:t>
            </w:r>
          </w:p>
        </w:tc>
        <w:tc>
          <w:tcPr>
            <w:tcW w:w="1886" w:type="dxa"/>
            <w:tcBorders>
              <w:left w:val="single" w:color="000000" w:sz="4" w:space="0"/>
              <w:right w:val="single" w:color="000000" w:sz="4" w:space="0"/>
            </w:tcBorders>
            <w:vAlign w:val="center"/>
          </w:tcPr>
          <w:p w14:paraId="7A3154B0">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铜</w:t>
            </w:r>
          </w:p>
        </w:tc>
        <w:tc>
          <w:tcPr>
            <w:tcW w:w="1265" w:type="dxa"/>
            <w:tcBorders>
              <w:left w:val="single" w:color="000000" w:sz="4" w:space="0"/>
              <w:right w:val="single" w:color="000000" w:sz="4" w:space="0"/>
            </w:tcBorders>
            <w:vAlign w:val="center"/>
          </w:tcPr>
          <w:p w14:paraId="24ED049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685" w:type="dxa"/>
            <w:tcBorders>
              <w:left w:val="single" w:color="000000" w:sz="4" w:space="0"/>
              <w:right w:val="single" w:color="000000" w:sz="4" w:space="0"/>
            </w:tcBorders>
            <w:vAlign w:val="center"/>
          </w:tcPr>
          <w:p w14:paraId="5C3F2E80">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27</w:t>
            </w:r>
          </w:p>
        </w:tc>
        <w:tc>
          <w:tcPr>
            <w:tcW w:w="1557" w:type="dxa"/>
            <w:tcBorders>
              <w:left w:val="single" w:color="000000" w:sz="4" w:space="0"/>
              <w:right w:val="single" w:color="000000" w:sz="4" w:space="0"/>
            </w:tcBorders>
            <w:vAlign w:val="center"/>
          </w:tcPr>
          <w:p w14:paraId="6B64B46C">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21</w:t>
            </w:r>
          </w:p>
        </w:tc>
        <w:tc>
          <w:tcPr>
            <w:tcW w:w="1841" w:type="dxa"/>
            <w:tcBorders>
              <w:left w:val="single" w:color="000000" w:sz="4" w:space="0"/>
              <w:right w:val="single" w:color="000000" w:sz="4" w:space="0"/>
            </w:tcBorders>
            <w:vAlign w:val="center"/>
          </w:tcPr>
          <w:p w14:paraId="005E3D28">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12</w:t>
            </w:r>
          </w:p>
        </w:tc>
        <w:tc>
          <w:tcPr>
            <w:tcW w:w="1298" w:type="dxa"/>
            <w:tcBorders>
              <w:left w:val="single" w:color="000000" w:sz="4" w:space="0"/>
              <w:right w:val="single" w:color="000000" w:sz="4" w:space="0"/>
            </w:tcBorders>
            <w:vAlign w:val="center"/>
          </w:tcPr>
          <w:p w14:paraId="2500F18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3"/>
                <w:sz w:val="21"/>
                <w:szCs w:val="21"/>
                <w:highlight w:val="none"/>
              </w:rPr>
              <w:t>100%</w:t>
            </w:r>
          </w:p>
        </w:tc>
        <w:tc>
          <w:tcPr>
            <w:tcW w:w="1263" w:type="dxa"/>
            <w:tcBorders>
              <w:left w:val="single" w:color="000000" w:sz="4" w:space="0"/>
              <w:right w:val="single" w:color="000000" w:sz="4" w:space="0"/>
            </w:tcBorders>
            <w:vAlign w:val="center"/>
          </w:tcPr>
          <w:p w14:paraId="4C93D78B">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05A9F85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60BCC24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宋体" w:cs="Times New Roman"/>
                <w:color w:val="auto"/>
                <w:spacing w:val="-1"/>
                <w:sz w:val="21"/>
                <w:szCs w:val="21"/>
                <w:highlight w:val="none"/>
                <w:lang w:val="en-US" w:eastAsia="zh-CN"/>
              </w:rPr>
              <w:t>18000</w:t>
            </w:r>
            <w:r>
              <w:rPr>
                <w:rFonts w:hint="default" w:ascii="Times New Roman" w:hAnsi="Times New Roman" w:cs="Times New Roman"/>
                <w:color w:val="auto"/>
                <w:spacing w:val="-1"/>
                <w:sz w:val="21"/>
                <w:szCs w:val="21"/>
                <w:highlight w:val="none"/>
              </w:rPr>
              <w:t>（</w:t>
            </w:r>
            <w:r>
              <w:rPr>
                <w:rFonts w:hint="default" w:ascii="Times New Roman" w:hAnsi="Times New Roman" w:eastAsia="宋体" w:cs="Times New Roman"/>
                <w:color w:val="auto"/>
                <w:spacing w:val="-1"/>
                <w:sz w:val="21"/>
                <w:szCs w:val="21"/>
                <w:highlight w:val="none"/>
                <w:lang w:val="en-US" w:eastAsia="zh-CN"/>
              </w:rPr>
              <w:t>200</w:t>
            </w:r>
            <w:r>
              <w:rPr>
                <w:rFonts w:hint="default" w:ascii="Times New Roman" w:hAnsi="Times New Roman" w:cs="Times New Roman"/>
                <w:color w:val="auto"/>
                <w:spacing w:val="-1"/>
                <w:sz w:val="21"/>
                <w:szCs w:val="21"/>
                <w:highlight w:val="none"/>
              </w:rPr>
              <w:t>）</w:t>
            </w:r>
          </w:p>
        </w:tc>
      </w:tr>
      <w:tr w14:paraId="1798EA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tcBorders>
              <w:left w:val="nil"/>
              <w:right w:val="single" w:color="000000" w:sz="4" w:space="0"/>
            </w:tcBorders>
            <w:vAlign w:val="center"/>
          </w:tcPr>
          <w:p w14:paraId="0E7268C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8</w:t>
            </w:r>
          </w:p>
        </w:tc>
        <w:tc>
          <w:tcPr>
            <w:tcW w:w="1886" w:type="dxa"/>
            <w:tcBorders>
              <w:left w:val="single" w:color="000000" w:sz="4" w:space="0"/>
              <w:right w:val="single" w:color="000000" w:sz="4" w:space="0"/>
            </w:tcBorders>
            <w:vAlign w:val="center"/>
          </w:tcPr>
          <w:p w14:paraId="25206964">
            <w:pPr>
              <w:pStyle w:val="35"/>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镍</w:t>
            </w:r>
          </w:p>
        </w:tc>
        <w:tc>
          <w:tcPr>
            <w:tcW w:w="1265" w:type="dxa"/>
            <w:tcBorders>
              <w:left w:val="single" w:color="000000" w:sz="4" w:space="0"/>
              <w:right w:val="single" w:color="000000" w:sz="4" w:space="0"/>
            </w:tcBorders>
            <w:vAlign w:val="center"/>
          </w:tcPr>
          <w:p w14:paraId="74FBDD5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685" w:type="dxa"/>
            <w:tcBorders>
              <w:left w:val="single" w:color="000000" w:sz="4" w:space="0"/>
              <w:right w:val="single" w:color="000000" w:sz="4" w:space="0"/>
            </w:tcBorders>
            <w:vAlign w:val="center"/>
          </w:tcPr>
          <w:p w14:paraId="4C61EF4C">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16</w:t>
            </w:r>
          </w:p>
        </w:tc>
        <w:tc>
          <w:tcPr>
            <w:tcW w:w="1557" w:type="dxa"/>
            <w:tcBorders>
              <w:left w:val="single" w:color="000000" w:sz="4" w:space="0"/>
              <w:right w:val="single" w:color="000000" w:sz="4" w:space="0"/>
            </w:tcBorders>
            <w:vAlign w:val="center"/>
          </w:tcPr>
          <w:p w14:paraId="4EEB2A32">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未检出</w:t>
            </w:r>
          </w:p>
        </w:tc>
        <w:tc>
          <w:tcPr>
            <w:tcW w:w="1841" w:type="dxa"/>
            <w:tcBorders>
              <w:left w:val="single" w:color="000000" w:sz="4" w:space="0"/>
              <w:right w:val="single" w:color="000000" w:sz="4" w:space="0"/>
            </w:tcBorders>
            <w:vAlign w:val="center"/>
          </w:tcPr>
          <w:p w14:paraId="2D0B2290">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未检出</w:t>
            </w:r>
          </w:p>
        </w:tc>
        <w:tc>
          <w:tcPr>
            <w:tcW w:w="1298" w:type="dxa"/>
            <w:tcBorders>
              <w:left w:val="single" w:color="000000" w:sz="4" w:space="0"/>
              <w:right w:val="single" w:color="000000" w:sz="4" w:space="0"/>
            </w:tcBorders>
            <w:vAlign w:val="center"/>
          </w:tcPr>
          <w:p w14:paraId="23612A9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pacing w:val="-3"/>
                <w:sz w:val="21"/>
                <w:szCs w:val="21"/>
                <w:highlight w:val="none"/>
                <w:lang w:val="en-US" w:eastAsia="zh-CN"/>
              </w:rPr>
              <w:t>33.3</w:t>
            </w:r>
            <w:r>
              <w:rPr>
                <w:rFonts w:hint="default" w:ascii="Times New Roman" w:hAnsi="Times New Roman" w:eastAsia="Times New Roman" w:cs="Times New Roman"/>
                <w:color w:val="auto"/>
                <w:spacing w:val="-3"/>
                <w:sz w:val="21"/>
                <w:szCs w:val="21"/>
                <w:highlight w:val="none"/>
              </w:rPr>
              <w:t>%</w:t>
            </w:r>
          </w:p>
        </w:tc>
        <w:tc>
          <w:tcPr>
            <w:tcW w:w="1263" w:type="dxa"/>
            <w:tcBorders>
              <w:left w:val="single" w:color="000000" w:sz="4" w:space="0"/>
              <w:right w:val="single" w:color="000000" w:sz="4" w:space="0"/>
            </w:tcBorders>
            <w:vAlign w:val="center"/>
          </w:tcPr>
          <w:p w14:paraId="6C0FA04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2453A01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7328C814">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900</w:t>
            </w:r>
            <w:r>
              <w:rPr>
                <w:rFonts w:hint="default" w:ascii="Times New Roman" w:hAnsi="Times New Roman" w:cs="Times New Roman"/>
                <w:color w:val="auto"/>
                <w:spacing w:val="-1"/>
                <w:sz w:val="21"/>
                <w:szCs w:val="21"/>
                <w:highlight w:val="none"/>
              </w:rPr>
              <w:t>（</w:t>
            </w:r>
            <w:r>
              <w:rPr>
                <w:rFonts w:hint="default" w:ascii="Times New Roman" w:hAnsi="Times New Roman" w:eastAsia="Times New Roman" w:cs="Times New Roman"/>
                <w:color w:val="auto"/>
                <w:spacing w:val="-1"/>
                <w:sz w:val="21"/>
                <w:szCs w:val="21"/>
                <w:highlight w:val="none"/>
              </w:rPr>
              <w:t>100</w:t>
            </w:r>
            <w:r>
              <w:rPr>
                <w:rFonts w:hint="default" w:ascii="Times New Roman" w:hAnsi="Times New Roman" w:cs="Times New Roman"/>
                <w:color w:val="auto"/>
                <w:spacing w:val="-1"/>
                <w:sz w:val="21"/>
                <w:szCs w:val="21"/>
                <w:highlight w:val="none"/>
              </w:rPr>
              <w:t>）</w:t>
            </w:r>
          </w:p>
        </w:tc>
      </w:tr>
      <w:tr w14:paraId="328FF4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812" w:type="dxa"/>
            <w:tcBorders>
              <w:left w:val="nil"/>
              <w:right w:val="single" w:color="000000" w:sz="4" w:space="0"/>
            </w:tcBorders>
            <w:vAlign w:val="center"/>
          </w:tcPr>
          <w:p w14:paraId="590B2A9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9</w:t>
            </w:r>
          </w:p>
        </w:tc>
        <w:tc>
          <w:tcPr>
            <w:tcW w:w="1886" w:type="dxa"/>
            <w:tcBorders>
              <w:left w:val="single" w:color="000000" w:sz="4" w:space="0"/>
              <w:right w:val="single" w:color="000000" w:sz="4" w:space="0"/>
            </w:tcBorders>
            <w:vAlign w:val="center"/>
          </w:tcPr>
          <w:p w14:paraId="74F479B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锌</w:t>
            </w:r>
          </w:p>
        </w:tc>
        <w:tc>
          <w:tcPr>
            <w:tcW w:w="1265" w:type="dxa"/>
            <w:tcBorders>
              <w:left w:val="single" w:color="000000" w:sz="4" w:space="0"/>
              <w:right w:val="single" w:color="000000" w:sz="4" w:space="0"/>
            </w:tcBorders>
            <w:vAlign w:val="center"/>
          </w:tcPr>
          <w:p w14:paraId="090411D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mg/kg</w:t>
            </w:r>
          </w:p>
        </w:tc>
        <w:tc>
          <w:tcPr>
            <w:tcW w:w="1685" w:type="dxa"/>
            <w:tcBorders>
              <w:left w:val="single" w:color="000000" w:sz="4" w:space="0"/>
              <w:right w:val="single" w:color="000000" w:sz="4" w:space="0"/>
            </w:tcBorders>
            <w:vAlign w:val="center"/>
          </w:tcPr>
          <w:p w14:paraId="28D0E080">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35</w:t>
            </w:r>
          </w:p>
        </w:tc>
        <w:tc>
          <w:tcPr>
            <w:tcW w:w="1557" w:type="dxa"/>
            <w:tcBorders>
              <w:left w:val="single" w:color="000000" w:sz="4" w:space="0"/>
              <w:right w:val="single" w:color="000000" w:sz="4" w:space="0"/>
            </w:tcBorders>
            <w:vAlign w:val="center"/>
          </w:tcPr>
          <w:p w14:paraId="792A2F5D">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24</w:t>
            </w:r>
          </w:p>
        </w:tc>
        <w:tc>
          <w:tcPr>
            <w:tcW w:w="1841" w:type="dxa"/>
            <w:tcBorders>
              <w:left w:val="single" w:color="000000" w:sz="4" w:space="0"/>
              <w:right w:val="single" w:color="000000" w:sz="4" w:space="0"/>
            </w:tcBorders>
            <w:vAlign w:val="center"/>
          </w:tcPr>
          <w:p w14:paraId="404A147D">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27</w:t>
            </w:r>
          </w:p>
        </w:tc>
        <w:tc>
          <w:tcPr>
            <w:tcW w:w="1298" w:type="dxa"/>
            <w:tcBorders>
              <w:left w:val="single" w:color="000000" w:sz="4" w:space="0"/>
              <w:right w:val="single" w:color="000000" w:sz="4" w:space="0"/>
            </w:tcBorders>
            <w:vAlign w:val="center"/>
          </w:tcPr>
          <w:p w14:paraId="567E4987">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3" w:type="dxa"/>
            <w:tcBorders>
              <w:left w:val="single" w:color="000000" w:sz="4" w:space="0"/>
              <w:right w:val="single" w:color="000000" w:sz="4" w:space="0"/>
            </w:tcBorders>
            <w:vAlign w:val="center"/>
          </w:tcPr>
          <w:p w14:paraId="62EF0852">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260" w:type="dxa"/>
            <w:tcBorders>
              <w:left w:val="single" w:color="000000" w:sz="4" w:space="0"/>
              <w:right w:val="single" w:color="000000" w:sz="4" w:space="0"/>
            </w:tcBorders>
            <w:vAlign w:val="center"/>
          </w:tcPr>
          <w:p w14:paraId="1753512F">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0</w:t>
            </w:r>
          </w:p>
        </w:tc>
        <w:tc>
          <w:tcPr>
            <w:tcW w:w="1366" w:type="dxa"/>
            <w:tcBorders>
              <w:left w:val="single" w:color="000000" w:sz="4" w:space="0"/>
              <w:right w:val="nil"/>
            </w:tcBorders>
            <w:vAlign w:val="center"/>
          </w:tcPr>
          <w:p w14:paraId="1A51EB5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250</w:t>
            </w:r>
          </w:p>
        </w:tc>
      </w:tr>
    </w:tbl>
    <w:p w14:paraId="7A28C2EF">
      <w:pPr>
        <w:keepNext w:val="0"/>
        <w:keepLines w:val="0"/>
        <w:pageBreakBefore w:val="0"/>
        <w:widowControl/>
        <w:kinsoku/>
        <w:wordWrap w:val="0"/>
        <w:overflowPunct/>
        <w:topLinePunct/>
        <w:autoSpaceDE/>
        <w:autoSpaceDN/>
        <w:bidi w:val="0"/>
        <w:adjustRightInd w:val="0"/>
        <w:snapToGrid w:val="0"/>
        <w:spacing w:line="360" w:lineRule="auto"/>
        <w:ind w:left="0" w:firstLine="476" w:firstLineChars="200"/>
        <w:textAlignment w:val="baseline"/>
        <w:rPr>
          <w:rFonts w:hint="default" w:ascii="Times New Roman" w:hAnsi="Times New Roman" w:eastAsia="宋体" w:cs="Times New Roman"/>
          <w:color w:val="auto"/>
          <w:spacing w:val="-1"/>
          <w:sz w:val="24"/>
          <w:szCs w:val="24"/>
          <w:highlight w:val="none"/>
        </w:rPr>
      </w:pPr>
      <w:r>
        <w:rPr>
          <w:rFonts w:hint="default" w:ascii="Times New Roman" w:hAnsi="Times New Roman" w:eastAsia="宋体" w:cs="Times New Roman"/>
          <w:color w:val="auto"/>
          <w:spacing w:val="-1"/>
          <w:sz w:val="24"/>
          <w:szCs w:val="24"/>
          <w:highlight w:val="none"/>
        </w:rPr>
        <w:t>根据土壤现状监测结果，</w:t>
      </w:r>
      <w:r>
        <w:rPr>
          <w:rFonts w:hint="default" w:ascii="Times New Roman" w:hAnsi="Times New Roman" w:eastAsia="Times New Roman" w:cs="Times New Roman"/>
          <w:color w:val="auto"/>
          <w:spacing w:val="-1"/>
          <w:sz w:val="24"/>
          <w:szCs w:val="24"/>
          <w:highlight w:val="none"/>
        </w:rPr>
        <w:t>3</w:t>
      </w:r>
      <w:r>
        <w:rPr>
          <w:rFonts w:hint="default" w:ascii="Times New Roman" w:hAnsi="Times New Roman" w:eastAsia="宋体" w:cs="Times New Roman"/>
          <w:color w:val="auto"/>
          <w:spacing w:val="-1"/>
          <w:sz w:val="24"/>
          <w:szCs w:val="24"/>
          <w:highlight w:val="none"/>
        </w:rPr>
        <w:t>个监测点</w:t>
      </w:r>
      <w:r>
        <w:rPr>
          <w:rFonts w:hint="eastAsia" w:ascii="Times New Roman" w:hAnsi="Times New Roman" w:eastAsia="宋体" w:cs="Times New Roman"/>
          <w:color w:val="auto"/>
          <w:spacing w:val="-1"/>
          <w:sz w:val="24"/>
          <w:szCs w:val="24"/>
          <w:highlight w:val="none"/>
          <w:lang w:val="en-US" w:eastAsia="zh-CN"/>
        </w:rPr>
        <w:t>位的监测因子</w:t>
      </w:r>
      <w:r>
        <w:rPr>
          <w:rFonts w:hint="default" w:ascii="Times New Roman" w:hAnsi="Times New Roman" w:eastAsia="宋体" w:cs="Times New Roman"/>
          <w:color w:val="auto"/>
          <w:spacing w:val="-1"/>
          <w:sz w:val="24"/>
          <w:szCs w:val="24"/>
          <w:highlight w:val="none"/>
        </w:rPr>
        <w:t>均满足《土壤环境质量农用地土壤污染风险管控标准（试行）》（</w:t>
      </w:r>
      <w:r>
        <w:rPr>
          <w:rFonts w:hint="default" w:ascii="Times New Roman" w:hAnsi="Times New Roman" w:eastAsia="Times New Roman" w:cs="Times New Roman"/>
          <w:color w:val="auto"/>
          <w:spacing w:val="-1"/>
          <w:sz w:val="24"/>
          <w:szCs w:val="24"/>
          <w:highlight w:val="none"/>
        </w:rPr>
        <w:t>GB15618-2018</w:t>
      </w:r>
      <w:r>
        <w:rPr>
          <w:rFonts w:hint="default" w:ascii="Times New Roman" w:hAnsi="Times New Roman" w:eastAsia="宋体" w:cs="Times New Roman"/>
          <w:color w:val="auto"/>
          <w:spacing w:val="-1"/>
          <w:sz w:val="24"/>
          <w:szCs w:val="24"/>
          <w:highlight w:val="none"/>
        </w:rPr>
        <w:t>）。</w:t>
      </w:r>
    </w:p>
    <w:p w14:paraId="2ECC8ECB">
      <w:pPr>
        <w:pStyle w:val="40"/>
        <w:keepNext w:val="0"/>
        <w:keepLines w:val="0"/>
        <w:pageBreakBefore w:val="0"/>
        <w:widowControl/>
        <w:overflowPunct/>
        <w:bidi w:val="0"/>
        <w:snapToGrid w:val="0"/>
        <w:spacing w:line="360" w:lineRule="auto"/>
        <w:ind w:left="0" w:firstLine="476" w:firstLineChars="200"/>
        <w:textAlignment w:val="baseline"/>
        <w:rPr>
          <w:rFonts w:hint="default" w:ascii="Times New Roman" w:hAnsi="Times New Roman" w:eastAsia="宋体" w:cs="Times New Roman"/>
          <w:snapToGrid w:val="0"/>
          <w:color w:val="auto"/>
          <w:spacing w:val="-1"/>
          <w:kern w:val="0"/>
          <w:sz w:val="24"/>
          <w:szCs w:val="24"/>
          <w:highlight w:val="none"/>
          <w:lang w:val="en-US" w:eastAsia="en-US" w:bidi="ar-SA"/>
        </w:rPr>
      </w:pPr>
      <w:r>
        <w:rPr>
          <w:rFonts w:hint="default" w:ascii="Times New Roman" w:hAnsi="Times New Roman" w:eastAsia="宋体" w:cs="Times New Roman"/>
          <w:snapToGrid w:val="0"/>
          <w:color w:val="auto"/>
          <w:spacing w:val="-1"/>
          <w:kern w:val="0"/>
          <w:sz w:val="24"/>
          <w:szCs w:val="24"/>
          <w:highlight w:val="none"/>
          <w:lang w:val="en-US" w:eastAsia="en-US" w:bidi="ar-SA"/>
        </w:rPr>
        <w:t>由上表可见，本项目各监测因子满足《土壤环境质量 农用地土壤污染风险管控标准》（GB15618-2018）中表1中其他农用地土壤污染风险筛选值要求。</w:t>
      </w:r>
    </w:p>
    <w:p w14:paraId="244902DD">
      <w:pPr>
        <w:keepNext w:val="0"/>
        <w:keepLines w:val="0"/>
        <w:pageBreakBefore w:val="0"/>
        <w:kinsoku/>
        <w:wordWrap w:val="0"/>
        <w:overflowPunct/>
        <w:topLinePunct/>
        <w:autoSpaceDE/>
        <w:autoSpaceDN/>
        <w:bidi w:val="0"/>
        <w:adjustRightInd w:val="0"/>
        <w:snapToGrid w:val="0"/>
        <w:spacing w:before="34" w:line="233" w:lineRule="auto"/>
        <w:ind w:left="612"/>
        <w:textAlignment w:val="baseline"/>
        <w:rPr>
          <w:rFonts w:hint="default" w:ascii="Times New Roman" w:hAnsi="Times New Roman" w:eastAsia="宋体" w:cs="Times New Roman"/>
          <w:color w:val="auto"/>
          <w:spacing w:val="-1"/>
          <w:sz w:val="24"/>
          <w:szCs w:val="24"/>
          <w:highlight w:val="none"/>
        </w:rPr>
      </w:pPr>
    </w:p>
    <w:p w14:paraId="041EBED8">
      <w:pPr>
        <w:keepNext w:val="0"/>
        <w:keepLines w:val="0"/>
        <w:pageBreakBefore w:val="0"/>
        <w:kinsoku/>
        <w:wordWrap w:val="0"/>
        <w:overflowPunct/>
        <w:topLinePunct/>
        <w:autoSpaceDE/>
        <w:autoSpaceDN/>
        <w:bidi w:val="0"/>
        <w:adjustRightInd w:val="0"/>
        <w:snapToGrid w:val="0"/>
        <w:spacing w:line="233" w:lineRule="auto"/>
        <w:textAlignment w:val="baseline"/>
        <w:rPr>
          <w:rFonts w:hint="default" w:ascii="Times New Roman" w:hAnsi="Times New Roman" w:eastAsia="宋体" w:cs="Times New Roman"/>
          <w:color w:val="auto"/>
          <w:sz w:val="24"/>
          <w:szCs w:val="24"/>
          <w:highlight w:val="none"/>
        </w:rPr>
        <w:sectPr>
          <w:headerReference r:id="rId31"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6E07C324">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56" w:name="_Toc7820"/>
      <w:r>
        <w:rPr>
          <w:rFonts w:hint="default" w:ascii="Times New Roman" w:hAnsi="Times New Roman" w:eastAsia="宋体" w:cs="Times New Roman"/>
          <w:b/>
          <w:bCs/>
          <w:color w:val="auto"/>
          <w:spacing w:val="-2"/>
          <w:sz w:val="24"/>
          <w:szCs w:val="24"/>
          <w:highlight w:val="none"/>
          <w:lang w:val="en-US" w:eastAsia="zh-CN"/>
        </w:rPr>
        <w:t>4.3.6生态环境现状</w:t>
      </w:r>
      <w:bookmarkEnd w:id="156"/>
    </w:p>
    <w:p w14:paraId="4413359F">
      <w:pPr>
        <w:keepNext w:val="0"/>
        <w:keepLines w:val="0"/>
        <w:pageBreakBefore w:val="0"/>
        <w:widowControl/>
        <w:kinsoku/>
        <w:wordWrap w:val="0"/>
        <w:overflowPunct/>
        <w:topLinePunct/>
        <w:autoSpaceDE/>
        <w:autoSpaceDN/>
        <w:bidi w:val="0"/>
        <w:adjustRightInd w:val="0"/>
        <w:snapToGrid w:val="0"/>
        <w:spacing w:line="360" w:lineRule="auto"/>
        <w:ind w:right="0" w:firstLine="43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1"/>
          <w:sz w:val="24"/>
          <w:szCs w:val="24"/>
          <w:highlight w:val="none"/>
        </w:rPr>
        <w:t>本项目位于</w:t>
      </w:r>
      <w:r>
        <w:rPr>
          <w:rFonts w:hint="default" w:ascii="Times New Roman" w:hAnsi="Times New Roman" w:eastAsia="宋体" w:cs="Times New Roman"/>
          <w:color w:val="auto"/>
          <w:sz w:val="24"/>
          <w:szCs w:val="24"/>
          <w:highlight w:val="none"/>
          <w:lang w:val="en-US" w:eastAsia="zh-CN"/>
        </w:rPr>
        <w:t>双鸭山市集贤县集贤镇种畜场（康家屯）</w:t>
      </w:r>
      <w:r>
        <w:rPr>
          <w:rFonts w:hint="default" w:ascii="Times New Roman" w:hAnsi="Times New Roman" w:eastAsia="宋体" w:cs="Times New Roman"/>
          <w:color w:val="auto"/>
          <w:spacing w:val="-11"/>
          <w:sz w:val="24"/>
          <w:szCs w:val="24"/>
          <w:highlight w:val="none"/>
        </w:rPr>
        <w:t>，本项目</w:t>
      </w:r>
      <w:r>
        <w:rPr>
          <w:rFonts w:hint="default" w:ascii="Times New Roman" w:hAnsi="Times New Roman" w:eastAsia="宋体" w:cs="Times New Roman"/>
          <w:color w:val="auto"/>
          <w:spacing w:val="-11"/>
          <w:sz w:val="24"/>
          <w:szCs w:val="24"/>
          <w:highlight w:val="none"/>
          <w:lang w:val="en-US" w:eastAsia="zh-CN"/>
        </w:rPr>
        <w:t>四</w:t>
      </w:r>
      <w:r>
        <w:rPr>
          <w:rFonts w:hint="default" w:ascii="Times New Roman" w:hAnsi="Times New Roman" w:eastAsia="宋体" w:cs="Times New Roman"/>
          <w:color w:val="auto"/>
          <w:spacing w:val="-11"/>
          <w:sz w:val="24"/>
          <w:szCs w:val="24"/>
          <w:highlight w:val="none"/>
        </w:rPr>
        <w:t>周边</w:t>
      </w:r>
      <w:r>
        <w:rPr>
          <w:rFonts w:hint="default" w:ascii="Times New Roman" w:hAnsi="Times New Roman" w:eastAsia="宋体" w:cs="Times New Roman"/>
          <w:color w:val="auto"/>
          <w:spacing w:val="-11"/>
          <w:sz w:val="24"/>
          <w:szCs w:val="24"/>
          <w:highlight w:val="none"/>
          <w:lang w:val="en-US" w:eastAsia="zh-CN"/>
        </w:rPr>
        <w:t>均</w:t>
      </w:r>
      <w:r>
        <w:rPr>
          <w:rFonts w:hint="default" w:ascii="Times New Roman" w:hAnsi="Times New Roman" w:eastAsia="宋体" w:cs="Times New Roman"/>
          <w:color w:val="auto"/>
          <w:spacing w:val="-11"/>
          <w:sz w:val="24"/>
          <w:szCs w:val="24"/>
          <w:highlight w:val="none"/>
        </w:rPr>
        <w:t>为耕地。</w:t>
      </w:r>
      <w:r>
        <w:rPr>
          <w:rFonts w:hint="default" w:ascii="Times New Roman" w:hAnsi="Times New Roman" w:eastAsia="宋体" w:cs="Times New Roman"/>
          <w:color w:val="auto"/>
          <w:spacing w:val="-3"/>
          <w:sz w:val="24"/>
          <w:szCs w:val="24"/>
          <w:highlight w:val="none"/>
        </w:rPr>
        <w:t>本项目建设不占用基本农田及林地，土地性质不改变。</w:t>
      </w:r>
    </w:p>
    <w:p w14:paraId="16DAA0CA">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1</w:t>
      </w:r>
      <w:r>
        <w:rPr>
          <w:rFonts w:hint="default" w:ascii="Times New Roman" w:hAnsi="Times New Roman" w:eastAsia="宋体" w:cs="Times New Roman"/>
          <w:color w:val="auto"/>
          <w:spacing w:val="-3"/>
          <w:sz w:val="24"/>
          <w:szCs w:val="24"/>
          <w:highlight w:val="none"/>
        </w:rPr>
        <w:t>）区域生态环境</w:t>
      </w:r>
    </w:p>
    <w:p w14:paraId="6F68A6C1">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本项目周边主要为耕地，区域主要以农田生态系统为主，无需特殊保护的动植物</w:t>
      </w:r>
      <w:r>
        <w:rPr>
          <w:rFonts w:hint="default" w:ascii="Times New Roman" w:hAnsi="Times New Roman" w:eastAsia="宋体" w:cs="Times New Roman"/>
          <w:color w:val="auto"/>
          <w:spacing w:val="-2"/>
          <w:sz w:val="24"/>
          <w:szCs w:val="24"/>
          <w:highlight w:val="none"/>
        </w:rPr>
        <w:t>物种，生态系统结构较为简单，现状不存在生态问题。</w:t>
      </w:r>
    </w:p>
    <w:p w14:paraId="7D0A5FF3">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2</w:t>
      </w:r>
      <w:r>
        <w:rPr>
          <w:rFonts w:hint="default" w:ascii="Times New Roman" w:hAnsi="Times New Roman" w:eastAsia="宋体" w:cs="Times New Roman"/>
          <w:color w:val="auto"/>
          <w:spacing w:val="-5"/>
          <w:sz w:val="24"/>
          <w:szCs w:val="24"/>
          <w:highlight w:val="none"/>
        </w:rPr>
        <w:t>）植被</w:t>
      </w:r>
    </w:p>
    <w:p w14:paraId="1698B15D">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pacing w:val="-4"/>
          <w:sz w:val="24"/>
          <w:szCs w:val="24"/>
          <w:highlight w:val="none"/>
        </w:rPr>
        <w:t>目前项目周边主要为耕地，农作物主要为玉米、大豆。</w:t>
      </w:r>
      <w:r>
        <w:rPr>
          <w:rFonts w:hint="default" w:ascii="Times New Roman" w:hAnsi="Times New Roman" w:eastAsia="宋体" w:cs="Times New Roman"/>
          <w:color w:val="FF0000"/>
          <w:spacing w:val="-4"/>
          <w:sz w:val="24"/>
          <w:szCs w:val="24"/>
          <w:highlight w:val="none"/>
          <w:lang w:eastAsia="zh-CN"/>
        </w:rPr>
        <w:t>（</w:t>
      </w:r>
      <w:r>
        <w:rPr>
          <w:rFonts w:hint="default" w:ascii="Times New Roman" w:hAnsi="Times New Roman" w:eastAsia="宋体" w:cs="Times New Roman"/>
          <w:color w:val="FF0000"/>
          <w:spacing w:val="-4"/>
          <w:sz w:val="24"/>
          <w:szCs w:val="24"/>
          <w:highlight w:val="none"/>
          <w:lang w:val="en-US" w:eastAsia="zh-CN"/>
        </w:rPr>
        <w:t>评价区内植被类型分布图见附图9</w:t>
      </w:r>
      <w:r>
        <w:rPr>
          <w:rFonts w:hint="default" w:ascii="Times New Roman" w:hAnsi="Times New Roman" w:eastAsia="宋体" w:cs="Times New Roman"/>
          <w:color w:val="FF0000"/>
          <w:spacing w:val="-4"/>
          <w:sz w:val="24"/>
          <w:szCs w:val="24"/>
          <w:highlight w:val="none"/>
          <w:lang w:eastAsia="zh-CN"/>
        </w:rPr>
        <w:t>）</w:t>
      </w:r>
    </w:p>
    <w:p w14:paraId="4272B9EF">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5"/>
          <w:sz w:val="24"/>
          <w:szCs w:val="24"/>
          <w:highlight w:val="none"/>
        </w:rPr>
        <w:t>（</w:t>
      </w:r>
      <w:r>
        <w:rPr>
          <w:rFonts w:hint="default" w:ascii="Times New Roman" w:hAnsi="Times New Roman" w:eastAsia="Times New Roman" w:cs="Times New Roman"/>
          <w:color w:val="auto"/>
          <w:spacing w:val="-5"/>
          <w:sz w:val="24"/>
          <w:szCs w:val="24"/>
          <w:highlight w:val="none"/>
        </w:rPr>
        <w:t>3</w:t>
      </w:r>
      <w:r>
        <w:rPr>
          <w:rFonts w:hint="default" w:ascii="Times New Roman" w:hAnsi="Times New Roman" w:eastAsia="宋体" w:cs="Times New Roman"/>
          <w:color w:val="auto"/>
          <w:spacing w:val="-5"/>
          <w:sz w:val="24"/>
          <w:szCs w:val="24"/>
          <w:highlight w:val="none"/>
        </w:rPr>
        <w:t>）土壤</w:t>
      </w:r>
    </w:p>
    <w:p w14:paraId="61ABA8C4">
      <w:pPr>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本区域土壤可分为典型暗棕壤、原始暗棕壤、潜育暗棕壤，</w:t>
      </w:r>
      <w:r>
        <w:rPr>
          <w:rFonts w:hint="default" w:ascii="Times New Roman" w:hAnsi="Times New Roman" w:eastAsia="宋体" w:cs="Times New Roman"/>
          <w:color w:val="auto"/>
          <w:spacing w:val="-7"/>
          <w:sz w:val="24"/>
          <w:szCs w:val="24"/>
          <w:highlight w:val="none"/>
        </w:rPr>
        <w:t>典型沼泽土、腐殖质</w:t>
      </w:r>
      <w:r>
        <w:rPr>
          <w:rFonts w:hint="default" w:ascii="Times New Roman" w:hAnsi="Times New Roman" w:eastAsia="宋体" w:cs="Times New Roman"/>
          <w:color w:val="auto"/>
          <w:spacing w:val="-3"/>
          <w:sz w:val="24"/>
          <w:szCs w:val="24"/>
          <w:highlight w:val="none"/>
        </w:rPr>
        <w:t>沼泽土、腐殖质泥炭沼泽土、泥炭土、草甸土八个亚类。暗棕壤为小兴安岭山地典型性土壤，分布面积广，是本区最大土壤类型，其成土母质为基岩风化的残积物、坡积</w:t>
      </w:r>
      <w:r>
        <w:rPr>
          <w:rFonts w:hint="default" w:ascii="Times New Roman" w:hAnsi="Times New Roman" w:eastAsia="宋体" w:cs="Times New Roman"/>
          <w:color w:val="auto"/>
          <w:spacing w:val="-2"/>
          <w:sz w:val="24"/>
          <w:szCs w:val="24"/>
          <w:highlight w:val="none"/>
        </w:rPr>
        <w:t>物等，呈微酸性、肥力低、适宜针阔叶树种的生长。</w:t>
      </w:r>
    </w:p>
    <w:p w14:paraId="1C4A36AE">
      <w:pPr>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草甸土分布在平原低地、滩地部位，黑土层厚、肥力高、质地</w:t>
      </w:r>
      <w:r>
        <w:rPr>
          <w:rFonts w:hint="default" w:ascii="Times New Roman" w:hAnsi="Times New Roman" w:eastAsia="宋体" w:cs="Times New Roman"/>
          <w:color w:val="auto"/>
          <w:spacing w:val="-7"/>
          <w:sz w:val="24"/>
          <w:szCs w:val="24"/>
          <w:highlight w:val="none"/>
        </w:rPr>
        <w:t>粘重透水性差，质</w:t>
      </w:r>
      <w:r>
        <w:rPr>
          <w:rFonts w:hint="default" w:ascii="Times New Roman" w:hAnsi="Times New Roman" w:eastAsia="宋体" w:cs="Times New Roman"/>
          <w:color w:val="auto"/>
          <w:spacing w:val="-3"/>
          <w:sz w:val="24"/>
          <w:szCs w:val="24"/>
          <w:highlight w:val="none"/>
        </w:rPr>
        <w:t>地轻、通透性强、生产性能好。沼泽土主要分布在常积水的低洼处。受成土条件的影</w:t>
      </w:r>
      <w:r>
        <w:rPr>
          <w:rFonts w:hint="default" w:ascii="Times New Roman" w:hAnsi="Times New Roman" w:eastAsia="宋体" w:cs="Times New Roman"/>
          <w:color w:val="auto"/>
          <w:spacing w:val="-10"/>
          <w:sz w:val="24"/>
          <w:szCs w:val="24"/>
          <w:highlight w:val="none"/>
        </w:rPr>
        <w:t>响，土壤种类较多，土壤分布的水平地带性较明显</w:t>
      </w:r>
      <w:r>
        <w:rPr>
          <w:rFonts w:hint="default" w:ascii="Times New Roman" w:hAnsi="Times New Roman" w:eastAsia="宋体" w:cs="Times New Roman"/>
          <w:color w:val="auto"/>
          <w:spacing w:val="-11"/>
          <w:sz w:val="24"/>
          <w:szCs w:val="24"/>
          <w:highlight w:val="none"/>
        </w:rPr>
        <w:t>，亦具垂直地带性。伴随土地开发，</w:t>
      </w:r>
      <w:r>
        <w:rPr>
          <w:rFonts w:hint="default" w:ascii="Times New Roman" w:hAnsi="Times New Roman" w:eastAsia="宋体" w:cs="Times New Roman"/>
          <w:color w:val="auto"/>
          <w:spacing w:val="-2"/>
          <w:sz w:val="24"/>
          <w:szCs w:val="24"/>
          <w:highlight w:val="none"/>
        </w:rPr>
        <w:t>水土流失日渐加重，土壤肥力正在下降。</w:t>
      </w:r>
    </w:p>
    <w:p w14:paraId="3682FE3A">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4</w:t>
      </w:r>
      <w:r>
        <w:rPr>
          <w:rFonts w:hint="default" w:ascii="Times New Roman" w:hAnsi="Times New Roman" w:eastAsia="宋体" w:cs="Times New Roman"/>
          <w:color w:val="auto"/>
          <w:spacing w:val="-4"/>
          <w:sz w:val="24"/>
          <w:szCs w:val="24"/>
          <w:highlight w:val="none"/>
        </w:rPr>
        <w:t>）动、植物</w:t>
      </w:r>
    </w:p>
    <w:p w14:paraId="56D349AD">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pacing w:val="-3"/>
          <w:sz w:val="24"/>
          <w:szCs w:val="24"/>
          <w:highlight w:val="none"/>
        </w:rPr>
        <w:t>评价范围内无保护植物，动物数量稀少，无大型兽类分布，小型兽类以农田内的啮齿类为主。评价区以农田生态系统为主，区内田防林树种常见为杨、柳。</w:t>
      </w:r>
    </w:p>
    <w:p w14:paraId="19B7D960">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5</w:t>
      </w:r>
      <w:r>
        <w:rPr>
          <w:rFonts w:hint="default" w:ascii="Times New Roman" w:hAnsi="Times New Roman" w:eastAsia="宋体" w:cs="Times New Roman"/>
          <w:color w:val="auto"/>
          <w:spacing w:val="-3"/>
          <w:sz w:val="24"/>
          <w:szCs w:val="24"/>
          <w:highlight w:val="none"/>
        </w:rPr>
        <w:t>）生态现状评价结论</w:t>
      </w:r>
    </w:p>
    <w:p w14:paraId="542F52FB">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本区生态环境稳定，主要为人工林地及耕地，抗干扰性较强。本次工程在建设及</w:t>
      </w:r>
      <w:r>
        <w:rPr>
          <w:rFonts w:hint="default" w:ascii="Times New Roman" w:hAnsi="Times New Roman" w:eastAsia="宋体" w:cs="Times New Roman"/>
          <w:color w:val="auto"/>
          <w:spacing w:val="-2"/>
          <w:sz w:val="24"/>
          <w:szCs w:val="24"/>
          <w:highlight w:val="none"/>
        </w:rPr>
        <w:t>运行过程中应注意对周围植被的保护，对周围生态环境的保护。</w:t>
      </w:r>
    </w:p>
    <w:p w14:paraId="7F7098E3">
      <w:pPr>
        <w:keepNext w:val="0"/>
        <w:keepLines w:val="0"/>
        <w:pageBreakBefore w:val="0"/>
        <w:widowControl/>
        <w:kinsoku/>
        <w:wordWrap w:val="0"/>
        <w:overflowPunct/>
        <w:topLinePunct/>
        <w:autoSpaceDE/>
        <w:autoSpaceDN/>
        <w:bidi w:val="0"/>
        <w:adjustRightInd w:val="0"/>
        <w:snapToGrid w:val="0"/>
        <w:spacing w:line="360" w:lineRule="auto"/>
        <w:ind w:right="0" w:firstLine="448" w:firstLineChars="200"/>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pacing w:val="-8"/>
          <w:sz w:val="24"/>
          <w:szCs w:val="24"/>
          <w:highlight w:val="none"/>
        </w:rPr>
        <w:t>综上所述，野生植物及动物种类基本上都是常见的广布种，</w:t>
      </w:r>
      <w:r>
        <w:rPr>
          <w:rFonts w:hint="default" w:ascii="Times New Roman" w:hAnsi="Times New Roman" w:eastAsia="宋体" w:cs="Times New Roman"/>
          <w:color w:val="FF0000"/>
          <w:spacing w:val="-3"/>
          <w:sz w:val="24"/>
          <w:szCs w:val="24"/>
          <w:highlight w:val="none"/>
        </w:rPr>
        <w:t>本项目建设不占用基本农田及林地，</w:t>
      </w:r>
      <w:r>
        <w:rPr>
          <w:rFonts w:hint="default" w:ascii="Times New Roman" w:hAnsi="Times New Roman" w:eastAsia="宋体" w:cs="Times New Roman"/>
          <w:color w:val="FF0000"/>
          <w:spacing w:val="-3"/>
          <w:sz w:val="24"/>
          <w:szCs w:val="24"/>
          <w:highlight w:val="none"/>
          <w:lang w:val="en-US" w:eastAsia="zh-CN"/>
        </w:rPr>
        <w:t>不会对附近生态造成破坏。</w:t>
      </w:r>
    </w:p>
    <w:p w14:paraId="43F438E7">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157" w:name="_Toc12932"/>
      <w:r>
        <w:rPr>
          <w:rFonts w:hint="default" w:ascii="Times New Roman" w:hAnsi="Times New Roman" w:eastAsia="Times New Roman" w:cs="Times New Roman"/>
          <w:b/>
          <w:bCs/>
          <w:color w:val="auto"/>
          <w:spacing w:val="-5"/>
          <w:sz w:val="28"/>
          <w:szCs w:val="28"/>
          <w:highlight w:val="none"/>
        </w:rPr>
        <w:t>4.4区域污染源调查</w:t>
      </w:r>
      <w:bookmarkEnd w:id="147"/>
      <w:bookmarkEnd w:id="148"/>
      <w:bookmarkEnd w:id="157"/>
    </w:p>
    <w:p w14:paraId="023406FD">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58" w:name="_Toc169251808"/>
      <w:bookmarkStart w:id="159" w:name="_Toc519610353"/>
      <w:bookmarkStart w:id="160" w:name="_Toc29892"/>
      <w:r>
        <w:rPr>
          <w:rFonts w:hint="default" w:ascii="Times New Roman" w:hAnsi="Times New Roman" w:eastAsia="宋体" w:cs="Times New Roman"/>
          <w:b/>
          <w:bCs/>
          <w:color w:val="auto"/>
          <w:spacing w:val="-2"/>
          <w:sz w:val="24"/>
          <w:szCs w:val="24"/>
          <w:highlight w:val="none"/>
          <w:lang w:val="en-US" w:eastAsia="zh-CN"/>
        </w:rPr>
        <w:t>4.4.1大气污染源</w:t>
      </w:r>
      <w:bookmarkEnd w:id="158"/>
      <w:bookmarkEnd w:id="159"/>
      <w:bookmarkEnd w:id="160"/>
    </w:p>
    <w:p w14:paraId="20FCBD61">
      <w:pPr>
        <w:pStyle w:val="40"/>
        <w:keepNext w:val="0"/>
        <w:keepLines w:val="0"/>
        <w:pageBreakBefore w:val="0"/>
        <w:widowControl/>
        <w:kinsoku w:val="0"/>
        <w:wordWrap/>
        <w:overflowPunct/>
        <w:topLinePunct w:val="0"/>
        <w:autoSpaceDE w:val="0"/>
        <w:autoSpaceDN w:val="0"/>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项目周边大气污染源主要为冬季农村自家采暖锅炉、周边养殖散养户畜禽舍恶臭气体等，排放污染物主要为二氧化硫、氮氧化物、颗粒物、氨气、硫化氢及臭气浓度等。</w:t>
      </w:r>
    </w:p>
    <w:p w14:paraId="1AF9ED3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61" w:name="_Toc16058"/>
      <w:bookmarkStart w:id="162" w:name="_Toc519610354"/>
      <w:bookmarkStart w:id="163" w:name="_Toc169251809"/>
      <w:r>
        <w:rPr>
          <w:rFonts w:hint="default" w:ascii="Times New Roman" w:hAnsi="Times New Roman" w:eastAsia="宋体" w:cs="Times New Roman"/>
          <w:b/>
          <w:bCs/>
          <w:color w:val="auto"/>
          <w:spacing w:val="-2"/>
          <w:sz w:val="24"/>
          <w:szCs w:val="24"/>
          <w:highlight w:val="none"/>
          <w:lang w:val="en-US" w:eastAsia="zh-CN"/>
        </w:rPr>
        <w:t>4.3.2地表水污染源</w:t>
      </w:r>
      <w:bookmarkEnd w:id="161"/>
      <w:bookmarkEnd w:id="162"/>
      <w:bookmarkEnd w:id="163"/>
    </w:p>
    <w:p w14:paraId="010D6F3F">
      <w:pPr>
        <w:pStyle w:val="40"/>
        <w:keepNext w:val="0"/>
        <w:keepLines w:val="0"/>
        <w:pageBreakBefore w:val="0"/>
        <w:widowControl/>
        <w:kinsoku w:val="0"/>
        <w:wordWrap/>
        <w:overflowPunct/>
        <w:topLinePunct w:val="0"/>
        <w:autoSpaceDE w:val="0"/>
        <w:autoSpaceDN w:val="0"/>
        <w:bidi w:val="0"/>
        <w:adjustRightInd/>
        <w:snapToGrid/>
        <w:spacing w:line="360" w:lineRule="auto"/>
        <w:ind w:firstLine="44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snapToGrid w:val="0"/>
          <w:color w:val="auto"/>
          <w:spacing w:val="-8"/>
          <w:kern w:val="0"/>
          <w:sz w:val="24"/>
          <w:szCs w:val="24"/>
          <w:highlight w:val="none"/>
          <w:lang w:val="en-US" w:eastAsia="en-US" w:bidi="ar-SA"/>
        </w:rPr>
        <w:t>本项目</w:t>
      </w:r>
      <w:r>
        <w:rPr>
          <w:rFonts w:hint="default" w:ascii="Times New Roman" w:hAnsi="Times New Roman" w:eastAsia="宋体" w:cs="Times New Roman"/>
          <w:snapToGrid w:val="0"/>
          <w:color w:val="auto"/>
          <w:spacing w:val="-8"/>
          <w:kern w:val="0"/>
          <w:sz w:val="24"/>
          <w:szCs w:val="24"/>
          <w:highlight w:val="none"/>
          <w:lang w:val="en-US" w:eastAsia="zh-CN" w:bidi="ar-SA"/>
        </w:rPr>
        <w:t>区域</w:t>
      </w:r>
      <w:r>
        <w:rPr>
          <w:rFonts w:hint="default" w:ascii="Times New Roman" w:hAnsi="Times New Roman" w:eastAsia="宋体" w:cs="Times New Roman"/>
          <w:snapToGrid w:val="0"/>
          <w:color w:val="auto"/>
          <w:spacing w:val="-8"/>
          <w:kern w:val="0"/>
          <w:sz w:val="24"/>
          <w:szCs w:val="24"/>
          <w:highlight w:val="none"/>
          <w:lang w:val="en-US" w:eastAsia="en-US" w:bidi="ar-SA"/>
        </w:rPr>
        <w:t>地表水污染主要为农村生产生活废水、农药化肥地表径流污染、周边养殖散养户养殖废水污染。</w:t>
      </w:r>
    </w:p>
    <w:p w14:paraId="7B717812">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64" w:name="_Toc169251810"/>
      <w:bookmarkStart w:id="165" w:name="_Toc519610355"/>
      <w:bookmarkStart w:id="166" w:name="_Toc19753"/>
      <w:r>
        <w:rPr>
          <w:rFonts w:hint="default" w:ascii="Times New Roman" w:hAnsi="Times New Roman" w:eastAsia="宋体" w:cs="Times New Roman"/>
          <w:b/>
          <w:bCs/>
          <w:color w:val="auto"/>
          <w:spacing w:val="-2"/>
          <w:sz w:val="24"/>
          <w:szCs w:val="24"/>
          <w:highlight w:val="none"/>
          <w:lang w:val="en-US" w:eastAsia="zh-CN"/>
        </w:rPr>
        <w:t>4.3.3地下水污染源</w:t>
      </w:r>
      <w:bookmarkEnd w:id="164"/>
      <w:bookmarkEnd w:id="165"/>
      <w:bookmarkEnd w:id="166"/>
    </w:p>
    <w:p w14:paraId="4B184B3B">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w:t>
      </w:r>
      <w:r>
        <w:rPr>
          <w:rFonts w:hint="default" w:ascii="Times New Roman" w:hAnsi="Times New Roman" w:eastAsia="宋体" w:cs="Times New Roman"/>
          <w:snapToGrid w:val="0"/>
          <w:color w:val="auto"/>
          <w:spacing w:val="-8"/>
          <w:kern w:val="0"/>
          <w:sz w:val="24"/>
          <w:szCs w:val="24"/>
          <w:highlight w:val="none"/>
          <w:lang w:val="en-US" w:eastAsia="zh-CN" w:bidi="ar-SA"/>
        </w:rPr>
        <w:t>区域</w:t>
      </w:r>
      <w:r>
        <w:rPr>
          <w:rFonts w:hint="default" w:ascii="Times New Roman" w:hAnsi="Times New Roman" w:eastAsia="宋体" w:cs="Times New Roman"/>
          <w:color w:val="auto"/>
          <w:sz w:val="24"/>
          <w:szCs w:val="24"/>
          <w:highlight w:val="none"/>
        </w:rPr>
        <w:t>地下水污染源主要为农药化肥、周边养殖散养户畜禽粪污，经降雨和灌溉随水淋溶进入地下水，对地下水造成污染。</w:t>
      </w:r>
    </w:p>
    <w:p w14:paraId="7E0AE76D">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67" w:name="_Toc16792"/>
      <w:bookmarkStart w:id="168" w:name="_Toc519610356"/>
      <w:bookmarkStart w:id="169" w:name="_Toc169251811"/>
      <w:r>
        <w:rPr>
          <w:rFonts w:hint="default" w:ascii="Times New Roman" w:hAnsi="Times New Roman" w:eastAsia="宋体" w:cs="Times New Roman"/>
          <w:b/>
          <w:bCs/>
          <w:color w:val="auto"/>
          <w:spacing w:val="-2"/>
          <w:sz w:val="24"/>
          <w:szCs w:val="24"/>
          <w:highlight w:val="none"/>
          <w:lang w:val="en-US" w:eastAsia="zh-CN"/>
        </w:rPr>
        <w:t>4.3.4噪声污染源</w:t>
      </w:r>
      <w:bookmarkEnd w:id="167"/>
      <w:bookmarkEnd w:id="168"/>
      <w:bookmarkEnd w:id="169"/>
    </w:p>
    <w:p w14:paraId="035D4E5E">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拟建项目属《声环境质量标准》(GB3096-2008)规定的</w:t>
      </w:r>
      <w:r>
        <w:rPr>
          <w:rFonts w:hint="default" w:ascii="Times New Roman" w:hAnsi="Times New Roman" w:eastAsia="宋体" w:cs="Times New Roman"/>
          <w:color w:val="FF0000"/>
          <w:sz w:val="24"/>
          <w:szCs w:val="24"/>
          <w:highlight w:val="none"/>
          <w:lang w:val="en-US" w:eastAsia="zh-CN"/>
        </w:rPr>
        <w:t>1</w:t>
      </w:r>
      <w:r>
        <w:rPr>
          <w:rFonts w:hint="default" w:ascii="Times New Roman" w:hAnsi="Times New Roman" w:eastAsia="宋体" w:cs="Times New Roman"/>
          <w:color w:val="FF0000"/>
          <w:sz w:val="24"/>
          <w:szCs w:val="24"/>
          <w:highlight w:val="none"/>
        </w:rPr>
        <w:t>类</w:t>
      </w:r>
      <w:r>
        <w:rPr>
          <w:rFonts w:hint="default" w:ascii="Times New Roman" w:hAnsi="Times New Roman" w:eastAsia="宋体" w:cs="Times New Roman"/>
          <w:color w:val="auto"/>
          <w:sz w:val="24"/>
          <w:szCs w:val="24"/>
          <w:highlight w:val="none"/>
        </w:rPr>
        <w:t>声环境功能区，本项目周边区域噪声主要污染源为农村生活噪声、农耕时机械噪声、周边养殖散养户畜禽叫声等。</w:t>
      </w:r>
    </w:p>
    <w:p w14:paraId="058C577A">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70" w:name="_Toc5896"/>
      <w:bookmarkStart w:id="171" w:name="_Toc169251812"/>
      <w:r>
        <w:rPr>
          <w:rFonts w:hint="default" w:ascii="Times New Roman" w:hAnsi="Times New Roman" w:eastAsia="宋体" w:cs="Times New Roman"/>
          <w:b/>
          <w:bCs/>
          <w:color w:val="auto"/>
          <w:spacing w:val="-2"/>
          <w:sz w:val="24"/>
          <w:szCs w:val="24"/>
          <w:highlight w:val="none"/>
          <w:lang w:val="en-US" w:eastAsia="zh-CN"/>
        </w:rPr>
        <w:t>4.3.5土壤污染源</w:t>
      </w:r>
      <w:bookmarkEnd w:id="170"/>
      <w:bookmarkEnd w:id="171"/>
    </w:p>
    <w:p w14:paraId="2320345D">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项目区周边均为农田，如农药化肥使用不当或使用过量，农用薄膜残留土壤，不仅会导致农产品的农药残留和重金属超标，还可能造成严重的土壤污染。</w:t>
      </w:r>
    </w:p>
    <w:p w14:paraId="1D208176">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sectPr>
          <w:headerReference r:id="rId32" w:type="default"/>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6B92D6FA">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0"/>
        <w:rPr>
          <w:rFonts w:hint="default" w:ascii="Times New Roman" w:hAnsi="Times New Roman" w:eastAsia="Times New Roman" w:cs="Times New Roman"/>
          <w:b/>
          <w:bCs/>
          <w:color w:val="auto"/>
          <w:sz w:val="32"/>
          <w:szCs w:val="32"/>
          <w:highlight w:val="none"/>
        </w:rPr>
      </w:pPr>
      <w:bookmarkStart w:id="172" w:name="_Toc2226"/>
      <w:bookmarkStart w:id="173" w:name="_Toc9501"/>
      <w:bookmarkStart w:id="174" w:name="_Toc10925"/>
      <w:r>
        <w:rPr>
          <w:rFonts w:hint="default" w:ascii="Times New Roman" w:hAnsi="Times New Roman" w:eastAsia="Times New Roman" w:cs="Times New Roman"/>
          <w:b/>
          <w:bCs/>
          <w:color w:val="auto"/>
          <w:sz w:val="32"/>
          <w:szCs w:val="32"/>
          <w:highlight w:val="none"/>
        </w:rPr>
        <w:t>5.环境影响预测与评价</w:t>
      </w:r>
      <w:bookmarkEnd w:id="172"/>
      <w:bookmarkEnd w:id="173"/>
      <w:bookmarkEnd w:id="174"/>
    </w:p>
    <w:p w14:paraId="4A9C2224">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175" w:name="_Toc32565"/>
      <w:bookmarkStart w:id="176" w:name="_Toc678"/>
      <w:bookmarkStart w:id="177" w:name="_Toc2919"/>
      <w:r>
        <w:rPr>
          <w:rFonts w:hint="default" w:ascii="Times New Roman" w:hAnsi="Times New Roman" w:eastAsia="Times New Roman" w:cs="Times New Roman"/>
          <w:b/>
          <w:bCs/>
          <w:color w:val="auto"/>
          <w:spacing w:val="-5"/>
          <w:sz w:val="28"/>
          <w:szCs w:val="28"/>
          <w:highlight w:val="none"/>
        </w:rPr>
        <w:t>5.1施工期环境影响分析</w:t>
      </w:r>
      <w:bookmarkEnd w:id="175"/>
      <w:bookmarkEnd w:id="176"/>
      <w:bookmarkEnd w:id="177"/>
    </w:p>
    <w:p w14:paraId="3C59CF3D">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78" w:name="_Toc5331"/>
      <w:r>
        <w:rPr>
          <w:rFonts w:hint="default" w:ascii="Times New Roman" w:hAnsi="Times New Roman" w:eastAsia="宋体" w:cs="Times New Roman"/>
          <w:b/>
          <w:bCs/>
          <w:color w:val="auto"/>
          <w:spacing w:val="-2"/>
          <w:sz w:val="24"/>
          <w:szCs w:val="24"/>
          <w:highlight w:val="none"/>
          <w:lang w:val="en-US" w:eastAsia="zh-CN"/>
        </w:rPr>
        <w:t>5.1.1施工期大气环境影响评价</w:t>
      </w:r>
      <w:bookmarkEnd w:id="178"/>
    </w:p>
    <w:p w14:paraId="3C8A3F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建设施工过程中，燃油动力机械和运输车辆排放的废气，挖土、运土、填土、夯实和汽车运输过程的扬尘，都会给周围环境空气带来污染。污染大气的主要因子是扬尘。</w:t>
      </w:r>
    </w:p>
    <w:p w14:paraId="5FC0638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施工过程扬尘污染的危害不容忽视。在施工现场的作业人员，如长时间吸入大量微细尘埃，不但会引起各种呼吸道疾病，而且，扬尘会夹带大量的</w:t>
      </w:r>
      <w:r>
        <w:rPr>
          <w:rFonts w:hint="default" w:ascii="Times New Roman" w:hAnsi="Times New Roman" w:eastAsia="宋体" w:cs="Times New Roman"/>
          <w:color w:val="auto"/>
          <w:sz w:val="24"/>
          <w:highlight w:val="none"/>
          <w:lang w:eastAsia="zh-CN"/>
        </w:rPr>
        <w:t>病原菌</w:t>
      </w:r>
      <w:r>
        <w:rPr>
          <w:rFonts w:hint="default" w:ascii="Times New Roman" w:hAnsi="Times New Roman" w:eastAsia="宋体" w:cs="Times New Roman"/>
          <w:color w:val="auto"/>
          <w:sz w:val="24"/>
          <w:highlight w:val="none"/>
        </w:rPr>
        <w:t>，还会传染其它各种疾病，严重威胁施工人员的身体健康。此外，扬尘飘落在各种建筑物和绿叶植被上，将会影响景观。</w:t>
      </w:r>
    </w:p>
    <w:p w14:paraId="2ACD41B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对整个施工期而言，施工产生的扬尘主要集中在土建施工阶段。按起尘的原因可分为风力起尘和动力起尘，其中风力起尘主要是由于露天堆放的建材(如沙土、水泥等)及裸露的施工区表层浮尘因天气干燥及大风，产生风尘扬尘；而动力起尘，主要是在建材的装卸、搅拌过程中，由于外力而产生的尘粒再悬浮而造成，其中施工及装卸车辆造成的扬尘最为严重。据有关文献资料介绍，车辆行驶产生的扬尘占总扬尘的60%上。不同车速和地面清洁程度的汽车扬尘产生情况见表5</w:t>
      </w:r>
      <w:r>
        <w:rPr>
          <w:rFonts w:hint="default"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rPr>
        <w:t>1-1。</w:t>
      </w:r>
    </w:p>
    <w:p w14:paraId="6C70B5BE">
      <w:pPr>
        <w:keepNext w:val="0"/>
        <w:keepLines w:val="0"/>
        <w:pageBreakBefore w:val="0"/>
        <w:widowControl w:val="0"/>
        <w:tabs>
          <w:tab w:val="left" w:pos="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auto"/>
          <w:sz w:val="24"/>
          <w:highlight w:val="none"/>
        </w:rPr>
      </w:pPr>
      <w:r>
        <w:rPr>
          <w:rFonts w:hint="default" w:ascii="Times New Roman" w:hAnsi="Times New Roman" w:eastAsia="宋体" w:cs="Times New Roman"/>
          <w:b/>
          <w:snapToGrid w:val="0"/>
          <w:color w:val="auto"/>
          <w:kern w:val="2"/>
          <w:sz w:val="24"/>
          <w:szCs w:val="24"/>
          <w:highlight w:val="none"/>
          <w:lang w:val="en-US" w:eastAsia="zh-CN" w:bidi="ar-SA"/>
        </w:rPr>
        <w:t>表5.1-1 不同车速和地面清洁程度的汽车扬尘统计表      单位：kg/辆·km</w:t>
      </w:r>
    </w:p>
    <w:tbl>
      <w:tblPr>
        <w:tblStyle w:val="26"/>
        <w:tblW w:w="5001"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134"/>
        <w:gridCol w:w="1019"/>
        <w:gridCol w:w="1213"/>
        <w:gridCol w:w="1213"/>
        <w:gridCol w:w="1213"/>
        <w:gridCol w:w="1211"/>
      </w:tblGrid>
      <w:tr w14:paraId="07C639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95" w:type="pct"/>
            <w:shd w:val="clear" w:color="auto" w:fill="auto"/>
            <w:vAlign w:val="center"/>
          </w:tcPr>
          <w:p w14:paraId="26598DD3">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P(kg/m</w:t>
            </w:r>
            <w:r>
              <w:rPr>
                <w:rFonts w:hint="default" w:ascii="Times New Roman" w:hAnsi="Times New Roman" w:eastAsia="宋体" w:cs="Times New Roman"/>
                <w:b/>
                <w:bCs/>
                <w:snapToGrid w:val="0"/>
                <w:color w:val="auto"/>
                <w:sz w:val="21"/>
                <w:szCs w:val="21"/>
                <w:highlight w:val="none"/>
                <w:vertAlign w:val="superscript"/>
              </w:rPr>
              <w:t>2</w:t>
            </w:r>
            <w:r>
              <w:rPr>
                <w:rFonts w:hint="default" w:ascii="Times New Roman" w:hAnsi="Times New Roman" w:eastAsia="宋体" w:cs="Times New Roman"/>
                <w:b/>
                <w:bCs/>
                <w:snapToGrid w:val="0"/>
                <w:color w:val="auto"/>
                <w:sz w:val="21"/>
                <w:szCs w:val="21"/>
                <w:highlight w:val="none"/>
              </w:rPr>
              <w:t>)车速</w:t>
            </w:r>
          </w:p>
        </w:tc>
        <w:tc>
          <w:tcPr>
            <w:tcW w:w="665" w:type="pct"/>
            <w:shd w:val="clear" w:color="auto" w:fill="auto"/>
            <w:vAlign w:val="center"/>
          </w:tcPr>
          <w:p w14:paraId="7F90E0BA">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0.1</w:t>
            </w:r>
          </w:p>
        </w:tc>
        <w:tc>
          <w:tcPr>
            <w:tcW w:w="597" w:type="pct"/>
            <w:shd w:val="clear" w:color="auto" w:fill="auto"/>
            <w:vAlign w:val="center"/>
          </w:tcPr>
          <w:p w14:paraId="75814E3D">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0.2</w:t>
            </w:r>
          </w:p>
        </w:tc>
        <w:tc>
          <w:tcPr>
            <w:tcW w:w="711" w:type="pct"/>
            <w:shd w:val="clear" w:color="auto" w:fill="auto"/>
            <w:vAlign w:val="center"/>
          </w:tcPr>
          <w:p w14:paraId="29732B55">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0.3</w:t>
            </w:r>
          </w:p>
        </w:tc>
        <w:tc>
          <w:tcPr>
            <w:tcW w:w="711" w:type="pct"/>
            <w:shd w:val="clear" w:color="auto" w:fill="auto"/>
            <w:vAlign w:val="center"/>
          </w:tcPr>
          <w:p w14:paraId="07734F27">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0.4</w:t>
            </w:r>
          </w:p>
        </w:tc>
        <w:tc>
          <w:tcPr>
            <w:tcW w:w="711" w:type="pct"/>
            <w:shd w:val="clear" w:color="auto" w:fill="auto"/>
            <w:vAlign w:val="center"/>
          </w:tcPr>
          <w:p w14:paraId="48D01435">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0.5</w:t>
            </w:r>
          </w:p>
        </w:tc>
        <w:tc>
          <w:tcPr>
            <w:tcW w:w="710" w:type="pct"/>
            <w:shd w:val="clear" w:color="auto" w:fill="auto"/>
            <w:vAlign w:val="center"/>
          </w:tcPr>
          <w:p w14:paraId="2895FFEF">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1.0</w:t>
            </w:r>
          </w:p>
        </w:tc>
      </w:tr>
      <w:tr w14:paraId="746B31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95" w:type="pct"/>
            <w:shd w:val="clear" w:color="auto" w:fill="auto"/>
            <w:vAlign w:val="center"/>
          </w:tcPr>
          <w:p w14:paraId="2F082001">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5(km/hr)</w:t>
            </w:r>
          </w:p>
        </w:tc>
        <w:tc>
          <w:tcPr>
            <w:tcW w:w="665" w:type="pct"/>
            <w:shd w:val="clear" w:color="auto" w:fill="auto"/>
            <w:vAlign w:val="center"/>
          </w:tcPr>
          <w:p w14:paraId="7306BC7A">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0.051056</w:t>
            </w:r>
          </w:p>
        </w:tc>
        <w:tc>
          <w:tcPr>
            <w:tcW w:w="597" w:type="pct"/>
            <w:shd w:val="clear" w:color="auto" w:fill="auto"/>
            <w:vAlign w:val="center"/>
          </w:tcPr>
          <w:p w14:paraId="63F28A96">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0.085865</w:t>
            </w:r>
          </w:p>
        </w:tc>
        <w:tc>
          <w:tcPr>
            <w:tcW w:w="711" w:type="pct"/>
            <w:shd w:val="clear" w:color="auto" w:fill="auto"/>
            <w:vAlign w:val="center"/>
          </w:tcPr>
          <w:p w14:paraId="2C23313D">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0.116382</w:t>
            </w:r>
          </w:p>
        </w:tc>
        <w:tc>
          <w:tcPr>
            <w:tcW w:w="711" w:type="pct"/>
            <w:shd w:val="clear" w:color="auto" w:fill="auto"/>
            <w:vAlign w:val="center"/>
          </w:tcPr>
          <w:p w14:paraId="2C637A95">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0.144408</w:t>
            </w:r>
          </w:p>
        </w:tc>
        <w:tc>
          <w:tcPr>
            <w:tcW w:w="711" w:type="pct"/>
            <w:shd w:val="clear" w:color="auto" w:fill="auto"/>
            <w:vAlign w:val="center"/>
          </w:tcPr>
          <w:p w14:paraId="48AD3B8D">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0.170715</w:t>
            </w:r>
          </w:p>
        </w:tc>
        <w:tc>
          <w:tcPr>
            <w:tcW w:w="710" w:type="pct"/>
            <w:shd w:val="clear" w:color="auto" w:fill="auto"/>
            <w:vAlign w:val="center"/>
          </w:tcPr>
          <w:p w14:paraId="1A8370DB">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0.287108</w:t>
            </w:r>
          </w:p>
        </w:tc>
      </w:tr>
      <w:tr w14:paraId="4CAA99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95" w:type="pct"/>
            <w:shd w:val="clear" w:color="auto" w:fill="auto"/>
            <w:vAlign w:val="center"/>
          </w:tcPr>
          <w:p w14:paraId="5A4167B1">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10(km/hr)</w:t>
            </w:r>
          </w:p>
        </w:tc>
        <w:tc>
          <w:tcPr>
            <w:tcW w:w="665" w:type="pct"/>
            <w:shd w:val="clear" w:color="auto" w:fill="auto"/>
            <w:vAlign w:val="center"/>
          </w:tcPr>
          <w:p w14:paraId="6C07297C">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0.102112</w:t>
            </w:r>
          </w:p>
        </w:tc>
        <w:tc>
          <w:tcPr>
            <w:tcW w:w="597" w:type="pct"/>
            <w:shd w:val="clear" w:color="auto" w:fill="auto"/>
            <w:vAlign w:val="center"/>
          </w:tcPr>
          <w:p w14:paraId="206C987C">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0.171731</w:t>
            </w:r>
          </w:p>
        </w:tc>
        <w:tc>
          <w:tcPr>
            <w:tcW w:w="711" w:type="pct"/>
            <w:shd w:val="clear" w:color="auto" w:fill="auto"/>
            <w:vAlign w:val="center"/>
          </w:tcPr>
          <w:p w14:paraId="6D4F2493">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0.232764</w:t>
            </w:r>
          </w:p>
        </w:tc>
        <w:tc>
          <w:tcPr>
            <w:tcW w:w="711" w:type="pct"/>
            <w:shd w:val="clear" w:color="auto" w:fill="auto"/>
            <w:vAlign w:val="center"/>
          </w:tcPr>
          <w:p w14:paraId="4311CC45">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0.288815</w:t>
            </w:r>
          </w:p>
        </w:tc>
        <w:tc>
          <w:tcPr>
            <w:tcW w:w="711" w:type="pct"/>
            <w:shd w:val="clear" w:color="auto" w:fill="auto"/>
            <w:vAlign w:val="center"/>
          </w:tcPr>
          <w:p w14:paraId="08DE750E">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0.341431</w:t>
            </w:r>
          </w:p>
        </w:tc>
        <w:tc>
          <w:tcPr>
            <w:tcW w:w="710" w:type="pct"/>
            <w:shd w:val="clear" w:color="auto" w:fill="auto"/>
            <w:vAlign w:val="center"/>
          </w:tcPr>
          <w:p w14:paraId="54C97B17">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0.574216</w:t>
            </w:r>
          </w:p>
        </w:tc>
      </w:tr>
      <w:tr w14:paraId="1ADFEE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95" w:type="pct"/>
            <w:shd w:val="clear" w:color="auto" w:fill="auto"/>
            <w:vAlign w:val="center"/>
          </w:tcPr>
          <w:p w14:paraId="2D0845FE">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15(km/hr)</w:t>
            </w:r>
          </w:p>
        </w:tc>
        <w:tc>
          <w:tcPr>
            <w:tcW w:w="665" w:type="pct"/>
            <w:shd w:val="clear" w:color="auto" w:fill="auto"/>
            <w:vAlign w:val="center"/>
          </w:tcPr>
          <w:p w14:paraId="3E7ED6D1">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0.153167</w:t>
            </w:r>
          </w:p>
        </w:tc>
        <w:tc>
          <w:tcPr>
            <w:tcW w:w="597" w:type="pct"/>
            <w:shd w:val="clear" w:color="auto" w:fill="auto"/>
            <w:vAlign w:val="center"/>
          </w:tcPr>
          <w:p w14:paraId="78841BBF">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0.257596</w:t>
            </w:r>
          </w:p>
        </w:tc>
        <w:tc>
          <w:tcPr>
            <w:tcW w:w="711" w:type="pct"/>
            <w:shd w:val="clear" w:color="auto" w:fill="auto"/>
            <w:vAlign w:val="center"/>
          </w:tcPr>
          <w:p w14:paraId="00E8AACB">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0.349146</w:t>
            </w:r>
          </w:p>
        </w:tc>
        <w:tc>
          <w:tcPr>
            <w:tcW w:w="711" w:type="pct"/>
            <w:shd w:val="clear" w:color="auto" w:fill="auto"/>
            <w:vAlign w:val="center"/>
          </w:tcPr>
          <w:p w14:paraId="45990CD4">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0.433223</w:t>
            </w:r>
          </w:p>
        </w:tc>
        <w:tc>
          <w:tcPr>
            <w:tcW w:w="711" w:type="pct"/>
            <w:shd w:val="clear" w:color="auto" w:fill="auto"/>
            <w:vAlign w:val="center"/>
          </w:tcPr>
          <w:p w14:paraId="7E27BF47">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0.512146</w:t>
            </w:r>
          </w:p>
        </w:tc>
        <w:tc>
          <w:tcPr>
            <w:tcW w:w="710" w:type="pct"/>
            <w:shd w:val="clear" w:color="auto" w:fill="auto"/>
            <w:vAlign w:val="center"/>
          </w:tcPr>
          <w:p w14:paraId="13E374C1">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0.861323</w:t>
            </w:r>
          </w:p>
        </w:tc>
      </w:tr>
      <w:tr w14:paraId="179FA1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95" w:type="pct"/>
            <w:shd w:val="clear" w:color="auto" w:fill="auto"/>
            <w:vAlign w:val="center"/>
          </w:tcPr>
          <w:p w14:paraId="0E550A37">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25(km/hr)</w:t>
            </w:r>
          </w:p>
        </w:tc>
        <w:tc>
          <w:tcPr>
            <w:tcW w:w="665" w:type="pct"/>
            <w:shd w:val="clear" w:color="auto" w:fill="auto"/>
            <w:vAlign w:val="center"/>
          </w:tcPr>
          <w:p w14:paraId="54D0541D">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0.255279</w:t>
            </w:r>
          </w:p>
        </w:tc>
        <w:tc>
          <w:tcPr>
            <w:tcW w:w="597" w:type="pct"/>
            <w:shd w:val="clear" w:color="auto" w:fill="auto"/>
            <w:vAlign w:val="center"/>
          </w:tcPr>
          <w:p w14:paraId="6AB1DD53">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0.429326</w:t>
            </w:r>
          </w:p>
        </w:tc>
        <w:tc>
          <w:tcPr>
            <w:tcW w:w="711" w:type="pct"/>
            <w:shd w:val="clear" w:color="auto" w:fill="auto"/>
            <w:vAlign w:val="center"/>
          </w:tcPr>
          <w:p w14:paraId="4682FF04">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0.58191</w:t>
            </w:r>
          </w:p>
        </w:tc>
        <w:tc>
          <w:tcPr>
            <w:tcW w:w="711" w:type="pct"/>
            <w:shd w:val="clear" w:color="auto" w:fill="auto"/>
            <w:vAlign w:val="center"/>
          </w:tcPr>
          <w:p w14:paraId="030A5826">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0.722038</w:t>
            </w:r>
          </w:p>
        </w:tc>
        <w:tc>
          <w:tcPr>
            <w:tcW w:w="711" w:type="pct"/>
            <w:shd w:val="clear" w:color="auto" w:fill="auto"/>
            <w:vAlign w:val="center"/>
          </w:tcPr>
          <w:p w14:paraId="011132E6">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0.853577</w:t>
            </w:r>
          </w:p>
        </w:tc>
        <w:tc>
          <w:tcPr>
            <w:tcW w:w="710" w:type="pct"/>
            <w:shd w:val="clear" w:color="auto" w:fill="auto"/>
            <w:vAlign w:val="center"/>
          </w:tcPr>
          <w:p w14:paraId="75462C48">
            <w:pPr>
              <w:pStyle w:val="38"/>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1.435539</w:t>
            </w:r>
          </w:p>
        </w:tc>
      </w:tr>
    </w:tbl>
    <w:p w14:paraId="28D867F3">
      <w:pPr>
        <w:pStyle w:val="40"/>
        <w:pageBreakBefore w:val="0"/>
        <w:kinsoku/>
        <w:wordWrap/>
        <w:overflowPunct/>
        <w:topLinePunct w:val="0"/>
        <w:autoSpaceDE/>
        <w:autoSpaceDN/>
        <w:bidi w:val="0"/>
        <w:adjustRightInd/>
        <w:snapToGrid/>
        <w:ind w:firstLine="480" w:firstLineChars="200"/>
        <w:jc w:val="both"/>
        <w:textAlignment w:val="auto"/>
        <w:rPr>
          <w:rFonts w:hint="default" w:ascii="Times New Roman" w:hAnsi="Times New Roman" w:eastAsia="宋体" w:cs="Times New Roman"/>
          <w:snapToGrid w:val="0"/>
          <w:color w:val="auto"/>
          <w:kern w:val="0"/>
          <w:sz w:val="24"/>
          <w:szCs w:val="21"/>
          <w:highlight w:val="none"/>
          <w:lang w:val="en-US" w:eastAsia="en-US" w:bidi="ar-SA"/>
        </w:rPr>
      </w:pPr>
      <w:r>
        <w:rPr>
          <w:rFonts w:hint="default" w:ascii="Times New Roman" w:hAnsi="Times New Roman" w:eastAsia="宋体" w:cs="Times New Roman"/>
          <w:snapToGrid w:val="0"/>
          <w:color w:val="auto"/>
          <w:kern w:val="0"/>
          <w:sz w:val="24"/>
          <w:szCs w:val="21"/>
          <w:highlight w:val="none"/>
          <w:lang w:val="en-US" w:eastAsia="en-US" w:bidi="ar-SA"/>
        </w:rPr>
        <w:t>施工期扬尘的另一个主要原因是露天堆场和裸露场地的风力扬尘。由于施工的需要，一些建材需露天堆放；一些施工点表层土壤需人工开挖、堆放，在气候干燥又有风的情况下，会产生扬尘。不同粒径尘粒的沉降速度见表5</w:t>
      </w:r>
      <w:r>
        <w:rPr>
          <w:rFonts w:hint="default" w:ascii="Times New Roman" w:hAnsi="Times New Roman" w:eastAsia="宋体" w:cs="Times New Roman"/>
          <w:snapToGrid w:val="0"/>
          <w:color w:val="auto"/>
          <w:kern w:val="0"/>
          <w:sz w:val="24"/>
          <w:szCs w:val="21"/>
          <w:highlight w:val="none"/>
          <w:lang w:val="en-US" w:eastAsia="zh-CN" w:bidi="ar-SA"/>
        </w:rPr>
        <w:t>.</w:t>
      </w:r>
      <w:r>
        <w:rPr>
          <w:rFonts w:hint="default" w:ascii="Times New Roman" w:hAnsi="Times New Roman" w:eastAsia="宋体" w:cs="Times New Roman"/>
          <w:snapToGrid w:val="0"/>
          <w:color w:val="auto"/>
          <w:kern w:val="0"/>
          <w:sz w:val="24"/>
          <w:szCs w:val="21"/>
          <w:highlight w:val="none"/>
          <w:lang w:val="en-US" w:eastAsia="en-US" w:bidi="ar-SA"/>
        </w:rPr>
        <w:t>1-2。</w:t>
      </w:r>
    </w:p>
    <w:p w14:paraId="1F95A763">
      <w:pPr>
        <w:pageBreakBefore w:val="0"/>
        <w:tabs>
          <w:tab w:val="left" w:pos="0"/>
        </w:tabs>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4"/>
          <w:highlight w:val="none"/>
        </w:rPr>
      </w:pPr>
      <w:r>
        <w:rPr>
          <w:rFonts w:hint="default" w:ascii="Times New Roman" w:hAnsi="Times New Roman" w:eastAsia="宋体" w:cs="Times New Roman"/>
          <w:b/>
          <w:snapToGrid w:val="0"/>
          <w:color w:val="auto"/>
          <w:kern w:val="2"/>
          <w:sz w:val="24"/>
          <w:szCs w:val="24"/>
          <w:highlight w:val="none"/>
          <w:lang w:val="en-US" w:eastAsia="zh-CN" w:bidi="ar-SA"/>
        </w:rPr>
        <w:t>表5.1-2 不同粒径尘粒的沉降速度统计表</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75"/>
        <w:gridCol w:w="950"/>
        <w:gridCol w:w="950"/>
        <w:gridCol w:w="950"/>
        <w:gridCol w:w="950"/>
        <w:gridCol w:w="950"/>
        <w:gridCol w:w="950"/>
        <w:gridCol w:w="952"/>
      </w:tblGrid>
      <w:tr w14:paraId="29AD1E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1100" w:type="pct"/>
            <w:shd w:val="clear" w:color="auto" w:fill="auto"/>
            <w:vAlign w:val="center"/>
          </w:tcPr>
          <w:p w14:paraId="2BCF1491">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粒径（μm）</w:t>
            </w:r>
          </w:p>
        </w:tc>
        <w:tc>
          <w:tcPr>
            <w:tcW w:w="557" w:type="pct"/>
            <w:shd w:val="clear" w:color="auto" w:fill="auto"/>
            <w:vAlign w:val="center"/>
          </w:tcPr>
          <w:p w14:paraId="14FB87F4">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10</w:t>
            </w:r>
          </w:p>
        </w:tc>
        <w:tc>
          <w:tcPr>
            <w:tcW w:w="557" w:type="pct"/>
            <w:shd w:val="clear" w:color="auto" w:fill="auto"/>
            <w:vAlign w:val="center"/>
          </w:tcPr>
          <w:p w14:paraId="0041B5E5">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20</w:t>
            </w:r>
          </w:p>
        </w:tc>
        <w:tc>
          <w:tcPr>
            <w:tcW w:w="557" w:type="pct"/>
            <w:shd w:val="clear" w:color="auto" w:fill="auto"/>
            <w:vAlign w:val="center"/>
          </w:tcPr>
          <w:p w14:paraId="7B66C653">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30</w:t>
            </w:r>
          </w:p>
        </w:tc>
        <w:tc>
          <w:tcPr>
            <w:tcW w:w="557" w:type="pct"/>
            <w:shd w:val="clear" w:color="auto" w:fill="auto"/>
            <w:vAlign w:val="center"/>
          </w:tcPr>
          <w:p w14:paraId="3F743DA9">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40</w:t>
            </w:r>
          </w:p>
        </w:tc>
        <w:tc>
          <w:tcPr>
            <w:tcW w:w="557" w:type="pct"/>
            <w:shd w:val="clear" w:color="auto" w:fill="auto"/>
            <w:vAlign w:val="center"/>
          </w:tcPr>
          <w:p w14:paraId="6CD0F656">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50</w:t>
            </w:r>
          </w:p>
        </w:tc>
        <w:tc>
          <w:tcPr>
            <w:tcW w:w="557" w:type="pct"/>
            <w:shd w:val="clear" w:color="auto" w:fill="auto"/>
            <w:vAlign w:val="center"/>
          </w:tcPr>
          <w:p w14:paraId="0754F100">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60</w:t>
            </w:r>
          </w:p>
        </w:tc>
        <w:tc>
          <w:tcPr>
            <w:tcW w:w="558" w:type="pct"/>
            <w:shd w:val="clear" w:color="auto" w:fill="auto"/>
            <w:vAlign w:val="center"/>
          </w:tcPr>
          <w:p w14:paraId="36621FDC">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70</w:t>
            </w:r>
          </w:p>
        </w:tc>
      </w:tr>
      <w:tr w14:paraId="5F59D8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0" w:type="pct"/>
            <w:shd w:val="clear" w:color="auto" w:fill="auto"/>
            <w:vAlign w:val="center"/>
          </w:tcPr>
          <w:p w14:paraId="5B281497">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沉降速度（m/s）</w:t>
            </w:r>
          </w:p>
        </w:tc>
        <w:tc>
          <w:tcPr>
            <w:tcW w:w="557" w:type="pct"/>
            <w:shd w:val="clear" w:color="auto" w:fill="auto"/>
            <w:vAlign w:val="center"/>
          </w:tcPr>
          <w:p w14:paraId="2BBBA6B8">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0.003</w:t>
            </w:r>
          </w:p>
        </w:tc>
        <w:tc>
          <w:tcPr>
            <w:tcW w:w="557" w:type="pct"/>
            <w:shd w:val="clear" w:color="auto" w:fill="auto"/>
            <w:vAlign w:val="center"/>
          </w:tcPr>
          <w:p w14:paraId="2E311F42">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0.012</w:t>
            </w:r>
          </w:p>
        </w:tc>
        <w:tc>
          <w:tcPr>
            <w:tcW w:w="557" w:type="pct"/>
            <w:shd w:val="clear" w:color="auto" w:fill="auto"/>
            <w:vAlign w:val="center"/>
          </w:tcPr>
          <w:p w14:paraId="2B5B5058">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0.027</w:t>
            </w:r>
          </w:p>
        </w:tc>
        <w:tc>
          <w:tcPr>
            <w:tcW w:w="557" w:type="pct"/>
            <w:shd w:val="clear" w:color="auto" w:fill="auto"/>
            <w:vAlign w:val="center"/>
          </w:tcPr>
          <w:p w14:paraId="1895C609">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0.048</w:t>
            </w:r>
          </w:p>
        </w:tc>
        <w:tc>
          <w:tcPr>
            <w:tcW w:w="557" w:type="pct"/>
            <w:shd w:val="clear" w:color="auto" w:fill="auto"/>
            <w:vAlign w:val="center"/>
          </w:tcPr>
          <w:p w14:paraId="0FEFB989">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0.075</w:t>
            </w:r>
          </w:p>
        </w:tc>
        <w:tc>
          <w:tcPr>
            <w:tcW w:w="557" w:type="pct"/>
            <w:shd w:val="clear" w:color="auto" w:fill="auto"/>
            <w:vAlign w:val="center"/>
          </w:tcPr>
          <w:p w14:paraId="38AB888A">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0.108</w:t>
            </w:r>
          </w:p>
        </w:tc>
        <w:tc>
          <w:tcPr>
            <w:tcW w:w="558" w:type="pct"/>
            <w:shd w:val="clear" w:color="auto" w:fill="auto"/>
            <w:vAlign w:val="center"/>
          </w:tcPr>
          <w:p w14:paraId="3227E746">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0.147</w:t>
            </w:r>
          </w:p>
        </w:tc>
      </w:tr>
      <w:tr w14:paraId="2A5CFE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0" w:type="pct"/>
            <w:shd w:val="clear" w:color="auto" w:fill="auto"/>
            <w:vAlign w:val="center"/>
          </w:tcPr>
          <w:p w14:paraId="7657EA34">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粒径（μm）</w:t>
            </w:r>
          </w:p>
        </w:tc>
        <w:tc>
          <w:tcPr>
            <w:tcW w:w="557" w:type="pct"/>
            <w:shd w:val="clear" w:color="auto" w:fill="auto"/>
            <w:vAlign w:val="center"/>
          </w:tcPr>
          <w:p w14:paraId="08B63B22">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80</w:t>
            </w:r>
          </w:p>
        </w:tc>
        <w:tc>
          <w:tcPr>
            <w:tcW w:w="557" w:type="pct"/>
            <w:shd w:val="clear" w:color="auto" w:fill="auto"/>
            <w:vAlign w:val="center"/>
          </w:tcPr>
          <w:p w14:paraId="40AF5ECD">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90</w:t>
            </w:r>
          </w:p>
        </w:tc>
        <w:tc>
          <w:tcPr>
            <w:tcW w:w="557" w:type="pct"/>
            <w:shd w:val="clear" w:color="auto" w:fill="auto"/>
            <w:vAlign w:val="center"/>
          </w:tcPr>
          <w:p w14:paraId="392705F9">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100</w:t>
            </w:r>
          </w:p>
        </w:tc>
        <w:tc>
          <w:tcPr>
            <w:tcW w:w="557" w:type="pct"/>
            <w:shd w:val="clear" w:color="auto" w:fill="auto"/>
            <w:vAlign w:val="center"/>
          </w:tcPr>
          <w:p w14:paraId="5506E30B">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150</w:t>
            </w:r>
          </w:p>
        </w:tc>
        <w:tc>
          <w:tcPr>
            <w:tcW w:w="557" w:type="pct"/>
            <w:shd w:val="clear" w:color="auto" w:fill="auto"/>
            <w:vAlign w:val="center"/>
          </w:tcPr>
          <w:p w14:paraId="2FF8ADF6">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200</w:t>
            </w:r>
          </w:p>
        </w:tc>
        <w:tc>
          <w:tcPr>
            <w:tcW w:w="557" w:type="pct"/>
            <w:shd w:val="clear" w:color="auto" w:fill="auto"/>
            <w:vAlign w:val="center"/>
          </w:tcPr>
          <w:p w14:paraId="0F1F3BF5">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250</w:t>
            </w:r>
          </w:p>
        </w:tc>
        <w:tc>
          <w:tcPr>
            <w:tcW w:w="558" w:type="pct"/>
            <w:shd w:val="clear" w:color="auto" w:fill="auto"/>
            <w:vAlign w:val="center"/>
          </w:tcPr>
          <w:p w14:paraId="2B519053">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350</w:t>
            </w:r>
          </w:p>
        </w:tc>
      </w:tr>
      <w:tr w14:paraId="69D1AC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0" w:type="pct"/>
            <w:shd w:val="clear" w:color="auto" w:fill="auto"/>
            <w:vAlign w:val="center"/>
          </w:tcPr>
          <w:p w14:paraId="443C70EA">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沉降速度（m/s）</w:t>
            </w:r>
          </w:p>
        </w:tc>
        <w:tc>
          <w:tcPr>
            <w:tcW w:w="557" w:type="pct"/>
            <w:shd w:val="clear" w:color="auto" w:fill="auto"/>
            <w:vAlign w:val="center"/>
          </w:tcPr>
          <w:p w14:paraId="615179B9">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0.158</w:t>
            </w:r>
          </w:p>
        </w:tc>
        <w:tc>
          <w:tcPr>
            <w:tcW w:w="557" w:type="pct"/>
            <w:shd w:val="clear" w:color="auto" w:fill="auto"/>
            <w:vAlign w:val="center"/>
          </w:tcPr>
          <w:p w14:paraId="4AEA9E7B">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0.170</w:t>
            </w:r>
          </w:p>
        </w:tc>
        <w:tc>
          <w:tcPr>
            <w:tcW w:w="557" w:type="pct"/>
            <w:shd w:val="clear" w:color="auto" w:fill="auto"/>
            <w:vAlign w:val="center"/>
          </w:tcPr>
          <w:p w14:paraId="086EAC34">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0.182</w:t>
            </w:r>
          </w:p>
        </w:tc>
        <w:tc>
          <w:tcPr>
            <w:tcW w:w="557" w:type="pct"/>
            <w:shd w:val="clear" w:color="auto" w:fill="auto"/>
            <w:vAlign w:val="center"/>
          </w:tcPr>
          <w:p w14:paraId="02302FE2">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0.239</w:t>
            </w:r>
          </w:p>
        </w:tc>
        <w:tc>
          <w:tcPr>
            <w:tcW w:w="557" w:type="pct"/>
            <w:shd w:val="clear" w:color="auto" w:fill="auto"/>
            <w:vAlign w:val="center"/>
          </w:tcPr>
          <w:p w14:paraId="40806FC5">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0.804</w:t>
            </w:r>
          </w:p>
        </w:tc>
        <w:tc>
          <w:tcPr>
            <w:tcW w:w="557" w:type="pct"/>
            <w:shd w:val="clear" w:color="auto" w:fill="auto"/>
            <w:vAlign w:val="center"/>
          </w:tcPr>
          <w:p w14:paraId="692CA39E">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1.005</w:t>
            </w:r>
          </w:p>
        </w:tc>
        <w:tc>
          <w:tcPr>
            <w:tcW w:w="558" w:type="pct"/>
            <w:shd w:val="clear" w:color="auto" w:fill="auto"/>
            <w:vAlign w:val="center"/>
          </w:tcPr>
          <w:p w14:paraId="37A0BD9F">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1.829</w:t>
            </w:r>
          </w:p>
        </w:tc>
      </w:tr>
      <w:tr w14:paraId="45B529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0" w:type="pct"/>
            <w:shd w:val="clear" w:color="auto" w:fill="auto"/>
            <w:vAlign w:val="center"/>
          </w:tcPr>
          <w:p w14:paraId="49D54B4A">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粒径（μm）</w:t>
            </w:r>
          </w:p>
        </w:tc>
        <w:tc>
          <w:tcPr>
            <w:tcW w:w="557" w:type="pct"/>
            <w:shd w:val="clear" w:color="auto" w:fill="auto"/>
            <w:vAlign w:val="center"/>
          </w:tcPr>
          <w:p w14:paraId="2FFC9FC6">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450</w:t>
            </w:r>
          </w:p>
        </w:tc>
        <w:tc>
          <w:tcPr>
            <w:tcW w:w="557" w:type="pct"/>
            <w:shd w:val="clear" w:color="auto" w:fill="auto"/>
            <w:vAlign w:val="center"/>
          </w:tcPr>
          <w:p w14:paraId="4993EF22">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550</w:t>
            </w:r>
          </w:p>
        </w:tc>
        <w:tc>
          <w:tcPr>
            <w:tcW w:w="557" w:type="pct"/>
            <w:shd w:val="clear" w:color="auto" w:fill="auto"/>
            <w:vAlign w:val="center"/>
          </w:tcPr>
          <w:p w14:paraId="1C9C6C17">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650</w:t>
            </w:r>
          </w:p>
        </w:tc>
        <w:tc>
          <w:tcPr>
            <w:tcW w:w="557" w:type="pct"/>
            <w:shd w:val="clear" w:color="auto" w:fill="auto"/>
            <w:vAlign w:val="center"/>
          </w:tcPr>
          <w:p w14:paraId="72091348">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750</w:t>
            </w:r>
          </w:p>
        </w:tc>
        <w:tc>
          <w:tcPr>
            <w:tcW w:w="557" w:type="pct"/>
            <w:shd w:val="clear" w:color="auto" w:fill="auto"/>
            <w:vAlign w:val="center"/>
          </w:tcPr>
          <w:p w14:paraId="010497F6">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850</w:t>
            </w:r>
          </w:p>
        </w:tc>
        <w:tc>
          <w:tcPr>
            <w:tcW w:w="557" w:type="pct"/>
            <w:shd w:val="clear" w:color="auto" w:fill="auto"/>
            <w:vAlign w:val="center"/>
          </w:tcPr>
          <w:p w14:paraId="063F03E3">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950</w:t>
            </w:r>
          </w:p>
        </w:tc>
        <w:tc>
          <w:tcPr>
            <w:tcW w:w="558" w:type="pct"/>
            <w:shd w:val="clear" w:color="auto" w:fill="auto"/>
            <w:vAlign w:val="center"/>
          </w:tcPr>
          <w:p w14:paraId="424B5E60">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1050</w:t>
            </w:r>
          </w:p>
        </w:tc>
      </w:tr>
      <w:tr w14:paraId="1162B4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0" w:type="pct"/>
            <w:shd w:val="clear" w:color="auto" w:fill="auto"/>
            <w:vAlign w:val="center"/>
          </w:tcPr>
          <w:p w14:paraId="5FCA4F60">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沉降速度（m/s）</w:t>
            </w:r>
          </w:p>
        </w:tc>
        <w:tc>
          <w:tcPr>
            <w:tcW w:w="557" w:type="pct"/>
            <w:shd w:val="clear" w:color="auto" w:fill="auto"/>
            <w:vAlign w:val="center"/>
          </w:tcPr>
          <w:p w14:paraId="4AD4C5A3">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2.211</w:t>
            </w:r>
          </w:p>
        </w:tc>
        <w:tc>
          <w:tcPr>
            <w:tcW w:w="557" w:type="pct"/>
            <w:shd w:val="clear" w:color="auto" w:fill="auto"/>
            <w:vAlign w:val="center"/>
          </w:tcPr>
          <w:p w14:paraId="30D22109">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2.614</w:t>
            </w:r>
          </w:p>
        </w:tc>
        <w:tc>
          <w:tcPr>
            <w:tcW w:w="557" w:type="pct"/>
            <w:shd w:val="clear" w:color="auto" w:fill="auto"/>
            <w:vAlign w:val="center"/>
          </w:tcPr>
          <w:p w14:paraId="21B5736E">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3.016</w:t>
            </w:r>
          </w:p>
        </w:tc>
        <w:tc>
          <w:tcPr>
            <w:tcW w:w="557" w:type="pct"/>
            <w:shd w:val="clear" w:color="auto" w:fill="auto"/>
            <w:vAlign w:val="center"/>
          </w:tcPr>
          <w:p w14:paraId="7FAB27AA">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3.418</w:t>
            </w:r>
          </w:p>
        </w:tc>
        <w:tc>
          <w:tcPr>
            <w:tcW w:w="557" w:type="pct"/>
            <w:shd w:val="clear" w:color="auto" w:fill="auto"/>
            <w:vAlign w:val="center"/>
          </w:tcPr>
          <w:p w14:paraId="6959EA3E">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3.820</w:t>
            </w:r>
          </w:p>
        </w:tc>
        <w:tc>
          <w:tcPr>
            <w:tcW w:w="557" w:type="pct"/>
            <w:shd w:val="clear" w:color="auto" w:fill="auto"/>
            <w:vAlign w:val="center"/>
          </w:tcPr>
          <w:p w14:paraId="040E46C0">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4.222</w:t>
            </w:r>
          </w:p>
        </w:tc>
        <w:tc>
          <w:tcPr>
            <w:tcW w:w="558" w:type="pct"/>
            <w:shd w:val="clear" w:color="auto" w:fill="auto"/>
            <w:vAlign w:val="center"/>
          </w:tcPr>
          <w:p w14:paraId="46E7F39F">
            <w:pPr>
              <w:pStyle w:val="3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4.624</w:t>
            </w:r>
          </w:p>
        </w:tc>
      </w:tr>
    </w:tbl>
    <w:p w14:paraId="4A9DC5DD">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val="0"/>
          <w:color w:val="auto"/>
          <w:kern w:val="0"/>
          <w:sz w:val="24"/>
          <w:szCs w:val="21"/>
          <w:highlight w:val="none"/>
          <w:lang w:val="en-US" w:eastAsia="en-US" w:bidi="ar-SA"/>
        </w:rPr>
      </w:pPr>
      <w:r>
        <w:rPr>
          <w:rFonts w:hint="default" w:ascii="Times New Roman" w:hAnsi="Times New Roman" w:eastAsia="宋体" w:cs="Times New Roman"/>
          <w:snapToGrid w:val="0"/>
          <w:color w:val="auto"/>
          <w:kern w:val="0"/>
          <w:sz w:val="24"/>
          <w:szCs w:val="21"/>
          <w:highlight w:val="none"/>
          <w:lang w:val="en-US" w:eastAsia="en-US" w:bidi="ar-SA"/>
        </w:rPr>
        <w:t>从表5</w:t>
      </w:r>
      <w:r>
        <w:rPr>
          <w:rFonts w:hint="default" w:ascii="Times New Roman" w:hAnsi="Times New Roman" w:eastAsia="宋体" w:cs="Times New Roman"/>
          <w:snapToGrid w:val="0"/>
          <w:color w:val="auto"/>
          <w:kern w:val="0"/>
          <w:sz w:val="24"/>
          <w:szCs w:val="21"/>
          <w:highlight w:val="none"/>
          <w:lang w:val="en-US" w:eastAsia="zh-CN" w:bidi="ar-SA"/>
        </w:rPr>
        <w:t>.</w:t>
      </w:r>
      <w:r>
        <w:rPr>
          <w:rFonts w:hint="default" w:ascii="Times New Roman" w:hAnsi="Times New Roman" w:eastAsia="宋体" w:cs="Times New Roman"/>
          <w:snapToGrid w:val="0"/>
          <w:color w:val="auto"/>
          <w:kern w:val="0"/>
          <w:sz w:val="24"/>
          <w:szCs w:val="21"/>
          <w:highlight w:val="none"/>
          <w:lang w:val="en-US" w:eastAsia="en-US" w:bidi="ar-SA"/>
        </w:rPr>
        <w:t>1-2可以看出，尘粒的沉降速度随粒径的增大而迅速增大。当粒径为250μm时，沉降速度为1.005m/s，因此可以认为当尘粒大于250μm时，主要影响范围在扬尘点下风向近距离范围内，而真正对外环境产生影响的是一些微小尘粒。在有风的情况下，施工扬尘会对该区域造成一定的影响。由起尘计算公式可知，V0与粒径和含水率有关，因此，通过采取减少露天堆放和保证一定的含水率及减少裸露地面等措施后，风力起尘对环境的影响较小。厂界颗粒物浓度满足《大气污染物综合排放标准》（GB16297-1996）表2无组织排放监控浓度限值要求。</w:t>
      </w:r>
    </w:p>
    <w:p w14:paraId="000AF2D3">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val="0"/>
          <w:color w:val="auto"/>
          <w:kern w:val="0"/>
          <w:sz w:val="24"/>
          <w:szCs w:val="21"/>
          <w:highlight w:val="none"/>
          <w:lang w:val="en-US" w:eastAsia="en-US" w:bidi="ar-SA"/>
        </w:rPr>
      </w:pPr>
      <w:r>
        <w:rPr>
          <w:rFonts w:hint="default" w:ascii="Times New Roman" w:hAnsi="Times New Roman" w:eastAsia="宋体" w:cs="Times New Roman"/>
          <w:snapToGrid w:val="0"/>
          <w:color w:val="auto"/>
          <w:kern w:val="0"/>
          <w:sz w:val="24"/>
          <w:szCs w:val="21"/>
          <w:highlight w:val="none"/>
          <w:lang w:val="en-US" w:eastAsia="en-US" w:bidi="ar-SA"/>
        </w:rPr>
        <w:t>总之，只要加强管理、切实落实好这些措施，施工场地扬尘对环境的影响将会大大降低，同时其对环境的影响也将随施工的结束而消失。</w:t>
      </w:r>
    </w:p>
    <w:p w14:paraId="4AC5F7B6">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79" w:name="_Toc5493"/>
      <w:r>
        <w:rPr>
          <w:rFonts w:hint="default" w:ascii="Times New Roman" w:hAnsi="Times New Roman" w:eastAsia="宋体" w:cs="Times New Roman"/>
          <w:b/>
          <w:bCs/>
          <w:color w:val="auto"/>
          <w:spacing w:val="-2"/>
          <w:sz w:val="24"/>
          <w:szCs w:val="24"/>
          <w:highlight w:val="none"/>
          <w:lang w:val="en-US" w:eastAsia="zh-CN"/>
        </w:rPr>
        <w:t>5.1.2施工期水环境影响评价</w:t>
      </w:r>
      <w:bookmarkEnd w:id="179"/>
    </w:p>
    <w:p w14:paraId="6BE72257">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val="0"/>
          <w:color w:val="auto"/>
          <w:kern w:val="0"/>
          <w:sz w:val="24"/>
          <w:szCs w:val="21"/>
          <w:highlight w:val="none"/>
          <w:lang w:val="en-US" w:eastAsia="en-US" w:bidi="ar-SA"/>
        </w:rPr>
      </w:pPr>
      <w:r>
        <w:rPr>
          <w:rFonts w:hint="default" w:ascii="Times New Roman" w:hAnsi="Times New Roman" w:eastAsia="宋体" w:cs="Times New Roman"/>
          <w:snapToGrid w:val="0"/>
          <w:color w:val="auto"/>
          <w:kern w:val="0"/>
          <w:sz w:val="24"/>
          <w:szCs w:val="21"/>
          <w:highlight w:val="none"/>
          <w:lang w:val="en-US" w:eastAsia="en-US" w:bidi="ar-SA"/>
        </w:rPr>
        <w:t>施工期对水环境造成的影响主要有施工废水和生活污水。本项目施工期使用商品混凝土，不现场搅拌，无混凝土搅拌废水。施工场地堆放的土石方被雨水冲刷易对地面径流产生污染。施工机械不在现场维修和冲洗，施工废水主要污染因子为COD、BOD、氨氮、SS、石油类。施工场地内设置</w:t>
      </w:r>
      <w:r>
        <w:rPr>
          <w:rFonts w:hint="default" w:ascii="Times New Roman" w:hAnsi="Times New Roman" w:eastAsia="宋体" w:cs="Times New Roman"/>
          <w:snapToGrid w:val="0"/>
          <w:color w:val="auto"/>
          <w:kern w:val="0"/>
          <w:sz w:val="24"/>
          <w:szCs w:val="21"/>
          <w:highlight w:val="none"/>
          <w:lang w:val="en-US" w:eastAsia="zh-CN" w:bidi="ar-SA"/>
        </w:rPr>
        <w:t>临时废水</w:t>
      </w:r>
      <w:r>
        <w:rPr>
          <w:rFonts w:hint="default" w:ascii="Times New Roman" w:hAnsi="Times New Roman" w:eastAsia="宋体" w:cs="Times New Roman"/>
          <w:snapToGrid w:val="0"/>
          <w:color w:val="auto"/>
          <w:kern w:val="0"/>
          <w:sz w:val="24"/>
          <w:szCs w:val="21"/>
          <w:highlight w:val="none"/>
          <w:lang w:val="en-US" w:eastAsia="en-US" w:bidi="ar-SA"/>
        </w:rPr>
        <w:t>沉淀池，使</w:t>
      </w:r>
      <w:r>
        <w:rPr>
          <w:rFonts w:hint="default" w:ascii="Times New Roman" w:hAnsi="Times New Roman" w:eastAsia="宋体" w:cs="Times New Roman"/>
          <w:snapToGrid w:val="0"/>
          <w:color w:val="auto"/>
          <w:kern w:val="0"/>
          <w:sz w:val="24"/>
          <w:szCs w:val="21"/>
          <w:highlight w:val="none"/>
          <w:lang w:val="en-US" w:eastAsia="zh-CN" w:bidi="ar-SA"/>
        </w:rPr>
        <w:t>施工废水</w:t>
      </w:r>
      <w:r>
        <w:rPr>
          <w:rFonts w:hint="default" w:ascii="Times New Roman" w:hAnsi="Times New Roman" w:eastAsia="宋体" w:cs="Times New Roman"/>
          <w:snapToGrid w:val="0"/>
          <w:color w:val="auto"/>
          <w:kern w:val="0"/>
          <w:sz w:val="24"/>
          <w:szCs w:val="21"/>
          <w:highlight w:val="none"/>
          <w:lang w:val="en-US" w:eastAsia="en-US" w:bidi="ar-SA"/>
        </w:rPr>
        <w:t>经沉淀后回用于施工建设和洒水抑尘。</w:t>
      </w:r>
    </w:p>
    <w:p w14:paraId="4F80003E">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val="0"/>
          <w:color w:val="auto"/>
          <w:kern w:val="0"/>
          <w:sz w:val="24"/>
          <w:szCs w:val="21"/>
          <w:highlight w:val="none"/>
          <w:lang w:val="en-US" w:eastAsia="en-US" w:bidi="ar-SA"/>
        </w:rPr>
      </w:pPr>
      <w:r>
        <w:rPr>
          <w:rFonts w:hint="default" w:ascii="Times New Roman" w:hAnsi="Times New Roman" w:eastAsia="宋体" w:cs="Times New Roman"/>
          <w:snapToGrid w:val="0"/>
          <w:color w:val="auto"/>
          <w:kern w:val="0"/>
          <w:sz w:val="24"/>
          <w:szCs w:val="21"/>
          <w:highlight w:val="none"/>
          <w:lang w:val="en-US" w:eastAsia="en-US" w:bidi="ar-SA"/>
        </w:rPr>
        <w:t>施工现场不设置施工营地、无工地食堂和宿舍。施工现场设置防渗旱厕收集施工人员如厕废水，定期清掏不外排。</w:t>
      </w:r>
    </w:p>
    <w:p w14:paraId="2DFC2C92">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val="0"/>
          <w:color w:val="auto"/>
          <w:kern w:val="0"/>
          <w:sz w:val="24"/>
          <w:szCs w:val="21"/>
          <w:highlight w:val="none"/>
          <w:lang w:val="en-US" w:eastAsia="en-US" w:bidi="ar-SA"/>
        </w:rPr>
      </w:pPr>
      <w:r>
        <w:rPr>
          <w:rFonts w:hint="default" w:ascii="Times New Roman" w:hAnsi="Times New Roman" w:eastAsia="宋体" w:cs="Times New Roman"/>
          <w:snapToGrid w:val="0"/>
          <w:color w:val="auto"/>
          <w:kern w:val="0"/>
          <w:sz w:val="24"/>
          <w:szCs w:val="21"/>
          <w:highlight w:val="none"/>
          <w:lang w:val="en-US" w:eastAsia="en-US" w:bidi="ar-SA"/>
        </w:rPr>
        <w:t>本工程建设地点远离地表水体，因此施工期对地表水径流环境无影响。</w:t>
      </w:r>
    </w:p>
    <w:p w14:paraId="36F6C657">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80" w:name="_Toc2122"/>
      <w:r>
        <w:rPr>
          <w:rFonts w:hint="default" w:ascii="Times New Roman" w:hAnsi="Times New Roman" w:eastAsia="宋体" w:cs="Times New Roman"/>
          <w:b/>
          <w:bCs/>
          <w:color w:val="auto"/>
          <w:spacing w:val="-2"/>
          <w:sz w:val="24"/>
          <w:szCs w:val="24"/>
          <w:highlight w:val="none"/>
          <w:lang w:val="en-US" w:eastAsia="zh-CN"/>
        </w:rPr>
        <w:t>5.1.3施工设备噪声影响评价</w:t>
      </w:r>
      <w:bookmarkEnd w:id="180"/>
    </w:p>
    <w:p w14:paraId="0CD1C290">
      <w:pPr>
        <w:pStyle w:val="40"/>
        <w:pageBreakBefore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val="0"/>
          <w:color w:val="auto"/>
          <w:highlight w:val="none"/>
        </w:rPr>
      </w:pPr>
      <w:r>
        <w:rPr>
          <w:rFonts w:hint="default" w:ascii="Times New Roman" w:hAnsi="Times New Roman" w:eastAsia="宋体" w:cs="Times New Roman"/>
          <w:color w:val="auto"/>
          <w:sz w:val="24"/>
          <w:highlight w:val="none"/>
        </w:rPr>
        <w:t>施工期的噪声主要可分为机械噪声、施工作业噪声和施工车辆噪声等。施工作业噪声各个阶段的主要噪声源</w:t>
      </w:r>
      <w:r>
        <w:rPr>
          <w:rFonts w:hint="default" w:ascii="Times New Roman" w:hAnsi="Times New Roman" w:eastAsia="宋体" w:cs="Times New Roman"/>
          <w:color w:val="auto"/>
          <w:sz w:val="24"/>
          <w:highlight w:val="none"/>
          <w:lang w:val="en-US" w:eastAsia="zh-CN"/>
        </w:rPr>
        <w:t>和</w:t>
      </w:r>
      <w:r>
        <w:rPr>
          <w:rFonts w:hint="default" w:ascii="Times New Roman" w:hAnsi="Times New Roman" w:eastAsia="宋体" w:cs="Times New Roman"/>
          <w:color w:val="auto"/>
          <w:sz w:val="24"/>
          <w:highlight w:val="none"/>
        </w:rPr>
        <w:t>物性不同，各个阶段（基础阶段、结构阶段和装修阶段）根据调查本项目的主要噪声源如下表5</w:t>
      </w:r>
      <w:r>
        <w:rPr>
          <w:rFonts w:hint="default"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rPr>
        <w:t>1-3。</w:t>
      </w:r>
    </w:p>
    <w:p w14:paraId="514649C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4"/>
          <w:highlight w:val="none"/>
        </w:rPr>
        <w:t>表</w:t>
      </w:r>
      <w:r>
        <w:rPr>
          <w:rFonts w:hint="default" w:ascii="Times New Roman" w:hAnsi="Times New Roman" w:eastAsia="宋体" w:cs="Times New Roman"/>
          <w:b/>
          <w:color w:val="auto"/>
          <w:sz w:val="24"/>
          <w:highlight w:val="none"/>
          <w:lang w:val="en-US" w:eastAsia="zh-CN"/>
        </w:rPr>
        <w:t>5</w:t>
      </w:r>
      <w:r>
        <w:rPr>
          <w:rFonts w:hint="default" w:ascii="Times New Roman" w:hAnsi="Times New Roman" w:eastAsia="宋体" w:cs="Times New Roman"/>
          <w:b/>
          <w:color w:val="auto"/>
          <w:sz w:val="24"/>
          <w:highlight w:val="none"/>
        </w:rPr>
        <w:t>.</w:t>
      </w:r>
      <w:r>
        <w:rPr>
          <w:rFonts w:hint="default" w:ascii="Times New Roman" w:hAnsi="Times New Roman" w:eastAsia="宋体" w:cs="Times New Roman"/>
          <w:b/>
          <w:color w:val="auto"/>
          <w:sz w:val="24"/>
          <w:highlight w:val="none"/>
          <w:lang w:val="en-US" w:eastAsia="zh-CN"/>
        </w:rPr>
        <w:t>1</w:t>
      </w:r>
      <w:r>
        <w:rPr>
          <w:rFonts w:hint="default" w:ascii="Times New Roman" w:hAnsi="Times New Roman" w:eastAsia="宋体" w:cs="Times New Roman"/>
          <w:b/>
          <w:color w:val="auto"/>
          <w:sz w:val="24"/>
          <w:highlight w:val="none"/>
        </w:rPr>
        <w:t>-</w:t>
      </w:r>
      <w:r>
        <w:rPr>
          <w:rFonts w:hint="default" w:ascii="Times New Roman" w:hAnsi="Times New Roman" w:eastAsia="宋体" w:cs="Times New Roman"/>
          <w:b/>
          <w:color w:val="auto"/>
          <w:sz w:val="24"/>
          <w:highlight w:val="none"/>
          <w:lang w:val="en-US" w:eastAsia="zh-CN"/>
        </w:rPr>
        <w:t>3</w:t>
      </w:r>
      <w:r>
        <w:rPr>
          <w:rFonts w:hint="default" w:ascii="Times New Roman" w:hAnsi="Times New Roman" w:eastAsia="宋体" w:cs="Times New Roman"/>
          <w:b/>
          <w:color w:val="auto"/>
          <w:sz w:val="24"/>
          <w:highlight w:val="none"/>
        </w:rPr>
        <w:t xml:space="preserve"> 主要施工机械设备噪声</w:t>
      </w:r>
      <w:r>
        <w:rPr>
          <w:rFonts w:hint="default" w:ascii="Times New Roman" w:hAnsi="Times New Roman" w:eastAsia="宋体" w:cs="Times New Roman"/>
          <w:b/>
          <w:color w:val="auto"/>
          <w:sz w:val="24"/>
          <w:highlight w:val="none"/>
          <w:lang w:val="en-US" w:eastAsia="zh-CN"/>
        </w:rPr>
        <w:t>源强</w:t>
      </w:r>
      <w:r>
        <w:rPr>
          <w:rFonts w:hint="default" w:ascii="Times New Roman" w:hAnsi="Times New Roman" w:eastAsia="宋体" w:cs="Times New Roman"/>
          <w:b/>
          <w:color w:val="auto"/>
          <w:sz w:val="24"/>
          <w:highlight w:val="none"/>
        </w:rPr>
        <w:t>一览表</w:t>
      </w:r>
      <w:r>
        <w:rPr>
          <w:rFonts w:hint="default" w:ascii="Times New Roman" w:hAnsi="Times New Roman" w:eastAsia="宋体" w:cs="Times New Roman"/>
          <w:b/>
          <w:color w:val="auto"/>
          <w:sz w:val="24"/>
          <w:highlight w:val="none"/>
          <w:lang w:val="en-US" w:eastAsia="zh-CN"/>
        </w:rPr>
        <w:t xml:space="preserve">    </w:t>
      </w:r>
      <w:r>
        <w:rPr>
          <w:rFonts w:hint="default" w:ascii="Times New Roman" w:hAnsi="Times New Roman" w:eastAsia="宋体" w:cs="Times New Roman"/>
          <w:b/>
          <w:color w:val="auto"/>
          <w:sz w:val="24"/>
          <w:highlight w:val="none"/>
        </w:rPr>
        <w:t xml:space="preserve"> 单位：dB(A)</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3466"/>
        <w:gridCol w:w="2235"/>
        <w:gridCol w:w="2826"/>
      </w:tblGrid>
      <w:tr w14:paraId="06A3072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blHeader/>
          <w:jc w:val="center"/>
        </w:trPr>
        <w:tc>
          <w:tcPr>
            <w:tcW w:w="3464" w:type="dxa"/>
            <w:tcBorders>
              <w:tl2br w:val="nil"/>
              <w:tr2bl w:val="nil"/>
            </w:tcBorders>
            <w:vAlign w:val="center"/>
          </w:tcPr>
          <w:p w14:paraId="4C78C1B5">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施工阶段</w:t>
            </w:r>
          </w:p>
        </w:tc>
        <w:tc>
          <w:tcPr>
            <w:tcW w:w="2234" w:type="dxa"/>
            <w:tcBorders>
              <w:tl2br w:val="nil"/>
              <w:tr2bl w:val="nil"/>
            </w:tcBorders>
            <w:vAlign w:val="center"/>
          </w:tcPr>
          <w:p w14:paraId="67FF8D07">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主要噪声源</w:t>
            </w:r>
          </w:p>
        </w:tc>
        <w:tc>
          <w:tcPr>
            <w:tcW w:w="2824" w:type="dxa"/>
            <w:tcBorders>
              <w:tl2br w:val="nil"/>
              <w:tr2bl w:val="nil"/>
            </w:tcBorders>
            <w:vAlign w:val="center"/>
          </w:tcPr>
          <w:p w14:paraId="2D9104C9">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auto"/>
                <w:sz w:val="21"/>
                <w:szCs w:val="21"/>
                <w:highlight w:val="none"/>
                <w:lang w:val="en-US" w:eastAsia="zh-CN"/>
              </w:rPr>
            </w:pPr>
            <w:r>
              <w:rPr>
                <w:rFonts w:hint="default" w:ascii="Times New Roman" w:hAnsi="Times New Roman" w:eastAsia="宋体" w:cs="Times New Roman"/>
                <w:b/>
                <w:color w:val="auto"/>
                <w:sz w:val="21"/>
                <w:szCs w:val="21"/>
                <w:highlight w:val="none"/>
                <w:lang w:val="en-US" w:eastAsia="zh-CN"/>
              </w:rPr>
              <w:t>噪声级</w:t>
            </w:r>
          </w:p>
        </w:tc>
      </w:tr>
      <w:tr w14:paraId="7ABF2EF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restart"/>
            <w:tcBorders>
              <w:tl2br w:val="nil"/>
              <w:tr2bl w:val="nil"/>
            </w:tcBorders>
            <w:vAlign w:val="center"/>
          </w:tcPr>
          <w:p w14:paraId="1E278772">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基础阶段</w:t>
            </w:r>
          </w:p>
        </w:tc>
        <w:tc>
          <w:tcPr>
            <w:tcW w:w="2234" w:type="dxa"/>
            <w:tcBorders>
              <w:tl2br w:val="nil"/>
              <w:tr2bl w:val="nil"/>
            </w:tcBorders>
            <w:vAlign w:val="center"/>
          </w:tcPr>
          <w:p w14:paraId="7A971BD8">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装载机</w:t>
            </w:r>
          </w:p>
        </w:tc>
        <w:tc>
          <w:tcPr>
            <w:tcW w:w="2824" w:type="dxa"/>
            <w:tcBorders>
              <w:tl2br w:val="nil"/>
              <w:tr2bl w:val="nil"/>
            </w:tcBorders>
            <w:vAlign w:val="center"/>
          </w:tcPr>
          <w:p w14:paraId="686158B0">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95</w:t>
            </w:r>
          </w:p>
        </w:tc>
      </w:tr>
      <w:tr w14:paraId="4153374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Borders>
              <w:tl2br w:val="nil"/>
              <w:tr2bl w:val="nil"/>
            </w:tcBorders>
            <w:vAlign w:val="center"/>
          </w:tcPr>
          <w:p w14:paraId="4900F357">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234" w:type="dxa"/>
            <w:tcBorders>
              <w:tl2br w:val="nil"/>
              <w:tr2bl w:val="nil"/>
            </w:tcBorders>
            <w:vAlign w:val="center"/>
          </w:tcPr>
          <w:p w14:paraId="2C5E1613">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挖掘机</w:t>
            </w:r>
          </w:p>
        </w:tc>
        <w:tc>
          <w:tcPr>
            <w:tcW w:w="2824" w:type="dxa"/>
            <w:tcBorders>
              <w:tl2br w:val="nil"/>
              <w:tr2bl w:val="nil"/>
            </w:tcBorders>
            <w:vAlign w:val="center"/>
          </w:tcPr>
          <w:p w14:paraId="086B7773">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95</w:t>
            </w:r>
          </w:p>
        </w:tc>
      </w:tr>
      <w:tr w14:paraId="7F40E5D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Borders>
              <w:tl2br w:val="nil"/>
              <w:tr2bl w:val="nil"/>
            </w:tcBorders>
            <w:vAlign w:val="center"/>
          </w:tcPr>
          <w:p w14:paraId="71FD7DE9">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234" w:type="dxa"/>
            <w:tcBorders>
              <w:tl2br w:val="nil"/>
              <w:tr2bl w:val="nil"/>
            </w:tcBorders>
            <w:vAlign w:val="center"/>
          </w:tcPr>
          <w:p w14:paraId="7EAF6D80">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推土机</w:t>
            </w:r>
          </w:p>
        </w:tc>
        <w:tc>
          <w:tcPr>
            <w:tcW w:w="2824" w:type="dxa"/>
            <w:tcBorders>
              <w:tl2br w:val="nil"/>
              <w:tr2bl w:val="nil"/>
            </w:tcBorders>
            <w:vAlign w:val="center"/>
          </w:tcPr>
          <w:p w14:paraId="6567487D">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90</w:t>
            </w:r>
          </w:p>
        </w:tc>
      </w:tr>
      <w:tr w14:paraId="3A58AEF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restart"/>
            <w:tcBorders>
              <w:tl2br w:val="nil"/>
              <w:tr2bl w:val="nil"/>
            </w:tcBorders>
            <w:vAlign w:val="center"/>
          </w:tcPr>
          <w:p w14:paraId="4E8629AB">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结构阶段</w:t>
            </w:r>
          </w:p>
        </w:tc>
        <w:tc>
          <w:tcPr>
            <w:tcW w:w="2234" w:type="dxa"/>
            <w:tcBorders>
              <w:tl2br w:val="nil"/>
              <w:tr2bl w:val="nil"/>
            </w:tcBorders>
            <w:vAlign w:val="center"/>
          </w:tcPr>
          <w:p w14:paraId="3AEFE987">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钢筋调直机</w:t>
            </w:r>
          </w:p>
        </w:tc>
        <w:tc>
          <w:tcPr>
            <w:tcW w:w="2824" w:type="dxa"/>
            <w:tcBorders>
              <w:tl2br w:val="nil"/>
              <w:tr2bl w:val="nil"/>
            </w:tcBorders>
            <w:vAlign w:val="center"/>
          </w:tcPr>
          <w:p w14:paraId="02F0ED2F">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90</w:t>
            </w:r>
          </w:p>
        </w:tc>
      </w:tr>
      <w:tr w14:paraId="4486B98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Borders>
              <w:tl2br w:val="nil"/>
              <w:tr2bl w:val="nil"/>
            </w:tcBorders>
            <w:vAlign w:val="center"/>
          </w:tcPr>
          <w:p w14:paraId="2BD64EB2">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234" w:type="dxa"/>
            <w:tcBorders>
              <w:tl2br w:val="nil"/>
              <w:tr2bl w:val="nil"/>
            </w:tcBorders>
            <w:vAlign w:val="center"/>
          </w:tcPr>
          <w:p w14:paraId="0958B78E">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电渣焊机</w:t>
            </w:r>
          </w:p>
        </w:tc>
        <w:tc>
          <w:tcPr>
            <w:tcW w:w="2824" w:type="dxa"/>
            <w:tcBorders>
              <w:tl2br w:val="nil"/>
              <w:tr2bl w:val="nil"/>
            </w:tcBorders>
            <w:vAlign w:val="center"/>
          </w:tcPr>
          <w:p w14:paraId="36E6EB54">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60</w:t>
            </w:r>
          </w:p>
        </w:tc>
      </w:tr>
      <w:tr w14:paraId="4DFFD8E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Borders>
              <w:tl2br w:val="nil"/>
              <w:tr2bl w:val="nil"/>
            </w:tcBorders>
            <w:vAlign w:val="center"/>
          </w:tcPr>
          <w:p w14:paraId="73FCF573">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234" w:type="dxa"/>
            <w:tcBorders>
              <w:tl2br w:val="nil"/>
              <w:tr2bl w:val="nil"/>
            </w:tcBorders>
            <w:vAlign w:val="center"/>
          </w:tcPr>
          <w:p w14:paraId="4635FBD9">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电焊机</w:t>
            </w:r>
          </w:p>
        </w:tc>
        <w:tc>
          <w:tcPr>
            <w:tcW w:w="2824" w:type="dxa"/>
            <w:tcBorders>
              <w:tl2br w:val="nil"/>
              <w:tr2bl w:val="nil"/>
            </w:tcBorders>
            <w:vAlign w:val="center"/>
          </w:tcPr>
          <w:p w14:paraId="3FB547B6">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60</w:t>
            </w:r>
          </w:p>
        </w:tc>
      </w:tr>
      <w:tr w14:paraId="44E1D23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Borders>
              <w:tl2br w:val="nil"/>
              <w:tr2bl w:val="nil"/>
            </w:tcBorders>
            <w:vAlign w:val="center"/>
          </w:tcPr>
          <w:p w14:paraId="24277CE6">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234" w:type="dxa"/>
            <w:tcBorders>
              <w:tl2br w:val="nil"/>
              <w:tr2bl w:val="nil"/>
            </w:tcBorders>
            <w:vAlign w:val="center"/>
          </w:tcPr>
          <w:p w14:paraId="6D025290">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石料切割机</w:t>
            </w:r>
          </w:p>
        </w:tc>
        <w:tc>
          <w:tcPr>
            <w:tcW w:w="2824" w:type="dxa"/>
            <w:tcBorders>
              <w:tl2br w:val="nil"/>
              <w:tr2bl w:val="nil"/>
            </w:tcBorders>
            <w:vAlign w:val="center"/>
          </w:tcPr>
          <w:p w14:paraId="511818E9">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95</w:t>
            </w:r>
          </w:p>
        </w:tc>
      </w:tr>
      <w:tr w14:paraId="4DF6318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Borders>
              <w:tl2br w:val="nil"/>
              <w:tr2bl w:val="nil"/>
            </w:tcBorders>
            <w:vAlign w:val="center"/>
          </w:tcPr>
          <w:p w14:paraId="17B20527">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234" w:type="dxa"/>
            <w:tcBorders>
              <w:tl2br w:val="nil"/>
              <w:tr2bl w:val="nil"/>
            </w:tcBorders>
            <w:vAlign w:val="center"/>
          </w:tcPr>
          <w:p w14:paraId="6423273B">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机械振捣器</w:t>
            </w:r>
          </w:p>
        </w:tc>
        <w:tc>
          <w:tcPr>
            <w:tcW w:w="2824" w:type="dxa"/>
            <w:tcBorders>
              <w:tl2br w:val="nil"/>
              <w:tr2bl w:val="nil"/>
            </w:tcBorders>
            <w:vAlign w:val="center"/>
          </w:tcPr>
          <w:p w14:paraId="47ECFCE1">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75</w:t>
            </w:r>
          </w:p>
        </w:tc>
      </w:tr>
      <w:tr w14:paraId="30DF3B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restart"/>
            <w:tcBorders>
              <w:tl2br w:val="nil"/>
              <w:tr2bl w:val="nil"/>
            </w:tcBorders>
            <w:vAlign w:val="center"/>
          </w:tcPr>
          <w:p w14:paraId="401B79F3">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装修阶段</w:t>
            </w:r>
          </w:p>
        </w:tc>
        <w:tc>
          <w:tcPr>
            <w:tcW w:w="2234" w:type="dxa"/>
            <w:tcBorders>
              <w:tl2br w:val="nil"/>
              <w:tr2bl w:val="nil"/>
            </w:tcBorders>
            <w:vAlign w:val="center"/>
          </w:tcPr>
          <w:p w14:paraId="7378EE34">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电锯</w:t>
            </w:r>
          </w:p>
        </w:tc>
        <w:tc>
          <w:tcPr>
            <w:tcW w:w="2824" w:type="dxa"/>
            <w:tcBorders>
              <w:tl2br w:val="nil"/>
              <w:tr2bl w:val="nil"/>
            </w:tcBorders>
            <w:vAlign w:val="center"/>
          </w:tcPr>
          <w:p w14:paraId="17058B61">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85</w:t>
            </w:r>
          </w:p>
        </w:tc>
      </w:tr>
      <w:tr w14:paraId="4460886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Borders>
              <w:tl2br w:val="nil"/>
              <w:tr2bl w:val="nil"/>
            </w:tcBorders>
            <w:vAlign w:val="center"/>
          </w:tcPr>
          <w:p w14:paraId="4C4917A4">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234" w:type="dxa"/>
            <w:tcBorders>
              <w:tl2br w:val="nil"/>
              <w:tr2bl w:val="nil"/>
            </w:tcBorders>
            <w:vAlign w:val="center"/>
          </w:tcPr>
          <w:p w14:paraId="6159B5CD">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电锤</w:t>
            </w:r>
          </w:p>
        </w:tc>
        <w:tc>
          <w:tcPr>
            <w:tcW w:w="2824" w:type="dxa"/>
            <w:tcBorders>
              <w:tl2br w:val="nil"/>
              <w:tr2bl w:val="nil"/>
            </w:tcBorders>
            <w:vAlign w:val="center"/>
          </w:tcPr>
          <w:p w14:paraId="06D78D05">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85</w:t>
            </w:r>
          </w:p>
        </w:tc>
      </w:tr>
      <w:tr w14:paraId="402F726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Borders>
              <w:tl2br w:val="nil"/>
              <w:tr2bl w:val="nil"/>
            </w:tcBorders>
            <w:vAlign w:val="center"/>
          </w:tcPr>
          <w:p w14:paraId="350B0270">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234" w:type="dxa"/>
            <w:tcBorders>
              <w:tl2br w:val="nil"/>
              <w:tr2bl w:val="nil"/>
            </w:tcBorders>
            <w:vAlign w:val="center"/>
          </w:tcPr>
          <w:p w14:paraId="608D54B4">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电刨</w:t>
            </w:r>
          </w:p>
        </w:tc>
        <w:tc>
          <w:tcPr>
            <w:tcW w:w="2824" w:type="dxa"/>
            <w:tcBorders>
              <w:tl2br w:val="nil"/>
              <w:tr2bl w:val="nil"/>
            </w:tcBorders>
            <w:vAlign w:val="center"/>
          </w:tcPr>
          <w:p w14:paraId="7FAEF3CB">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85</w:t>
            </w:r>
          </w:p>
        </w:tc>
      </w:tr>
      <w:tr w14:paraId="1A6ACE6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Pr>
          <w:p w14:paraId="3B4EDE96">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0" w:type="auto"/>
            <w:vAlign w:val="center"/>
          </w:tcPr>
          <w:p w14:paraId="09E8734B">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套丝切管机</w:t>
            </w:r>
          </w:p>
        </w:tc>
        <w:tc>
          <w:tcPr>
            <w:tcW w:w="0" w:type="auto"/>
            <w:vAlign w:val="center"/>
          </w:tcPr>
          <w:p w14:paraId="370E7455">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75</w:t>
            </w:r>
          </w:p>
        </w:tc>
      </w:tr>
      <w:tr w14:paraId="59FD8B6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464" w:type="dxa"/>
            <w:vMerge w:val="continue"/>
          </w:tcPr>
          <w:p w14:paraId="5F9D4BFD">
            <w:pPr>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0" w:type="auto"/>
            <w:vAlign w:val="center"/>
          </w:tcPr>
          <w:p w14:paraId="2F54818F">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多功能木工刨</w:t>
            </w:r>
          </w:p>
        </w:tc>
        <w:tc>
          <w:tcPr>
            <w:tcW w:w="0" w:type="auto"/>
            <w:vAlign w:val="center"/>
          </w:tcPr>
          <w:p w14:paraId="3E43092E">
            <w:pPr>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rPr>
              <w:t>100</w:t>
            </w:r>
          </w:p>
        </w:tc>
      </w:tr>
    </w:tbl>
    <w:p w14:paraId="7A4150BE">
      <w:pPr>
        <w:pageBreakBefore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sz w:val="24"/>
          <w:szCs w:val="21"/>
          <w:highlight w:val="none"/>
        </w:rPr>
      </w:pPr>
      <w:r>
        <w:rPr>
          <w:rFonts w:hint="default" w:ascii="Times New Roman" w:hAnsi="Times New Roman" w:eastAsia="宋体" w:cs="Times New Roman"/>
          <w:color w:val="auto"/>
          <w:sz w:val="24"/>
          <w:szCs w:val="21"/>
          <w:highlight w:val="none"/>
        </w:rPr>
        <w:t>施工中使用的各种施工机械、</w:t>
      </w:r>
      <w:r>
        <w:rPr>
          <w:rFonts w:hint="default" w:ascii="Times New Roman" w:hAnsi="Times New Roman" w:eastAsia="宋体" w:cs="Times New Roman"/>
          <w:color w:val="auto"/>
          <w:sz w:val="24"/>
          <w:szCs w:val="21"/>
          <w:highlight w:val="none"/>
          <w:lang w:val="en-US" w:eastAsia="zh-CN"/>
        </w:rPr>
        <w:t>施工</w:t>
      </w:r>
      <w:r>
        <w:rPr>
          <w:rFonts w:hint="default" w:ascii="Times New Roman" w:hAnsi="Times New Roman" w:eastAsia="宋体" w:cs="Times New Roman"/>
          <w:color w:val="auto"/>
          <w:sz w:val="24"/>
          <w:szCs w:val="21"/>
          <w:highlight w:val="none"/>
        </w:rPr>
        <w:t>车辆</w:t>
      </w:r>
      <w:r>
        <w:rPr>
          <w:rFonts w:hint="default" w:ascii="Times New Roman" w:hAnsi="Times New Roman" w:eastAsia="宋体" w:cs="Times New Roman"/>
          <w:color w:val="auto"/>
          <w:sz w:val="24"/>
          <w:szCs w:val="21"/>
          <w:highlight w:val="none"/>
          <w:lang w:val="en-US" w:eastAsia="zh-CN"/>
        </w:rPr>
        <w:t>及施工作业</w:t>
      </w:r>
      <w:r>
        <w:rPr>
          <w:rFonts w:hint="default" w:ascii="Times New Roman" w:hAnsi="Times New Roman" w:eastAsia="宋体" w:cs="Times New Roman"/>
          <w:color w:val="auto"/>
          <w:sz w:val="24"/>
          <w:szCs w:val="21"/>
          <w:highlight w:val="none"/>
        </w:rPr>
        <w:t>等都是噪声的产生源。假设所有设备均为稳态连续发声状态，在不考虑任何声屏障情况下，各设备采用最大噪声值进行预测，根据声环境导则无指向性点源几何发散衰减模式：</w:t>
      </w:r>
    </w:p>
    <w:p w14:paraId="7274D1F5">
      <w:pPr>
        <w:pageBreakBefore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Cs w:val="21"/>
          <w:highlight w:val="none"/>
          <w:lang w:val="fr-FR"/>
        </w:rPr>
      </w:pPr>
      <w:r>
        <w:rPr>
          <w:rFonts w:hint="default" w:ascii="Times New Roman" w:hAnsi="Times New Roman" w:eastAsia="宋体" w:cs="Times New Roman"/>
          <w:color w:val="auto"/>
          <w:szCs w:val="21"/>
          <w:highlight w:val="none"/>
        </w:rPr>
        <w:drawing>
          <wp:inline distT="0" distB="0" distL="0" distR="0">
            <wp:extent cx="1989455" cy="351155"/>
            <wp:effectExtent l="0" t="0" r="10795" b="10795"/>
            <wp:docPr id="7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0"/>
                    <pic:cNvPicPr>
                      <a:picLocks noChangeAspect="1" noChangeArrowheads="1"/>
                    </pic:cNvPicPr>
                  </pic:nvPicPr>
                  <pic:blipFill>
                    <a:blip r:embed="rId84" cstate="print"/>
                    <a:srcRect/>
                    <a:stretch>
                      <a:fillRect/>
                    </a:stretch>
                  </pic:blipFill>
                  <pic:spPr>
                    <a:xfrm>
                      <a:off x="0" y="0"/>
                      <a:ext cx="1989455" cy="351155"/>
                    </a:xfrm>
                    <a:prstGeom prst="rect">
                      <a:avLst/>
                    </a:prstGeom>
                    <a:noFill/>
                    <a:ln w="9525">
                      <a:noFill/>
                      <a:miter lim="800000"/>
                      <a:headEnd/>
                      <a:tailEnd/>
                    </a:ln>
                  </pic:spPr>
                </pic:pic>
              </a:graphicData>
            </a:graphic>
          </wp:inline>
        </w:drawing>
      </w:r>
    </w:p>
    <w:p w14:paraId="34C799CC">
      <w:pPr>
        <w:pageBreakBefore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式中：L</w:t>
      </w:r>
      <w:r>
        <w:rPr>
          <w:rFonts w:hint="default" w:ascii="Times New Roman" w:hAnsi="Times New Roman" w:eastAsia="宋体" w:cs="Times New Roman"/>
          <w:color w:val="auto"/>
          <w:sz w:val="24"/>
          <w:highlight w:val="none"/>
          <w:vertAlign w:val="subscript"/>
        </w:rPr>
        <w:t>p</w:t>
      </w:r>
      <w:r>
        <w:rPr>
          <w:rFonts w:hint="default" w:ascii="Times New Roman" w:hAnsi="Times New Roman" w:eastAsia="宋体" w:cs="Times New Roman"/>
          <w:color w:val="auto"/>
          <w:sz w:val="24"/>
          <w:highlight w:val="none"/>
        </w:rPr>
        <w:t>(r)——距声源r处的A声级，dB</w:t>
      </w:r>
    </w:p>
    <w:p w14:paraId="3B8E6B98">
      <w:pPr>
        <w:pageBreakBefore w:val="0"/>
        <w:kinsoku/>
        <w:wordWrap/>
        <w:overflowPunct/>
        <w:topLinePunct w:val="0"/>
        <w:autoSpaceDE/>
        <w:autoSpaceDN/>
        <w:bidi w:val="0"/>
        <w:adjustRightInd/>
        <w:snapToGrid/>
        <w:spacing w:line="360" w:lineRule="auto"/>
        <w:ind w:firstLine="1200" w:firstLineChars="500"/>
        <w:jc w:val="left"/>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L</w:t>
      </w:r>
      <w:r>
        <w:rPr>
          <w:rFonts w:hint="default" w:ascii="Times New Roman" w:hAnsi="Times New Roman" w:eastAsia="宋体" w:cs="Times New Roman"/>
          <w:color w:val="auto"/>
          <w:sz w:val="24"/>
          <w:highlight w:val="none"/>
          <w:vertAlign w:val="subscript"/>
        </w:rPr>
        <w:t>p</w:t>
      </w:r>
      <w:r>
        <w:rPr>
          <w:rFonts w:hint="default" w:ascii="Times New Roman" w:hAnsi="Times New Roman" w:eastAsia="宋体" w:cs="Times New Roman"/>
          <w:color w:val="auto"/>
          <w:sz w:val="24"/>
          <w:highlight w:val="none"/>
        </w:rPr>
        <w:t>（r</w:t>
      </w:r>
      <w:r>
        <w:rPr>
          <w:rFonts w:hint="default" w:ascii="Times New Roman" w:hAnsi="Times New Roman" w:eastAsia="宋体" w:cs="Times New Roman"/>
          <w:color w:val="auto"/>
          <w:sz w:val="24"/>
          <w:highlight w:val="none"/>
          <w:vertAlign w:val="subscript"/>
        </w:rPr>
        <w:t>0</w:t>
      </w:r>
      <w:r>
        <w:rPr>
          <w:rFonts w:hint="default" w:ascii="Times New Roman" w:hAnsi="Times New Roman" w:eastAsia="宋体" w:cs="Times New Roman"/>
          <w:color w:val="auto"/>
          <w:sz w:val="24"/>
          <w:highlight w:val="none"/>
        </w:rPr>
        <w:t>）——声源噪声功率级，dB</w:t>
      </w:r>
    </w:p>
    <w:p w14:paraId="603AB637">
      <w:pPr>
        <w:pageBreakBefore w:val="0"/>
        <w:kinsoku/>
        <w:wordWrap/>
        <w:overflowPunct/>
        <w:topLinePunct w:val="0"/>
        <w:autoSpaceDE/>
        <w:autoSpaceDN/>
        <w:bidi w:val="0"/>
        <w:adjustRightInd/>
        <w:snapToGrid/>
        <w:spacing w:line="360" w:lineRule="auto"/>
        <w:ind w:firstLine="1200" w:firstLineChars="500"/>
        <w:jc w:val="left"/>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r——受声点与声源距离，m</w:t>
      </w:r>
    </w:p>
    <w:p w14:paraId="499B4291">
      <w:pPr>
        <w:pageBreakBefore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点声源距离衰减情况如下表所示：</w:t>
      </w:r>
    </w:p>
    <w:p w14:paraId="32EA22FD">
      <w:pPr>
        <w:keepNext w:val="0"/>
        <w:keepLines w:val="0"/>
        <w:pageBreakBefore w:val="0"/>
        <w:widowControl/>
        <w:kinsoku/>
        <w:wordWrap/>
        <w:overflowPunct/>
        <w:topLinePunct w:val="0"/>
        <w:autoSpaceDE/>
        <w:autoSpaceDN/>
        <w:bidi w:val="0"/>
        <w:adjustRightInd/>
        <w:snapToGrid/>
        <w:spacing w:line="240" w:lineRule="auto"/>
        <w:ind w:firstLine="426" w:firstLineChars="177"/>
        <w:jc w:val="center"/>
        <w:textAlignment w:val="auto"/>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4"/>
          <w:highlight w:val="none"/>
        </w:rPr>
        <w:t>表5</w:t>
      </w:r>
      <w:r>
        <w:rPr>
          <w:rFonts w:hint="default" w:ascii="Times New Roman" w:hAnsi="Times New Roman" w:eastAsia="宋体" w:cs="Times New Roman"/>
          <w:b/>
          <w:color w:val="auto"/>
          <w:sz w:val="24"/>
          <w:highlight w:val="none"/>
          <w:lang w:val="en-US" w:eastAsia="zh-CN"/>
        </w:rPr>
        <w:t>.</w:t>
      </w:r>
      <w:r>
        <w:rPr>
          <w:rFonts w:hint="default" w:ascii="Times New Roman" w:hAnsi="Times New Roman" w:eastAsia="宋体" w:cs="Times New Roman"/>
          <w:b/>
          <w:color w:val="auto"/>
          <w:sz w:val="24"/>
          <w:highlight w:val="none"/>
        </w:rPr>
        <w:t>1-4 点声源距离衰减情况</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20"/>
        <w:gridCol w:w="760"/>
        <w:gridCol w:w="760"/>
        <w:gridCol w:w="760"/>
        <w:gridCol w:w="761"/>
        <w:gridCol w:w="761"/>
        <w:gridCol w:w="761"/>
        <w:gridCol w:w="761"/>
        <w:gridCol w:w="761"/>
        <w:gridCol w:w="761"/>
        <w:gridCol w:w="761"/>
      </w:tblGrid>
      <w:tr w14:paraId="16F500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40" w:type="pct"/>
            <w:tcBorders>
              <w:top w:val="single" w:color="auto" w:sz="12" w:space="0"/>
              <w:left w:val="nil"/>
              <w:bottom w:val="single" w:color="auto" w:sz="4" w:space="0"/>
              <w:right w:val="single" w:color="auto" w:sz="4" w:space="0"/>
            </w:tcBorders>
            <w:vAlign w:val="center"/>
          </w:tcPr>
          <w:p w14:paraId="62A40C10">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源强</w:t>
            </w:r>
          </w:p>
        </w:tc>
        <w:tc>
          <w:tcPr>
            <w:tcW w:w="4460" w:type="pct"/>
            <w:gridSpan w:val="10"/>
            <w:tcBorders>
              <w:top w:val="single" w:color="auto" w:sz="12" w:space="0"/>
              <w:left w:val="single" w:color="auto" w:sz="4" w:space="0"/>
              <w:bottom w:val="single" w:color="auto" w:sz="4" w:space="0"/>
              <w:right w:val="nil"/>
            </w:tcBorders>
            <w:vAlign w:val="center"/>
          </w:tcPr>
          <w:p w14:paraId="6CD21CD3">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b/>
                <w:bCs/>
                <w:color w:val="auto"/>
                <w:kern w:val="0"/>
                <w:sz w:val="21"/>
                <w:szCs w:val="21"/>
                <w:highlight w:val="none"/>
              </w:rPr>
            </w:pPr>
            <w:r>
              <w:rPr>
                <w:rFonts w:hint="default" w:ascii="Times New Roman" w:hAnsi="Times New Roman" w:eastAsia="宋体" w:cs="Times New Roman"/>
                <w:b/>
                <w:bCs/>
                <w:color w:val="auto"/>
                <w:kern w:val="0"/>
                <w:sz w:val="21"/>
                <w:szCs w:val="21"/>
                <w:highlight w:val="none"/>
              </w:rPr>
              <w:t>100dB（A）</w:t>
            </w:r>
          </w:p>
        </w:tc>
      </w:tr>
      <w:tr w14:paraId="4317F9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40" w:type="pct"/>
            <w:tcBorders>
              <w:top w:val="single" w:color="auto" w:sz="4" w:space="0"/>
              <w:left w:val="nil"/>
              <w:bottom w:val="single" w:color="auto" w:sz="4" w:space="0"/>
              <w:right w:val="single" w:color="auto" w:sz="4" w:space="0"/>
            </w:tcBorders>
            <w:vAlign w:val="center"/>
          </w:tcPr>
          <w:p w14:paraId="663495E5">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距离</w:t>
            </w:r>
          </w:p>
        </w:tc>
        <w:tc>
          <w:tcPr>
            <w:tcW w:w="446" w:type="pct"/>
            <w:tcBorders>
              <w:top w:val="single" w:color="auto" w:sz="4" w:space="0"/>
              <w:left w:val="single" w:color="auto" w:sz="4" w:space="0"/>
              <w:bottom w:val="single" w:color="auto" w:sz="4" w:space="0"/>
              <w:right w:val="single" w:color="auto" w:sz="4" w:space="0"/>
            </w:tcBorders>
            <w:vAlign w:val="center"/>
          </w:tcPr>
          <w:p w14:paraId="078A9352">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30</w:t>
            </w:r>
          </w:p>
        </w:tc>
        <w:tc>
          <w:tcPr>
            <w:tcW w:w="446" w:type="pct"/>
            <w:tcBorders>
              <w:top w:val="single" w:color="auto" w:sz="4" w:space="0"/>
              <w:left w:val="single" w:color="auto" w:sz="4" w:space="0"/>
              <w:bottom w:val="single" w:color="auto" w:sz="4" w:space="0"/>
              <w:right w:val="single" w:color="auto" w:sz="4" w:space="0"/>
            </w:tcBorders>
            <w:vAlign w:val="center"/>
          </w:tcPr>
          <w:p w14:paraId="50B86412">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50</w:t>
            </w:r>
          </w:p>
        </w:tc>
        <w:tc>
          <w:tcPr>
            <w:tcW w:w="446" w:type="pct"/>
            <w:tcBorders>
              <w:top w:val="single" w:color="auto" w:sz="4" w:space="0"/>
              <w:left w:val="single" w:color="auto" w:sz="4" w:space="0"/>
              <w:bottom w:val="single" w:color="auto" w:sz="4" w:space="0"/>
              <w:right w:val="single" w:color="auto" w:sz="4" w:space="0"/>
            </w:tcBorders>
            <w:vAlign w:val="center"/>
          </w:tcPr>
          <w:p w14:paraId="54324FA0">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100</w:t>
            </w:r>
          </w:p>
        </w:tc>
        <w:tc>
          <w:tcPr>
            <w:tcW w:w="446" w:type="pct"/>
            <w:tcBorders>
              <w:top w:val="single" w:color="auto" w:sz="4" w:space="0"/>
              <w:left w:val="single" w:color="auto" w:sz="4" w:space="0"/>
              <w:bottom w:val="single" w:color="auto" w:sz="4" w:space="0"/>
              <w:right w:val="single" w:color="auto" w:sz="4" w:space="0"/>
            </w:tcBorders>
            <w:vAlign w:val="center"/>
          </w:tcPr>
          <w:p w14:paraId="62814D1E">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150</w:t>
            </w:r>
          </w:p>
        </w:tc>
        <w:tc>
          <w:tcPr>
            <w:tcW w:w="446" w:type="pct"/>
            <w:tcBorders>
              <w:top w:val="single" w:color="auto" w:sz="4" w:space="0"/>
              <w:left w:val="single" w:color="auto" w:sz="4" w:space="0"/>
              <w:bottom w:val="single" w:color="auto" w:sz="4" w:space="0"/>
              <w:right w:val="single" w:color="auto" w:sz="4" w:space="0"/>
            </w:tcBorders>
            <w:vAlign w:val="center"/>
          </w:tcPr>
          <w:p w14:paraId="7D405967">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200</w:t>
            </w:r>
          </w:p>
        </w:tc>
        <w:tc>
          <w:tcPr>
            <w:tcW w:w="446" w:type="pct"/>
            <w:tcBorders>
              <w:top w:val="single" w:color="auto" w:sz="4" w:space="0"/>
              <w:left w:val="single" w:color="auto" w:sz="4" w:space="0"/>
              <w:bottom w:val="single" w:color="auto" w:sz="4" w:space="0"/>
              <w:right w:val="single" w:color="auto" w:sz="4" w:space="0"/>
            </w:tcBorders>
            <w:vAlign w:val="center"/>
          </w:tcPr>
          <w:p w14:paraId="61021FCA">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300</w:t>
            </w:r>
          </w:p>
        </w:tc>
        <w:tc>
          <w:tcPr>
            <w:tcW w:w="446" w:type="pct"/>
            <w:tcBorders>
              <w:top w:val="single" w:color="auto" w:sz="4" w:space="0"/>
              <w:left w:val="single" w:color="auto" w:sz="4" w:space="0"/>
              <w:bottom w:val="single" w:color="auto" w:sz="4" w:space="0"/>
              <w:right w:val="single" w:color="auto" w:sz="4" w:space="0"/>
            </w:tcBorders>
            <w:vAlign w:val="center"/>
          </w:tcPr>
          <w:p w14:paraId="4AA61876">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400</w:t>
            </w:r>
          </w:p>
        </w:tc>
        <w:tc>
          <w:tcPr>
            <w:tcW w:w="446" w:type="pct"/>
            <w:tcBorders>
              <w:top w:val="single" w:color="auto" w:sz="4" w:space="0"/>
              <w:left w:val="single" w:color="auto" w:sz="4" w:space="0"/>
              <w:bottom w:val="single" w:color="auto" w:sz="4" w:space="0"/>
              <w:right w:val="single" w:color="auto" w:sz="4" w:space="0"/>
            </w:tcBorders>
            <w:vAlign w:val="center"/>
          </w:tcPr>
          <w:p w14:paraId="21C09E96">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500</w:t>
            </w:r>
          </w:p>
        </w:tc>
        <w:tc>
          <w:tcPr>
            <w:tcW w:w="446" w:type="pct"/>
            <w:tcBorders>
              <w:top w:val="single" w:color="auto" w:sz="4" w:space="0"/>
              <w:left w:val="single" w:color="auto" w:sz="4" w:space="0"/>
              <w:bottom w:val="single" w:color="auto" w:sz="4" w:space="0"/>
              <w:right w:val="single" w:color="auto" w:sz="4" w:space="0"/>
            </w:tcBorders>
            <w:vAlign w:val="center"/>
          </w:tcPr>
          <w:p w14:paraId="4757C668">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600</w:t>
            </w:r>
          </w:p>
        </w:tc>
        <w:tc>
          <w:tcPr>
            <w:tcW w:w="448" w:type="pct"/>
            <w:tcBorders>
              <w:top w:val="single" w:color="auto" w:sz="4" w:space="0"/>
              <w:left w:val="single" w:color="auto" w:sz="4" w:space="0"/>
              <w:bottom w:val="single" w:color="auto" w:sz="4" w:space="0"/>
              <w:right w:val="nil"/>
            </w:tcBorders>
            <w:vAlign w:val="center"/>
          </w:tcPr>
          <w:p w14:paraId="3508958E">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700</w:t>
            </w:r>
          </w:p>
        </w:tc>
      </w:tr>
      <w:tr w14:paraId="744362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40" w:type="pct"/>
            <w:tcBorders>
              <w:top w:val="single" w:color="auto" w:sz="4" w:space="0"/>
              <w:left w:val="nil"/>
              <w:bottom w:val="single" w:color="auto" w:sz="12" w:space="0"/>
              <w:right w:val="single" w:color="auto" w:sz="4" w:space="0"/>
            </w:tcBorders>
            <w:vAlign w:val="center"/>
          </w:tcPr>
          <w:p w14:paraId="6D0391DB">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贡献值</w:t>
            </w:r>
          </w:p>
        </w:tc>
        <w:tc>
          <w:tcPr>
            <w:tcW w:w="446" w:type="pct"/>
            <w:tcBorders>
              <w:top w:val="single" w:color="auto" w:sz="4" w:space="0"/>
              <w:left w:val="single" w:color="auto" w:sz="4" w:space="0"/>
              <w:bottom w:val="single" w:color="auto" w:sz="12" w:space="0"/>
              <w:right w:val="single" w:color="auto" w:sz="4" w:space="0"/>
            </w:tcBorders>
            <w:vAlign w:val="center"/>
          </w:tcPr>
          <w:p w14:paraId="66107F5B">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70.45</w:t>
            </w:r>
          </w:p>
        </w:tc>
        <w:tc>
          <w:tcPr>
            <w:tcW w:w="446" w:type="pct"/>
            <w:tcBorders>
              <w:top w:val="single" w:color="auto" w:sz="4" w:space="0"/>
              <w:left w:val="single" w:color="auto" w:sz="4" w:space="0"/>
              <w:bottom w:val="single" w:color="auto" w:sz="12" w:space="0"/>
              <w:right w:val="single" w:color="auto" w:sz="4" w:space="0"/>
            </w:tcBorders>
            <w:vAlign w:val="center"/>
          </w:tcPr>
          <w:p w14:paraId="5F889809">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66.02</w:t>
            </w:r>
          </w:p>
        </w:tc>
        <w:tc>
          <w:tcPr>
            <w:tcW w:w="446" w:type="pct"/>
            <w:tcBorders>
              <w:top w:val="single" w:color="auto" w:sz="4" w:space="0"/>
              <w:left w:val="single" w:color="auto" w:sz="4" w:space="0"/>
              <w:bottom w:val="single" w:color="auto" w:sz="12" w:space="0"/>
              <w:right w:val="single" w:color="auto" w:sz="4" w:space="0"/>
            </w:tcBorders>
            <w:vAlign w:val="center"/>
          </w:tcPr>
          <w:p w14:paraId="10560B66">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60</w:t>
            </w:r>
          </w:p>
        </w:tc>
        <w:tc>
          <w:tcPr>
            <w:tcW w:w="446" w:type="pct"/>
            <w:tcBorders>
              <w:top w:val="single" w:color="auto" w:sz="4" w:space="0"/>
              <w:left w:val="single" w:color="auto" w:sz="4" w:space="0"/>
              <w:bottom w:val="single" w:color="auto" w:sz="12" w:space="0"/>
              <w:right w:val="single" w:color="auto" w:sz="4" w:space="0"/>
            </w:tcBorders>
            <w:vAlign w:val="center"/>
          </w:tcPr>
          <w:p w14:paraId="49275E25">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56.48</w:t>
            </w:r>
          </w:p>
        </w:tc>
        <w:tc>
          <w:tcPr>
            <w:tcW w:w="446" w:type="pct"/>
            <w:tcBorders>
              <w:top w:val="single" w:color="auto" w:sz="4" w:space="0"/>
              <w:left w:val="single" w:color="auto" w:sz="4" w:space="0"/>
              <w:bottom w:val="single" w:color="auto" w:sz="12" w:space="0"/>
              <w:right w:val="single" w:color="auto" w:sz="4" w:space="0"/>
            </w:tcBorders>
            <w:vAlign w:val="center"/>
          </w:tcPr>
          <w:p w14:paraId="0A5CEE92">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53.97</w:t>
            </w:r>
          </w:p>
        </w:tc>
        <w:tc>
          <w:tcPr>
            <w:tcW w:w="446" w:type="pct"/>
            <w:tcBorders>
              <w:top w:val="single" w:color="auto" w:sz="4" w:space="0"/>
              <w:left w:val="single" w:color="auto" w:sz="4" w:space="0"/>
              <w:bottom w:val="single" w:color="auto" w:sz="12" w:space="0"/>
              <w:right w:val="single" w:color="auto" w:sz="4" w:space="0"/>
            </w:tcBorders>
            <w:vAlign w:val="center"/>
          </w:tcPr>
          <w:p w14:paraId="24638216">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50.45</w:t>
            </w:r>
          </w:p>
        </w:tc>
        <w:tc>
          <w:tcPr>
            <w:tcW w:w="446" w:type="pct"/>
            <w:tcBorders>
              <w:top w:val="single" w:color="auto" w:sz="4" w:space="0"/>
              <w:left w:val="single" w:color="auto" w:sz="4" w:space="0"/>
              <w:bottom w:val="single" w:color="auto" w:sz="12" w:space="0"/>
              <w:right w:val="single" w:color="auto" w:sz="4" w:space="0"/>
            </w:tcBorders>
            <w:vAlign w:val="center"/>
          </w:tcPr>
          <w:p w14:paraId="1EEEAD95">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47.96</w:t>
            </w:r>
          </w:p>
        </w:tc>
        <w:tc>
          <w:tcPr>
            <w:tcW w:w="446" w:type="pct"/>
            <w:tcBorders>
              <w:top w:val="single" w:color="auto" w:sz="4" w:space="0"/>
              <w:left w:val="single" w:color="auto" w:sz="4" w:space="0"/>
              <w:bottom w:val="single" w:color="auto" w:sz="12" w:space="0"/>
              <w:right w:val="single" w:color="auto" w:sz="4" w:space="0"/>
            </w:tcBorders>
            <w:vAlign w:val="center"/>
          </w:tcPr>
          <w:p w14:paraId="28DD1F09">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46.02</w:t>
            </w:r>
          </w:p>
        </w:tc>
        <w:tc>
          <w:tcPr>
            <w:tcW w:w="446" w:type="pct"/>
            <w:tcBorders>
              <w:top w:val="single" w:color="auto" w:sz="4" w:space="0"/>
              <w:left w:val="single" w:color="auto" w:sz="4" w:space="0"/>
              <w:bottom w:val="single" w:color="auto" w:sz="12" w:space="0"/>
              <w:right w:val="single" w:color="auto" w:sz="4" w:space="0"/>
            </w:tcBorders>
            <w:vAlign w:val="center"/>
          </w:tcPr>
          <w:p w14:paraId="2D98A43A">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lang w:eastAsia="zh-CN"/>
              </w:rPr>
            </w:pPr>
            <w:r>
              <w:rPr>
                <w:rFonts w:hint="default" w:ascii="Times New Roman" w:hAnsi="Times New Roman" w:eastAsia="宋体" w:cs="Times New Roman"/>
                <w:color w:val="auto"/>
                <w:kern w:val="0"/>
                <w:sz w:val="21"/>
                <w:szCs w:val="21"/>
                <w:highlight w:val="none"/>
              </w:rPr>
              <w:t>4</w:t>
            </w:r>
            <w:r>
              <w:rPr>
                <w:rFonts w:hint="default" w:ascii="Times New Roman" w:hAnsi="Times New Roman" w:cs="Times New Roman"/>
                <w:color w:val="auto"/>
                <w:kern w:val="0"/>
                <w:sz w:val="21"/>
                <w:szCs w:val="21"/>
                <w:highlight w:val="none"/>
                <w:lang w:eastAsia="zh-CN"/>
              </w:rPr>
              <w:t>4.98</w:t>
            </w:r>
          </w:p>
        </w:tc>
        <w:tc>
          <w:tcPr>
            <w:tcW w:w="448" w:type="pct"/>
            <w:tcBorders>
              <w:top w:val="single" w:color="auto" w:sz="4" w:space="0"/>
              <w:left w:val="single" w:color="auto" w:sz="4" w:space="0"/>
              <w:bottom w:val="single" w:color="auto" w:sz="12" w:space="0"/>
              <w:right w:val="nil"/>
            </w:tcBorders>
            <w:vAlign w:val="center"/>
          </w:tcPr>
          <w:p w14:paraId="7C229B0E">
            <w:pPr>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43.09</w:t>
            </w:r>
          </w:p>
        </w:tc>
      </w:tr>
    </w:tbl>
    <w:p w14:paraId="79710584">
      <w:pPr>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1"/>
          <w:highlight w:val="none"/>
        </w:rPr>
      </w:pPr>
      <w:r>
        <w:rPr>
          <w:rFonts w:hint="default" w:ascii="Times New Roman" w:hAnsi="Times New Roman" w:eastAsia="宋体" w:cs="Times New Roman"/>
          <w:color w:val="auto"/>
          <w:sz w:val="24"/>
          <w:szCs w:val="21"/>
          <w:highlight w:val="none"/>
        </w:rPr>
        <w:t>根据《建筑施工厂界环境噪声排放标准》（GB12523-2011）的规定，施工噪声控制在昼间70dB（A），夜间控制在55dB（A）。</w:t>
      </w:r>
    </w:p>
    <w:p w14:paraId="2785E78B">
      <w:pPr>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1"/>
          <w:highlight w:val="none"/>
        </w:rPr>
      </w:pPr>
      <w:r>
        <w:rPr>
          <w:rFonts w:hint="default" w:ascii="Times New Roman" w:hAnsi="Times New Roman" w:eastAsia="宋体" w:cs="Times New Roman"/>
          <w:color w:val="auto"/>
          <w:sz w:val="24"/>
          <w:szCs w:val="21"/>
          <w:highlight w:val="none"/>
        </w:rPr>
        <w:t>项目施工机械最大声功率级按100dB（A）计算，白天衰减至70dB（A）时需要满足的衰减距离为30m，夜间衰减至55dB（A）时需要满足的衰减距离为230m。</w:t>
      </w:r>
      <w:r>
        <w:rPr>
          <w:rFonts w:hint="default" w:ascii="Times New Roman" w:hAnsi="Times New Roman" w:eastAsia="宋体" w:cs="Times New Roman"/>
          <w:color w:val="auto"/>
          <w:sz w:val="24"/>
          <w:highlight w:val="none"/>
        </w:rPr>
        <w:t>本项目距离最近居民区为</w:t>
      </w:r>
      <w:r>
        <w:rPr>
          <w:rFonts w:hint="default" w:ascii="Times New Roman" w:hAnsi="Times New Roman" w:eastAsia="宋体" w:cs="Times New Roman"/>
          <w:color w:val="auto"/>
          <w:sz w:val="24"/>
          <w:highlight w:val="none"/>
          <w:lang w:val="en-US" w:eastAsia="zh-CN"/>
        </w:rPr>
        <w:t>厂界</w:t>
      </w:r>
      <w:r>
        <w:rPr>
          <w:rFonts w:hint="default" w:ascii="Times New Roman" w:hAnsi="Times New Roman" w:cs="Times New Roman"/>
          <w:color w:val="auto"/>
          <w:sz w:val="24"/>
          <w:highlight w:val="none"/>
          <w:lang w:eastAsia="zh-CN"/>
        </w:rPr>
        <w:t>北侧</w:t>
      </w:r>
      <w:r>
        <w:rPr>
          <w:rFonts w:hint="default" w:ascii="Times New Roman" w:hAnsi="Times New Roman" w:cs="Times New Roman"/>
          <w:color w:val="auto"/>
          <w:sz w:val="24"/>
          <w:highlight w:val="none"/>
          <w:lang w:val="en-US" w:eastAsia="zh-CN"/>
        </w:rPr>
        <w:t>720</w:t>
      </w:r>
      <w:r>
        <w:rPr>
          <w:rFonts w:hint="default" w:ascii="Times New Roman" w:hAnsi="Times New Roman" w:cs="Times New Roman"/>
          <w:color w:val="auto"/>
          <w:sz w:val="24"/>
          <w:highlight w:val="none"/>
          <w:lang w:eastAsia="zh-CN"/>
        </w:rPr>
        <w:t>m处</w:t>
      </w:r>
      <w:r>
        <w:rPr>
          <w:rFonts w:hint="default" w:ascii="Times New Roman" w:hAnsi="Times New Roman" w:eastAsia="宋体" w:cs="Times New Roman"/>
          <w:color w:val="auto"/>
          <w:sz w:val="24"/>
          <w:highlight w:val="none"/>
          <w:lang w:eastAsia="zh-CN"/>
        </w:rPr>
        <w:t>的</w:t>
      </w:r>
      <w:r>
        <w:rPr>
          <w:rFonts w:hint="default" w:ascii="Times New Roman" w:hAnsi="Times New Roman" w:cs="Times New Roman"/>
          <w:color w:val="auto"/>
          <w:sz w:val="24"/>
          <w:highlight w:val="none"/>
          <w:lang w:val="en-US" w:eastAsia="zh-CN"/>
        </w:rPr>
        <w:t>康家</w:t>
      </w:r>
      <w:r>
        <w:rPr>
          <w:rFonts w:hint="default" w:ascii="Times New Roman" w:hAnsi="Times New Roman" w:cs="Times New Roman"/>
          <w:color w:val="auto"/>
          <w:sz w:val="24"/>
          <w:highlight w:val="none"/>
          <w:lang w:eastAsia="zh-CN"/>
        </w:rPr>
        <w:t>屯</w:t>
      </w:r>
      <w:r>
        <w:rPr>
          <w:rFonts w:hint="default" w:ascii="Times New Roman" w:hAnsi="Times New Roman" w:eastAsia="宋体" w:cs="Times New Roman"/>
          <w:color w:val="auto"/>
          <w:sz w:val="24"/>
          <w:szCs w:val="21"/>
          <w:highlight w:val="none"/>
        </w:rPr>
        <w:t>，且夜间不施工，所以能达到距离衰减的要求，对居民区影响较小。</w:t>
      </w:r>
    </w:p>
    <w:p w14:paraId="09A2F532">
      <w:pPr>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1"/>
          <w:highlight w:val="none"/>
        </w:rPr>
      </w:pPr>
      <w:r>
        <w:rPr>
          <w:rFonts w:hint="default" w:ascii="Times New Roman" w:hAnsi="Times New Roman" w:eastAsia="宋体" w:cs="Times New Roman"/>
          <w:color w:val="auto"/>
          <w:sz w:val="24"/>
          <w:szCs w:val="21"/>
          <w:highlight w:val="none"/>
        </w:rPr>
        <w:t>本项目施工期间产生的噪声不会对周围环境造成明显影响，其施工厂界声环境可满足《建筑施工厂界环境噪声排放标准》（GB12523-2011）要求，对区域声环境不会产生显著性不良影响。</w:t>
      </w:r>
    </w:p>
    <w:p w14:paraId="0DA16256">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81" w:name="_Toc26124"/>
      <w:r>
        <w:rPr>
          <w:rFonts w:hint="default" w:ascii="Times New Roman" w:hAnsi="Times New Roman" w:eastAsia="宋体" w:cs="Times New Roman"/>
          <w:b/>
          <w:bCs/>
          <w:color w:val="auto"/>
          <w:spacing w:val="-2"/>
          <w:sz w:val="24"/>
          <w:szCs w:val="24"/>
          <w:highlight w:val="none"/>
          <w:lang w:val="en-US" w:eastAsia="zh-CN"/>
        </w:rPr>
        <w:t>5.1.4施工期固体废物环境影响评价</w:t>
      </w:r>
      <w:bookmarkEnd w:id="181"/>
    </w:p>
    <w:p w14:paraId="1EDD4D44">
      <w:pPr>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highlight w:val="none"/>
          <w:lang w:val="zh-CN"/>
        </w:rPr>
      </w:pPr>
      <w:r>
        <w:rPr>
          <w:rFonts w:hint="default" w:ascii="Times New Roman" w:hAnsi="Times New Roman" w:eastAsia="宋体" w:cs="Times New Roman"/>
          <w:color w:val="auto"/>
          <w:sz w:val="24"/>
          <w:highlight w:val="none"/>
          <w:lang w:val="zh-CN"/>
        </w:rPr>
        <w:t>施工期固体废物主要包括建筑垃圾和生活垃圾。建筑垃圾有废建材、废钢材、包装袋等。对可再利用的建筑废料，应进行回收利用，以节省资源。多余废弃的砂、砾</w:t>
      </w:r>
      <w:r>
        <w:rPr>
          <w:rFonts w:hint="default" w:ascii="Times New Roman" w:hAnsi="Times New Roman" w:eastAsia="宋体" w:cs="Times New Roman"/>
          <w:color w:val="auto"/>
          <w:sz w:val="24"/>
          <w:szCs w:val="24"/>
          <w:highlight w:val="none"/>
          <w:lang w:val="zh-CN"/>
        </w:rPr>
        <w:t>石可结合修路利用；除可回收利用外</w:t>
      </w:r>
      <w:r>
        <w:rPr>
          <w:rFonts w:hint="default" w:ascii="Times New Roman" w:hAnsi="Times New Roman" w:eastAsia="宋体" w:cs="Times New Roman"/>
          <w:color w:val="auto"/>
          <w:sz w:val="24"/>
          <w:szCs w:val="24"/>
          <w:highlight w:val="none"/>
          <w:lang w:val="en-US" w:eastAsia="zh-CN"/>
        </w:rPr>
        <w:t>的</w:t>
      </w:r>
      <w:r>
        <w:rPr>
          <w:rFonts w:hint="default" w:ascii="Times New Roman" w:hAnsi="Times New Roman" w:eastAsia="宋体" w:cs="Times New Roman"/>
          <w:color w:val="auto"/>
          <w:sz w:val="24"/>
          <w:szCs w:val="24"/>
          <w:highlight w:val="none"/>
          <w:lang w:val="zh-CN"/>
        </w:rPr>
        <w:t>建筑垃圾应清运至城建部门指定的地方处置，生活垃圾集中收集，由市政环卫部门统一清运处理</w:t>
      </w:r>
      <w:r>
        <w:rPr>
          <w:rFonts w:hint="default" w:ascii="Times New Roman" w:hAnsi="Times New Roman" w:eastAsia="宋体" w:cs="Times New Roman"/>
          <w:color w:val="auto"/>
          <w:sz w:val="24"/>
          <w:highlight w:val="none"/>
          <w:lang w:val="zh-CN"/>
        </w:rPr>
        <w:t>，最大程度减小对环境的影响。</w:t>
      </w:r>
    </w:p>
    <w:p w14:paraId="3F26341B">
      <w:pPr>
        <w:pageBreakBefore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auto"/>
          <w:spacing w:val="-4"/>
          <w:sz w:val="24"/>
          <w:szCs w:val="21"/>
          <w:highlight w:val="none"/>
        </w:rPr>
      </w:pPr>
      <w:r>
        <w:rPr>
          <w:rFonts w:hint="default" w:ascii="Times New Roman" w:hAnsi="Times New Roman" w:eastAsia="宋体" w:cs="Times New Roman"/>
          <w:color w:val="auto"/>
          <w:spacing w:val="-4"/>
          <w:sz w:val="24"/>
          <w:szCs w:val="21"/>
          <w:highlight w:val="none"/>
        </w:rPr>
        <w:t>通过以上措施，项目建设产生的固体废物得到了妥善处置，施工期间对周围环境造成的短暂影响可以接受。</w:t>
      </w:r>
    </w:p>
    <w:p w14:paraId="7685A13A">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82" w:name="_Toc11443"/>
      <w:r>
        <w:rPr>
          <w:rFonts w:hint="default" w:ascii="Times New Roman" w:hAnsi="Times New Roman" w:eastAsia="宋体" w:cs="Times New Roman"/>
          <w:b/>
          <w:bCs/>
          <w:color w:val="auto"/>
          <w:spacing w:val="-2"/>
          <w:sz w:val="24"/>
          <w:szCs w:val="24"/>
          <w:highlight w:val="none"/>
          <w:lang w:val="en-US" w:eastAsia="zh-CN"/>
        </w:rPr>
        <w:t>5.1.5</w:t>
      </w:r>
      <w:r>
        <w:rPr>
          <w:rFonts w:hint="default" w:ascii="Times New Roman" w:hAnsi="Times New Roman" w:eastAsia="宋体" w:cs="Times New Roman"/>
          <w:b/>
          <w:bCs/>
          <w:color w:val="auto"/>
          <w:sz w:val="24"/>
          <w:szCs w:val="24"/>
          <w:highlight w:val="none"/>
        </w:rPr>
        <w:t>生态环境影响预测与评价</w:t>
      </w:r>
      <w:bookmarkEnd w:id="182"/>
    </w:p>
    <w:p w14:paraId="60491659">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bookmarkStart w:id="183" w:name="_Toc29466"/>
      <w:bookmarkStart w:id="184" w:name="_Toc27186"/>
      <w:r>
        <w:rPr>
          <w:rFonts w:hint="default" w:ascii="Times New Roman" w:hAnsi="Times New Roman" w:eastAsia="宋体" w:cs="Times New Roman"/>
          <w:snapToGrid w:val="0"/>
          <w:color w:val="auto"/>
          <w:kern w:val="0"/>
          <w:sz w:val="24"/>
          <w:szCs w:val="21"/>
          <w:highlight w:val="none"/>
          <w:lang w:val="zh-CN" w:eastAsia="zh-CN" w:bidi="ar-SA"/>
        </w:rPr>
        <w:t>一、施工前期主要任务是平整土地，清理地表植被及杂物，可能产生的影响：</w:t>
      </w:r>
    </w:p>
    <w:p w14:paraId="166B85DD">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①随意扩大占地面积，破坏植被；</w:t>
      </w:r>
    </w:p>
    <w:p w14:paraId="3BD5A41A">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②表土随意丢弃（表土须妥善保存，用于</w:t>
      </w:r>
      <w:r>
        <w:rPr>
          <w:rFonts w:hint="default" w:ascii="Times New Roman" w:hAnsi="Times New Roman" w:cs="Times New Roman"/>
          <w:snapToGrid w:val="0"/>
          <w:color w:val="auto"/>
          <w:kern w:val="0"/>
          <w:sz w:val="24"/>
          <w:szCs w:val="21"/>
          <w:highlight w:val="none"/>
          <w:lang w:val="zh-CN" w:eastAsia="zh-CN" w:bidi="ar-SA"/>
        </w:rPr>
        <w:t>厂区</w:t>
      </w:r>
      <w:r>
        <w:rPr>
          <w:rFonts w:hint="default" w:ascii="Times New Roman" w:hAnsi="Times New Roman" w:eastAsia="宋体" w:cs="Times New Roman"/>
          <w:snapToGrid w:val="0"/>
          <w:color w:val="auto"/>
          <w:kern w:val="0"/>
          <w:sz w:val="24"/>
          <w:szCs w:val="21"/>
          <w:highlight w:val="none"/>
          <w:lang w:val="zh-CN" w:eastAsia="zh-CN" w:bidi="ar-SA"/>
        </w:rPr>
        <w:t>绿化或厂区覆盖表土）；</w:t>
      </w:r>
    </w:p>
    <w:p w14:paraId="7F68F9BE">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③随意堆弃清理后的杂物，占用非项目的征用的土地，破坏周围景观。</w:t>
      </w:r>
    </w:p>
    <w:p w14:paraId="7A13EDD4">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二、施工期主要任务是在项目区内构筑物的建筑、设备安装、场区布置、绿化等可能产生的影响：</w:t>
      </w:r>
    </w:p>
    <w:p w14:paraId="70CAE7D2">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①建筑废弃物随意丢弃，侵占非征用土地；</w:t>
      </w:r>
    </w:p>
    <w:p w14:paraId="43FCF438">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②如果无固定行车线路，将破坏周围防护林及农田；</w:t>
      </w:r>
    </w:p>
    <w:p w14:paraId="33C66CC3">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③运输物料车辆应有遮盖措施，防止扬尘；</w:t>
      </w:r>
    </w:p>
    <w:p w14:paraId="3AB64828">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④生活垃圾应有固定堆放位置，统一收集，保持场区清洁环境；</w:t>
      </w:r>
    </w:p>
    <w:p w14:paraId="620AC38A">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⑤施工过程中将会造成一定程度的土壤流失。</w:t>
      </w:r>
    </w:p>
    <w:p w14:paraId="5B6270CE">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三、工程施工水土流失生态环境影响评价</w:t>
      </w:r>
    </w:p>
    <w:p w14:paraId="40CC879C">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在施工中由于机械碾压、人员践踏等过程，使植被遭到砍伐、铲除、掩覆。植被破坏后，土壤无植被覆盖，土壤必将受到外界的干扰，使表层土壤瘠薄，土体构型、理化性质地发生变化，虽然这种变化比较缓慢，若一旦受到强烈的干扰侵蚀，将比植被更难以恢复。</w:t>
      </w:r>
    </w:p>
    <w:p w14:paraId="6A54D9F9">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施工过程水土流失的危害主要表现在：</w:t>
      </w:r>
    </w:p>
    <w:p w14:paraId="1FC2C3E2">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表土流失，破坏土体构型。正常的自然土壤具有A、B和C层等发生层次，土壤侵蚀致使土壤流失，土层变薄，</w:t>
      </w:r>
      <w:r>
        <w:rPr>
          <w:rFonts w:hint="default" w:ascii="Times New Roman" w:hAnsi="Times New Roman" w:cs="Times New Roman"/>
          <w:snapToGrid w:val="0"/>
          <w:color w:val="auto"/>
          <w:kern w:val="0"/>
          <w:sz w:val="24"/>
          <w:szCs w:val="21"/>
          <w:highlight w:val="none"/>
          <w:lang w:val="zh-CN" w:eastAsia="zh-CN" w:bidi="ar-SA"/>
        </w:rPr>
        <w:t>土壤</w:t>
      </w:r>
      <w:r>
        <w:rPr>
          <w:rFonts w:hint="default" w:ascii="Times New Roman" w:hAnsi="Times New Roman" w:eastAsia="宋体" w:cs="Times New Roman"/>
          <w:snapToGrid w:val="0"/>
          <w:color w:val="auto"/>
          <w:kern w:val="0"/>
          <w:sz w:val="24"/>
          <w:szCs w:val="21"/>
          <w:highlight w:val="none"/>
          <w:lang w:val="zh-CN" w:eastAsia="zh-CN" w:bidi="ar-SA"/>
        </w:rPr>
        <w:t>发生层次缺失，破坏了土体结构。</w:t>
      </w:r>
    </w:p>
    <w:p w14:paraId="7AC0166F">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土壤养分流失，降低土壤肥力。土壤无论受到何种形式干扰，首先破坏肥力最高、养分最多、结构最好的表层</w:t>
      </w:r>
      <w:r>
        <w:rPr>
          <w:rFonts w:hint="default" w:ascii="Times New Roman" w:hAnsi="Times New Roman" w:cs="Times New Roman"/>
          <w:snapToGrid w:val="0"/>
          <w:color w:val="auto"/>
          <w:kern w:val="0"/>
          <w:sz w:val="24"/>
          <w:szCs w:val="21"/>
          <w:highlight w:val="none"/>
          <w:lang w:val="zh-CN" w:eastAsia="zh-CN" w:bidi="ar-SA"/>
        </w:rPr>
        <w:t>土壤</w:t>
      </w:r>
      <w:r>
        <w:rPr>
          <w:rFonts w:hint="default" w:ascii="Times New Roman" w:hAnsi="Times New Roman" w:eastAsia="宋体" w:cs="Times New Roman"/>
          <w:snapToGrid w:val="0"/>
          <w:color w:val="auto"/>
          <w:kern w:val="0"/>
          <w:sz w:val="24"/>
          <w:szCs w:val="21"/>
          <w:highlight w:val="none"/>
          <w:lang w:val="zh-CN" w:eastAsia="zh-CN" w:bidi="ar-SA"/>
        </w:rPr>
        <w:t>，土壤有机质、全氮、全磷含量随着土壤侵蚀强度的加剧而降低。</w:t>
      </w:r>
    </w:p>
    <w:p w14:paraId="0DC69671">
      <w:pPr>
        <w:pStyle w:val="1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FF0000"/>
          <w:kern w:val="0"/>
          <w:sz w:val="24"/>
          <w:szCs w:val="21"/>
          <w:highlight w:val="none"/>
          <w:lang w:val="zh-CN" w:eastAsia="zh-CN" w:bidi="ar-SA"/>
        </w:rPr>
      </w:pPr>
      <w:r>
        <w:rPr>
          <w:rFonts w:hint="default" w:ascii="Times New Roman" w:hAnsi="Times New Roman" w:eastAsia="宋体" w:cs="Times New Roman"/>
          <w:snapToGrid w:val="0"/>
          <w:color w:val="FF0000"/>
          <w:kern w:val="0"/>
          <w:sz w:val="24"/>
          <w:szCs w:val="21"/>
          <w:highlight w:val="none"/>
          <w:lang w:val="zh-CN" w:eastAsia="zh-CN" w:bidi="ar-SA"/>
        </w:rPr>
        <w:t>拟建项目建设过程中，</w:t>
      </w:r>
      <w:r>
        <w:rPr>
          <w:rFonts w:hint="default" w:ascii="Times New Roman" w:hAnsi="Times New Roman" w:cs="Times New Roman"/>
          <w:snapToGrid w:val="0"/>
          <w:color w:val="FF0000"/>
          <w:kern w:val="0"/>
          <w:sz w:val="24"/>
          <w:szCs w:val="21"/>
          <w:highlight w:val="none"/>
          <w:lang w:val="en-US" w:eastAsia="zh-CN" w:bidi="ar-SA"/>
        </w:rPr>
        <w:t>不涉及表土剥离，只涉及厂房搭建，设备安装。</w:t>
      </w:r>
      <w:r>
        <w:rPr>
          <w:rFonts w:hint="default" w:ascii="Times New Roman" w:hAnsi="Times New Roman" w:eastAsia="宋体" w:cs="Times New Roman"/>
          <w:snapToGrid w:val="0"/>
          <w:color w:val="FF0000"/>
          <w:kern w:val="0"/>
          <w:sz w:val="24"/>
          <w:szCs w:val="21"/>
          <w:highlight w:val="none"/>
          <w:lang w:val="zh-CN" w:eastAsia="zh-CN" w:bidi="ar-SA"/>
        </w:rPr>
        <w:t>建筑机械和运输车辆所产生的噪声、扬尘，建材处理和使用过程中产生的废弃物，使该地区生物多样性等生态因子受到影响</w:t>
      </w:r>
      <w:r>
        <w:rPr>
          <w:rFonts w:hint="default" w:ascii="Times New Roman" w:hAnsi="Times New Roman" w:cs="Times New Roman"/>
          <w:snapToGrid w:val="0"/>
          <w:color w:val="FF0000"/>
          <w:kern w:val="0"/>
          <w:sz w:val="24"/>
          <w:szCs w:val="21"/>
          <w:highlight w:val="none"/>
          <w:lang w:val="zh-CN" w:eastAsia="zh-CN" w:bidi="ar-SA"/>
        </w:rPr>
        <w:t>。项目对景观与视觉环境的负面影响主要表现在施工期。施工场地的开挖、各类施工机械运转、施工弃土、施工建材堆放等，都会对景观与视觉环境造成不良影响。在施工过程中，对于植物资源应尽量避免砍伐，尽量保留，维护和保持沿线现有景观。</w:t>
      </w:r>
    </w:p>
    <w:p w14:paraId="0B5BD7D1">
      <w:pPr>
        <w:keepNext w:val="0"/>
        <w:keepLines w:val="0"/>
        <w:pageBreakBefore w:val="0"/>
        <w:widowControl/>
        <w:kinsoku/>
        <w:wordWrap w:val="0"/>
        <w:overflowPunct/>
        <w:topLinePunct/>
        <w:autoSpaceDE/>
        <w:autoSpaceDN/>
        <w:bidi w:val="0"/>
        <w:adjustRightInd w:val="0"/>
        <w:snapToGrid w:val="0"/>
        <w:spacing w:line="360" w:lineRule="auto"/>
        <w:ind w:left="0" w:firstLine="480" w:firstLineChars="200"/>
        <w:textAlignment w:val="baseline"/>
        <w:outlineLvl w:val="9"/>
        <w:rPr>
          <w:rFonts w:hint="eastAsia" w:ascii="Times New Roman" w:hAnsi="Times New Roman" w:eastAsia="宋体" w:cs="Times New Roman"/>
          <w:snapToGrid w:val="0"/>
          <w:color w:val="auto"/>
          <w:kern w:val="0"/>
          <w:sz w:val="24"/>
          <w:szCs w:val="21"/>
          <w:highlight w:val="none"/>
          <w:lang w:val="zh-CN" w:eastAsia="zh-CN" w:bidi="ar-SA"/>
        </w:rPr>
      </w:pPr>
      <w:r>
        <w:rPr>
          <w:rFonts w:hint="default" w:ascii="Times New Roman" w:hAnsi="Times New Roman" w:eastAsia="宋体" w:cs="Times New Roman"/>
          <w:snapToGrid w:val="0"/>
          <w:color w:val="auto"/>
          <w:kern w:val="0"/>
          <w:sz w:val="24"/>
          <w:szCs w:val="21"/>
          <w:highlight w:val="none"/>
          <w:lang w:val="zh-CN" w:eastAsia="zh-CN" w:bidi="ar-SA"/>
        </w:rPr>
        <w:t>施工单位在施工过程中，应注意科学施工，尽量减少土石方的开挖量，开挖后应及时回填。通过严格的施工管理，对施工期间产生的水土流失进行控制则不会对周围环境产生影响</w:t>
      </w:r>
      <w:r>
        <w:rPr>
          <w:rFonts w:hint="eastAsia" w:ascii="Times New Roman" w:hAnsi="Times New Roman" w:eastAsia="宋体" w:cs="Times New Roman"/>
          <w:snapToGrid w:val="0"/>
          <w:color w:val="auto"/>
          <w:kern w:val="0"/>
          <w:sz w:val="24"/>
          <w:szCs w:val="21"/>
          <w:highlight w:val="none"/>
          <w:lang w:val="zh-CN" w:eastAsia="zh-CN" w:bidi="ar-SA"/>
        </w:rPr>
        <w:t>。</w:t>
      </w:r>
    </w:p>
    <w:p w14:paraId="7E09A1D7">
      <w:pPr>
        <w:pStyle w:val="2"/>
        <w:rPr>
          <w:rFonts w:hint="default"/>
          <w:lang w:val="zh-CN" w:eastAsia="zh-CN"/>
        </w:rPr>
      </w:pPr>
    </w:p>
    <w:p w14:paraId="72965499">
      <w:pPr>
        <w:rPr>
          <w:rFonts w:hint="default" w:ascii="Times New Roman" w:hAnsi="Times New Roman" w:eastAsia="Times New Roman" w:cs="Times New Roman"/>
          <w:b/>
          <w:bCs/>
          <w:color w:val="auto"/>
          <w:spacing w:val="-3"/>
          <w:sz w:val="30"/>
          <w:szCs w:val="30"/>
          <w:highlight w:val="none"/>
        </w:rPr>
      </w:pPr>
      <w:r>
        <w:rPr>
          <w:rFonts w:hint="default" w:ascii="Times New Roman" w:hAnsi="Times New Roman" w:eastAsia="Times New Roman" w:cs="Times New Roman"/>
          <w:b/>
          <w:bCs/>
          <w:color w:val="auto"/>
          <w:spacing w:val="-3"/>
          <w:sz w:val="30"/>
          <w:szCs w:val="30"/>
          <w:highlight w:val="none"/>
        </w:rPr>
        <w:br w:type="page"/>
      </w:r>
    </w:p>
    <w:p w14:paraId="6BDA2348">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185" w:name="_Toc28904"/>
      <w:r>
        <w:rPr>
          <w:rFonts w:hint="default" w:ascii="Times New Roman" w:hAnsi="Times New Roman" w:eastAsia="Times New Roman" w:cs="Times New Roman"/>
          <w:b/>
          <w:bCs/>
          <w:color w:val="auto"/>
          <w:spacing w:val="-5"/>
          <w:sz w:val="28"/>
          <w:szCs w:val="28"/>
          <w:highlight w:val="none"/>
        </w:rPr>
        <w:t>5.2运营期环境影响预测与评价</w:t>
      </w:r>
      <w:bookmarkEnd w:id="183"/>
      <w:bookmarkEnd w:id="184"/>
      <w:bookmarkEnd w:id="185"/>
    </w:p>
    <w:p w14:paraId="69B2A2D1">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86" w:name="_Toc29696"/>
      <w:r>
        <w:rPr>
          <w:rFonts w:hint="default" w:ascii="Times New Roman" w:hAnsi="Times New Roman" w:eastAsia="宋体" w:cs="Times New Roman"/>
          <w:b/>
          <w:bCs/>
          <w:color w:val="auto"/>
          <w:spacing w:val="-2"/>
          <w:sz w:val="24"/>
          <w:szCs w:val="24"/>
          <w:highlight w:val="none"/>
          <w:lang w:val="en-US" w:eastAsia="zh-CN"/>
        </w:rPr>
        <w:t>5.2.1地表水环境影响预测与分析</w:t>
      </w:r>
      <w:bookmarkEnd w:id="186"/>
    </w:p>
    <w:p w14:paraId="679C6579">
      <w:pPr>
        <w:pStyle w:val="40"/>
        <w:pageBreakBefore w:val="0"/>
        <w:kinsoku/>
        <w:wordWrap/>
        <w:overflowPunct/>
        <w:topLinePunct w:val="0"/>
        <w:bidi w:val="0"/>
        <w:adjustRightInd/>
        <w:snapToGrid/>
        <w:spacing w:line="360" w:lineRule="auto"/>
        <w:ind w:firstLine="480" w:firstLineChars="200"/>
        <w:jc w:val="both"/>
        <w:rPr>
          <w:rFonts w:hint="default" w:ascii="Times New Roman" w:hAnsi="Times New Roman" w:eastAsia="宋体" w:cs="Times New Roman"/>
          <w:color w:val="FF0000"/>
          <w:kern w:val="2"/>
          <w:sz w:val="24"/>
          <w:szCs w:val="24"/>
          <w:highlight w:val="none"/>
          <w:lang w:val="zh-CN" w:eastAsia="zh-CN"/>
        </w:rPr>
      </w:pPr>
      <w:bookmarkStart w:id="187" w:name="_Hlk10651079"/>
      <w:r>
        <w:rPr>
          <w:rFonts w:hint="default" w:ascii="Times New Roman" w:hAnsi="Times New Roman" w:eastAsia="宋体" w:cs="Times New Roman"/>
          <w:color w:val="FF0000"/>
          <w:sz w:val="24"/>
          <w:szCs w:val="24"/>
          <w:highlight w:val="none"/>
        </w:rPr>
        <w:t>本项目不直接向地表水排放废水，</w:t>
      </w:r>
      <w:r>
        <w:rPr>
          <w:rFonts w:hint="default" w:ascii="Times New Roman" w:hAnsi="Times New Roman" w:eastAsia="宋体" w:cs="Times New Roman"/>
          <w:color w:val="FF0000"/>
          <w:spacing w:val="-9"/>
          <w:sz w:val="24"/>
          <w:szCs w:val="24"/>
          <w:highlight w:val="none"/>
        </w:rPr>
        <w:t>生活污水排入化粪池</w:t>
      </w:r>
      <w:r>
        <w:rPr>
          <w:rFonts w:hint="default" w:ascii="Times New Roman" w:hAnsi="Times New Roman" w:eastAsia="宋体" w:cs="Times New Roman"/>
          <w:color w:val="FF0000"/>
          <w:spacing w:val="-9"/>
          <w:sz w:val="24"/>
          <w:szCs w:val="24"/>
          <w:highlight w:val="none"/>
          <w:lang w:val="en-US" w:eastAsia="zh-CN"/>
        </w:rPr>
        <w:t>定期清掏</w:t>
      </w:r>
      <w:r>
        <w:rPr>
          <w:rFonts w:hint="default" w:ascii="Times New Roman" w:hAnsi="Times New Roman" w:eastAsia="宋体" w:cs="Times New Roman"/>
          <w:color w:val="FF0000"/>
          <w:spacing w:val="-9"/>
          <w:sz w:val="24"/>
          <w:szCs w:val="24"/>
          <w:highlight w:val="none"/>
        </w:rPr>
        <w:t>，不外排</w:t>
      </w:r>
      <w:r>
        <w:rPr>
          <w:rFonts w:hint="default" w:ascii="Times New Roman" w:hAnsi="Times New Roman" w:eastAsia="宋体" w:cs="Times New Roman"/>
          <w:color w:val="FF0000"/>
          <w:sz w:val="24"/>
          <w:szCs w:val="24"/>
          <w:highlight w:val="none"/>
          <w:lang w:val="en-US" w:eastAsia="zh-CN"/>
        </w:rPr>
        <w:t>，生产</w:t>
      </w:r>
      <w:r>
        <w:rPr>
          <w:rFonts w:hint="default" w:ascii="Times New Roman" w:hAnsi="Times New Roman" w:eastAsia="宋体" w:cs="Times New Roman"/>
          <w:color w:val="FF0000"/>
          <w:sz w:val="24"/>
          <w:szCs w:val="24"/>
          <w:highlight w:val="none"/>
          <w:lang w:val="zh-CN" w:eastAsia="zh-CN"/>
        </w:rPr>
        <w:t>废水主要为</w:t>
      </w:r>
      <w:r>
        <w:rPr>
          <w:rFonts w:hint="default" w:ascii="Times New Roman" w:hAnsi="Times New Roman" w:eastAsia="宋体" w:cs="Times New Roman"/>
          <w:color w:val="FF0000"/>
          <w:kern w:val="2"/>
          <w:sz w:val="24"/>
          <w:szCs w:val="24"/>
          <w:highlight w:val="none"/>
          <w:lang w:val="zh-CN" w:eastAsia="zh-CN"/>
        </w:rPr>
        <w:t>养殖场产生的牛尿</w:t>
      </w:r>
      <w:r>
        <w:rPr>
          <w:rFonts w:hint="default" w:ascii="Times New Roman" w:hAnsi="Times New Roman" w:eastAsia="宋体" w:cs="Times New Roman"/>
          <w:color w:val="FF0000"/>
          <w:sz w:val="24"/>
          <w:szCs w:val="24"/>
          <w:highlight w:val="none"/>
          <w:lang w:val="en-US" w:eastAsia="zh-CN"/>
        </w:rPr>
        <w:t>，采用干撒式发酵床工艺，微生物分解，不外排</w:t>
      </w:r>
      <w:r>
        <w:rPr>
          <w:rFonts w:hint="default" w:ascii="Times New Roman" w:hAnsi="Times New Roman" w:eastAsia="宋体" w:cs="Times New Roman"/>
          <w:color w:val="FF0000"/>
          <w:sz w:val="24"/>
          <w:szCs w:val="24"/>
          <w:highlight w:val="none"/>
        </w:rPr>
        <w:t>。</w:t>
      </w:r>
      <w:r>
        <w:rPr>
          <w:rFonts w:hint="default" w:ascii="Times New Roman" w:hAnsi="Times New Roman" w:eastAsia="宋体" w:cs="Times New Roman"/>
          <w:color w:val="FF0000"/>
          <w:kern w:val="2"/>
          <w:sz w:val="24"/>
          <w:szCs w:val="24"/>
          <w:highlight w:val="none"/>
          <w:lang w:val="zh-CN" w:eastAsia="zh-CN"/>
        </w:rPr>
        <w:t>项目的生产运营不会对评价区地表水环境造成污染影响。</w:t>
      </w:r>
    </w:p>
    <w:bookmarkEnd w:id="187"/>
    <w:p w14:paraId="46273E2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88" w:name="_Toc29442"/>
      <w:r>
        <w:rPr>
          <w:rFonts w:hint="default" w:ascii="Times New Roman" w:hAnsi="Times New Roman" w:eastAsia="宋体" w:cs="Times New Roman"/>
          <w:b/>
          <w:bCs/>
          <w:color w:val="auto"/>
          <w:spacing w:val="-2"/>
          <w:sz w:val="24"/>
          <w:szCs w:val="24"/>
          <w:highlight w:val="none"/>
          <w:lang w:val="en-US" w:eastAsia="zh-CN"/>
        </w:rPr>
        <w:t>5.2.2大气环境影响预测与分析</w:t>
      </w:r>
      <w:bookmarkEnd w:id="188"/>
    </w:p>
    <w:p w14:paraId="61C74BAE">
      <w:pPr>
        <w:pStyle w:val="40"/>
        <w:keepNext w:val="0"/>
        <w:keepLines w:val="0"/>
        <w:pageBreakBefore w:val="0"/>
        <w:widowControl/>
        <w:kinsoku/>
        <w:wordWrap/>
        <w:overflowPunct/>
        <w:topLinePunct w:val="0"/>
        <w:bidi w:val="0"/>
        <w:adjustRightInd/>
        <w:snapToGrid/>
        <w:spacing w:line="360" w:lineRule="auto"/>
        <w:ind w:firstLine="480" w:firstLineChars="200"/>
        <w:jc w:val="both"/>
        <w:textAlignment w:val="baseline"/>
        <w:rPr>
          <w:rFonts w:hint="default" w:ascii="Times New Roman" w:hAnsi="Times New Roman" w:eastAsia="宋体" w:cs="Times New Roman"/>
          <w:color w:val="0000FF"/>
          <w:sz w:val="24"/>
          <w:szCs w:val="24"/>
          <w:highlight w:val="none"/>
        </w:rPr>
      </w:pPr>
      <w:bookmarkStart w:id="189" w:name="_Hlk6926034"/>
      <w:r>
        <w:rPr>
          <w:rFonts w:hint="default" w:ascii="Times New Roman" w:hAnsi="Times New Roman" w:eastAsia="宋体" w:cs="Times New Roman"/>
          <w:color w:val="0000FF"/>
          <w:sz w:val="24"/>
          <w:szCs w:val="24"/>
          <w:highlight w:val="none"/>
        </w:rPr>
        <w:t>根据《环境影响评价技术导则 大气环境》（HJ2.2-2018）中附录A推荐的估算模式进行计算，由估算模式计算结果可知，最大地面空气质量浓度占标率为</w:t>
      </w:r>
      <w:r>
        <w:rPr>
          <w:rFonts w:hint="eastAsia" w:ascii="Times New Roman" w:hAnsi="Times New Roman" w:eastAsia="宋体" w:cs="Times New Roman"/>
          <w:color w:val="0000FF"/>
          <w:sz w:val="24"/>
          <w:szCs w:val="24"/>
          <w:highlight w:val="none"/>
          <w:lang w:val="en-US" w:eastAsia="zh-CN"/>
        </w:rPr>
        <w:t>养殖场</w:t>
      </w:r>
      <w:r>
        <w:rPr>
          <w:rFonts w:hint="default" w:ascii="Times New Roman" w:hAnsi="Times New Roman" w:eastAsia="宋体" w:cs="Times New Roman"/>
          <w:color w:val="0000FF"/>
          <w:sz w:val="24"/>
          <w:szCs w:val="24"/>
          <w:highlight w:val="none"/>
        </w:rPr>
        <w:t>排放的</w:t>
      </w:r>
      <w:r>
        <w:rPr>
          <w:rFonts w:hint="eastAsia" w:ascii="Times New Roman" w:hAnsi="Times New Roman" w:eastAsia="宋体" w:cs="Times New Roman"/>
          <w:color w:val="0000FF"/>
          <w:sz w:val="24"/>
          <w:szCs w:val="24"/>
          <w:highlight w:val="none"/>
          <w:lang w:val="en-US" w:eastAsia="zh-CN"/>
        </w:rPr>
        <w:t>NH</w:t>
      </w:r>
      <w:r>
        <w:rPr>
          <w:rFonts w:hint="eastAsia" w:ascii="Times New Roman" w:hAnsi="Times New Roman" w:eastAsia="宋体" w:cs="Times New Roman"/>
          <w:color w:val="0000FF"/>
          <w:sz w:val="24"/>
          <w:szCs w:val="24"/>
          <w:highlight w:val="none"/>
          <w:vertAlign w:val="subscript"/>
          <w:lang w:val="en-US" w:eastAsia="zh-CN"/>
        </w:rPr>
        <w:t>3</w:t>
      </w:r>
      <w:r>
        <w:rPr>
          <w:rFonts w:hint="default" w:ascii="Times New Roman" w:hAnsi="Times New Roman" w:eastAsia="宋体" w:cs="Times New Roman"/>
          <w:color w:val="0000FF"/>
          <w:sz w:val="24"/>
          <w:szCs w:val="24"/>
          <w:highlight w:val="none"/>
          <w:lang w:eastAsia="zh-CN"/>
        </w:rPr>
        <w:t>，</w:t>
      </w:r>
      <w:r>
        <w:rPr>
          <w:rFonts w:hint="default" w:ascii="Times New Roman" w:hAnsi="Times New Roman" w:eastAsia="宋体" w:cs="Times New Roman"/>
          <w:color w:val="0000FF"/>
          <w:sz w:val="24"/>
          <w:szCs w:val="24"/>
          <w:highlight w:val="none"/>
        </w:rPr>
        <w:t>P</w:t>
      </w:r>
      <w:r>
        <w:rPr>
          <w:rFonts w:hint="default" w:ascii="Times New Roman" w:hAnsi="Times New Roman" w:eastAsia="宋体" w:cs="Times New Roman"/>
          <w:color w:val="0000FF"/>
          <w:sz w:val="24"/>
          <w:szCs w:val="24"/>
          <w:highlight w:val="none"/>
          <w:lang w:val="en-US" w:eastAsia="zh-CN"/>
        </w:rPr>
        <w:t>max=</w:t>
      </w:r>
      <w:r>
        <w:rPr>
          <w:rFonts w:hint="eastAsia" w:ascii="Times New Roman" w:hAnsi="Times New Roman" w:eastAsia="宋体" w:cs="Times New Roman"/>
          <w:color w:val="0000FF"/>
          <w:sz w:val="24"/>
          <w:szCs w:val="24"/>
          <w:highlight w:val="none"/>
          <w:lang w:val="en-US" w:eastAsia="zh-CN"/>
        </w:rPr>
        <w:t>6.25</w:t>
      </w:r>
      <w:r>
        <w:rPr>
          <w:rFonts w:hint="default" w:ascii="Times New Roman" w:hAnsi="Times New Roman" w:eastAsia="宋体" w:cs="Times New Roman"/>
          <w:color w:val="0000FF"/>
          <w:sz w:val="24"/>
          <w:szCs w:val="24"/>
          <w:highlight w:val="none"/>
        </w:rPr>
        <w:t>%，根据《环境影响评价技术导则 大气环境》（HJ2.2-2018）确定的评价等级</w:t>
      </w:r>
      <w:r>
        <w:rPr>
          <w:rFonts w:hint="default" w:ascii="Times New Roman" w:hAnsi="Times New Roman" w:eastAsia="宋体" w:cs="Times New Roman"/>
          <w:color w:val="0000FF"/>
          <w:sz w:val="24"/>
          <w:szCs w:val="24"/>
          <w:highlight w:val="none"/>
          <w:lang w:val="en-US" w:eastAsia="zh-CN"/>
        </w:rPr>
        <w:t>判定</w:t>
      </w:r>
      <w:r>
        <w:rPr>
          <w:rFonts w:hint="default" w:ascii="Times New Roman" w:hAnsi="Times New Roman" w:eastAsia="宋体" w:cs="Times New Roman"/>
          <w:color w:val="0000FF"/>
          <w:sz w:val="24"/>
          <w:szCs w:val="24"/>
          <w:highlight w:val="none"/>
        </w:rPr>
        <w:t>，确定该项目大气环境影响评价工作等级为二级。</w:t>
      </w:r>
    </w:p>
    <w:p w14:paraId="19B0135C">
      <w:pPr>
        <w:pStyle w:val="40"/>
        <w:pageBreakBefore w:val="0"/>
        <w:kinsoku/>
        <w:wordWrap/>
        <w:overflowPunct/>
        <w:topLinePunct w:val="0"/>
        <w:bidi w:val="0"/>
        <w:adjustRightInd/>
        <w:snapToGrid/>
        <w:spacing w:line="360" w:lineRule="auto"/>
        <w:ind w:firstLine="480" w:firstLineChars="200"/>
        <w:jc w:val="both"/>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根据《环境影响评价技术导则 大气环境》（HJ2.2-2018）中要求，二级评价项目不进行进一步预测与评价，只对污染物排放量进行核算。</w:t>
      </w:r>
      <w:bookmarkEnd w:id="189"/>
    </w:p>
    <w:p w14:paraId="327FC7ED">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pacing w:val="-1"/>
          <w:sz w:val="24"/>
          <w:szCs w:val="24"/>
          <w:highlight w:val="none"/>
          <w:lang w:val="en-US" w:eastAsia="zh-CN"/>
        </w:rPr>
      </w:pPr>
      <w:r>
        <w:rPr>
          <w:rFonts w:hint="default" w:ascii="Times New Roman" w:hAnsi="Times New Roman" w:eastAsia="宋体" w:cs="Times New Roman"/>
          <w:b/>
          <w:bCs/>
          <w:color w:val="auto"/>
          <w:spacing w:val="-1"/>
          <w:sz w:val="24"/>
          <w:szCs w:val="24"/>
          <w:highlight w:val="none"/>
          <w:lang w:val="zh-CN" w:eastAsia="zh-CN"/>
        </w:rPr>
        <w:t>5.2.</w:t>
      </w:r>
      <w:r>
        <w:rPr>
          <w:rFonts w:hint="eastAsia" w:ascii="Times New Roman" w:hAnsi="Times New Roman" w:eastAsia="宋体" w:cs="Times New Roman"/>
          <w:b/>
          <w:bCs/>
          <w:color w:val="auto"/>
          <w:spacing w:val="-1"/>
          <w:sz w:val="24"/>
          <w:szCs w:val="24"/>
          <w:highlight w:val="none"/>
          <w:lang w:val="en-US" w:eastAsia="zh-CN"/>
        </w:rPr>
        <w:t>2</w:t>
      </w:r>
      <w:r>
        <w:rPr>
          <w:rFonts w:hint="default" w:ascii="Times New Roman" w:hAnsi="Times New Roman" w:eastAsia="宋体" w:cs="Times New Roman"/>
          <w:b/>
          <w:bCs/>
          <w:color w:val="auto"/>
          <w:spacing w:val="-1"/>
          <w:sz w:val="24"/>
          <w:szCs w:val="24"/>
          <w:highlight w:val="none"/>
          <w:lang w:val="zh-CN" w:eastAsia="zh-CN"/>
        </w:rPr>
        <w:t>.1大气污染物</w:t>
      </w:r>
      <w:r>
        <w:rPr>
          <w:rFonts w:hint="default" w:ascii="Times New Roman" w:hAnsi="Times New Roman" w:eastAsia="宋体" w:cs="Times New Roman"/>
          <w:b/>
          <w:bCs/>
          <w:color w:val="auto"/>
          <w:spacing w:val="-1"/>
          <w:sz w:val="24"/>
          <w:szCs w:val="24"/>
          <w:highlight w:val="none"/>
          <w:lang w:val="en-US" w:eastAsia="zh-CN"/>
        </w:rPr>
        <w:t>有组织排放量核算</w:t>
      </w:r>
    </w:p>
    <w:p w14:paraId="0278DC9E">
      <w:pPr>
        <w:pStyle w:val="40"/>
        <w:pageBreakBefore w:val="0"/>
        <w:kinsoku/>
        <w:wordWrap/>
        <w:overflowPunct/>
        <w:topLinePunct w:val="0"/>
        <w:bidi w:val="0"/>
        <w:adjustRightInd/>
        <w:snapToGrid/>
        <w:spacing w:line="360" w:lineRule="auto"/>
        <w:ind w:firstLine="480" w:firstLineChars="200"/>
        <w:jc w:val="both"/>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本项目大气污染物有组织排放量核算详见表5.2-1。</w:t>
      </w:r>
    </w:p>
    <w:p w14:paraId="3892B550">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rFonts w:hint="default" w:ascii="Times New Roman" w:hAnsi="Times New Roman" w:eastAsia="宋体" w:cs="Times New Roman"/>
          <w:b/>
          <w:color w:val="0000FF"/>
          <w:kern w:val="2"/>
          <w:sz w:val="24"/>
          <w:szCs w:val="24"/>
          <w:highlight w:val="none"/>
          <w:lang w:val="en-US" w:eastAsia="zh-CN" w:bidi="ar-SA"/>
        </w:rPr>
      </w:pPr>
      <w:r>
        <w:rPr>
          <w:rFonts w:hint="default" w:ascii="Times New Roman" w:hAnsi="Times New Roman" w:eastAsia="宋体" w:cs="Times New Roman"/>
          <w:b/>
          <w:color w:val="0000FF"/>
          <w:kern w:val="2"/>
          <w:sz w:val="24"/>
          <w:szCs w:val="24"/>
          <w:highlight w:val="none"/>
          <w:lang w:val="en-US" w:eastAsia="zh-CN" w:bidi="ar-SA"/>
        </w:rPr>
        <w:t>表</w:t>
      </w:r>
      <w:r>
        <w:rPr>
          <w:rFonts w:hint="default" w:ascii="Times New Roman" w:hAnsi="Times New Roman" w:eastAsia="宋体" w:cs="Times New Roman"/>
          <w:b/>
          <w:color w:val="0000FF"/>
          <w:sz w:val="24"/>
          <w:highlight w:val="none"/>
        </w:rPr>
        <w:t>5</w:t>
      </w:r>
      <w:r>
        <w:rPr>
          <w:rFonts w:hint="default" w:ascii="Times New Roman" w:hAnsi="Times New Roman" w:eastAsia="宋体" w:cs="Times New Roman"/>
          <w:b/>
          <w:color w:val="0000FF"/>
          <w:sz w:val="24"/>
          <w:highlight w:val="none"/>
          <w:lang w:val="en-US" w:eastAsia="zh-CN"/>
        </w:rPr>
        <w:t>.</w:t>
      </w:r>
      <w:r>
        <w:rPr>
          <w:rFonts w:hint="default" w:ascii="Times New Roman" w:hAnsi="Times New Roman" w:eastAsia="宋体" w:cs="Times New Roman"/>
          <w:b/>
          <w:color w:val="0000FF"/>
          <w:sz w:val="24"/>
          <w:highlight w:val="none"/>
        </w:rPr>
        <w:t>2-</w:t>
      </w:r>
      <w:r>
        <w:rPr>
          <w:rFonts w:hint="default" w:ascii="Times New Roman" w:hAnsi="Times New Roman" w:eastAsia="宋体" w:cs="Times New Roman"/>
          <w:b/>
          <w:color w:val="0000FF"/>
          <w:sz w:val="24"/>
          <w:highlight w:val="none"/>
          <w:lang w:val="en-US" w:eastAsia="zh-CN"/>
        </w:rPr>
        <w:t xml:space="preserve">1 </w:t>
      </w:r>
      <w:r>
        <w:rPr>
          <w:rFonts w:hint="default" w:ascii="Times New Roman" w:hAnsi="Times New Roman" w:eastAsia="宋体" w:cs="Times New Roman"/>
          <w:b/>
          <w:color w:val="0000FF"/>
          <w:kern w:val="2"/>
          <w:sz w:val="24"/>
          <w:szCs w:val="24"/>
          <w:highlight w:val="none"/>
          <w:lang w:val="en-US" w:eastAsia="zh-CN" w:bidi="ar-SA"/>
        </w:rPr>
        <w:t>大气污染物有组织排放量核算一览表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2127"/>
        <w:gridCol w:w="1071"/>
        <w:gridCol w:w="1526"/>
        <w:gridCol w:w="1520"/>
        <w:gridCol w:w="1627"/>
      </w:tblGrid>
      <w:tr w14:paraId="3D3ECB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blHeader/>
          <w:jc w:val="center"/>
        </w:trPr>
        <w:tc>
          <w:tcPr>
            <w:tcW w:w="656" w:type="dxa"/>
            <w:vAlign w:val="center"/>
          </w:tcPr>
          <w:p w14:paraId="5263918A">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0000FF"/>
                <w:sz w:val="21"/>
                <w:szCs w:val="21"/>
                <w:highlight w:val="none"/>
              </w:rPr>
            </w:pPr>
            <w:r>
              <w:rPr>
                <w:rFonts w:hint="default" w:ascii="Times New Roman" w:hAnsi="Times New Roman" w:eastAsia="宋体" w:cs="Times New Roman"/>
                <w:b/>
                <w:bCs/>
                <w:color w:val="0000FF"/>
                <w:sz w:val="21"/>
                <w:szCs w:val="21"/>
                <w:highlight w:val="none"/>
              </w:rPr>
              <w:t>序号</w:t>
            </w:r>
          </w:p>
        </w:tc>
        <w:tc>
          <w:tcPr>
            <w:tcW w:w="2127" w:type="dxa"/>
            <w:vAlign w:val="center"/>
          </w:tcPr>
          <w:p w14:paraId="70570FBA">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0000FF"/>
                <w:sz w:val="21"/>
                <w:szCs w:val="21"/>
                <w:highlight w:val="none"/>
              </w:rPr>
            </w:pPr>
            <w:r>
              <w:rPr>
                <w:rFonts w:hint="default" w:ascii="Times New Roman" w:hAnsi="Times New Roman" w:eastAsia="宋体" w:cs="Times New Roman"/>
                <w:b/>
                <w:bCs/>
                <w:color w:val="0000FF"/>
                <w:sz w:val="21"/>
                <w:szCs w:val="21"/>
                <w:highlight w:val="none"/>
              </w:rPr>
              <w:t>排放口编号</w:t>
            </w:r>
          </w:p>
        </w:tc>
        <w:tc>
          <w:tcPr>
            <w:tcW w:w="1071" w:type="dxa"/>
            <w:vAlign w:val="center"/>
          </w:tcPr>
          <w:p w14:paraId="625A3880">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0000FF"/>
                <w:sz w:val="21"/>
                <w:szCs w:val="21"/>
                <w:highlight w:val="none"/>
              </w:rPr>
            </w:pPr>
            <w:r>
              <w:rPr>
                <w:rFonts w:hint="default" w:ascii="Times New Roman" w:hAnsi="Times New Roman" w:eastAsia="宋体" w:cs="Times New Roman"/>
                <w:b/>
                <w:bCs/>
                <w:color w:val="0000FF"/>
                <w:sz w:val="21"/>
                <w:szCs w:val="21"/>
                <w:highlight w:val="none"/>
              </w:rPr>
              <w:t>污染物</w:t>
            </w:r>
          </w:p>
        </w:tc>
        <w:tc>
          <w:tcPr>
            <w:tcW w:w="1526" w:type="dxa"/>
            <w:vAlign w:val="center"/>
          </w:tcPr>
          <w:p w14:paraId="5E0639D4">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0000FF"/>
                <w:sz w:val="21"/>
                <w:szCs w:val="21"/>
                <w:highlight w:val="none"/>
              </w:rPr>
            </w:pPr>
            <w:r>
              <w:rPr>
                <w:rFonts w:hint="default" w:ascii="Times New Roman" w:hAnsi="Times New Roman" w:eastAsia="宋体" w:cs="Times New Roman"/>
                <w:b/>
                <w:bCs/>
                <w:color w:val="0000FF"/>
                <w:sz w:val="21"/>
                <w:szCs w:val="21"/>
                <w:highlight w:val="none"/>
              </w:rPr>
              <w:t>核算排放浓度/（</w:t>
            </w:r>
            <w:r>
              <w:rPr>
                <w:rFonts w:hint="default" w:ascii="Times New Roman" w:hAnsi="Times New Roman" w:eastAsia="宋体" w:cs="Times New Roman"/>
                <w:b/>
                <w:bCs/>
                <w:color w:val="0000FF"/>
                <w:sz w:val="21"/>
                <w:szCs w:val="21"/>
                <w:highlight w:val="none"/>
                <w:lang w:eastAsia="zh-CN"/>
              </w:rPr>
              <w:t>m</w:t>
            </w:r>
            <w:r>
              <w:rPr>
                <w:rFonts w:hint="default" w:ascii="Times New Roman" w:hAnsi="Times New Roman" w:eastAsia="宋体" w:cs="Times New Roman"/>
                <w:b/>
                <w:bCs/>
                <w:color w:val="0000FF"/>
                <w:sz w:val="21"/>
                <w:szCs w:val="21"/>
                <w:highlight w:val="none"/>
              </w:rPr>
              <w:t>g/m</w:t>
            </w:r>
            <w:r>
              <w:rPr>
                <w:rFonts w:hint="default" w:ascii="Times New Roman" w:hAnsi="Times New Roman" w:eastAsia="宋体" w:cs="Times New Roman"/>
                <w:b/>
                <w:bCs/>
                <w:color w:val="0000FF"/>
                <w:sz w:val="21"/>
                <w:szCs w:val="21"/>
                <w:highlight w:val="none"/>
                <w:vertAlign w:val="superscript"/>
              </w:rPr>
              <w:t>3</w:t>
            </w:r>
            <w:r>
              <w:rPr>
                <w:rFonts w:hint="default" w:ascii="Times New Roman" w:hAnsi="Times New Roman" w:eastAsia="宋体" w:cs="Times New Roman"/>
                <w:b/>
                <w:bCs/>
                <w:color w:val="0000FF"/>
                <w:sz w:val="21"/>
                <w:szCs w:val="21"/>
                <w:highlight w:val="none"/>
              </w:rPr>
              <w:t>）</w:t>
            </w:r>
          </w:p>
        </w:tc>
        <w:tc>
          <w:tcPr>
            <w:tcW w:w="1520" w:type="dxa"/>
            <w:vAlign w:val="center"/>
          </w:tcPr>
          <w:p w14:paraId="7CDC054D">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0000FF"/>
                <w:sz w:val="21"/>
                <w:szCs w:val="21"/>
                <w:highlight w:val="none"/>
              </w:rPr>
            </w:pPr>
            <w:r>
              <w:rPr>
                <w:rFonts w:hint="default" w:ascii="Times New Roman" w:hAnsi="Times New Roman" w:eastAsia="宋体" w:cs="Times New Roman"/>
                <w:b/>
                <w:bCs/>
                <w:color w:val="0000FF"/>
                <w:sz w:val="21"/>
                <w:szCs w:val="21"/>
                <w:highlight w:val="none"/>
              </w:rPr>
              <w:t>核算排放速率/（kg/h）</w:t>
            </w:r>
          </w:p>
        </w:tc>
        <w:tc>
          <w:tcPr>
            <w:tcW w:w="1627" w:type="dxa"/>
            <w:vAlign w:val="center"/>
          </w:tcPr>
          <w:p w14:paraId="4D2C0260">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0000FF"/>
                <w:sz w:val="21"/>
                <w:szCs w:val="21"/>
                <w:highlight w:val="none"/>
              </w:rPr>
            </w:pPr>
            <w:r>
              <w:rPr>
                <w:rFonts w:hint="default" w:ascii="Times New Roman" w:hAnsi="Times New Roman" w:eastAsia="宋体" w:cs="Times New Roman"/>
                <w:b/>
                <w:bCs/>
                <w:color w:val="0000FF"/>
                <w:sz w:val="21"/>
                <w:szCs w:val="21"/>
                <w:highlight w:val="none"/>
              </w:rPr>
              <w:t>核算年排放量/（t/a）</w:t>
            </w:r>
          </w:p>
        </w:tc>
      </w:tr>
      <w:tr w14:paraId="755F24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56" w:type="dxa"/>
            <w:vMerge w:val="restart"/>
            <w:vAlign w:val="center"/>
          </w:tcPr>
          <w:p w14:paraId="4B3ED7AB">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val="0"/>
                <w:bCs w:val="0"/>
                <w:color w:val="0000FF"/>
                <w:kern w:val="2"/>
                <w:sz w:val="21"/>
                <w:szCs w:val="21"/>
                <w:highlight w:val="none"/>
                <w:lang w:val="en-US" w:eastAsia="zh-CN" w:bidi="ar-SA"/>
              </w:rPr>
            </w:pPr>
            <w:r>
              <w:rPr>
                <w:rFonts w:hint="default" w:ascii="Times New Roman" w:hAnsi="Times New Roman" w:eastAsia="宋体" w:cs="Times New Roman"/>
                <w:color w:val="0000FF"/>
                <w:sz w:val="21"/>
                <w:szCs w:val="21"/>
                <w:highlight w:val="none"/>
                <w:lang w:eastAsia="zh-CN"/>
              </w:rPr>
              <w:t>1</w:t>
            </w:r>
          </w:p>
        </w:tc>
        <w:tc>
          <w:tcPr>
            <w:tcW w:w="2127" w:type="dxa"/>
            <w:vMerge w:val="restart"/>
            <w:vAlign w:val="center"/>
          </w:tcPr>
          <w:p w14:paraId="08C2498F">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0000FF"/>
                <w:sz w:val="21"/>
                <w:szCs w:val="21"/>
                <w:highlight w:val="none"/>
                <w:lang w:eastAsia="zh-CN"/>
              </w:rPr>
            </w:pPr>
            <w:r>
              <w:rPr>
                <w:rFonts w:hint="eastAsia" w:ascii="Times New Roman" w:hAnsi="Times New Roman" w:eastAsia="宋体" w:cs="Times New Roman"/>
                <w:bCs/>
                <w:snapToGrid w:val="0"/>
                <w:color w:val="0000FF"/>
                <w:kern w:val="0"/>
                <w:sz w:val="21"/>
                <w:szCs w:val="21"/>
                <w:highlight w:val="none"/>
                <w:lang w:val="en-US" w:eastAsia="zh-CN"/>
              </w:rPr>
              <w:t>粪污储存间</w:t>
            </w:r>
            <w:r>
              <w:rPr>
                <w:rFonts w:hint="default" w:ascii="Times New Roman" w:hAnsi="Times New Roman" w:eastAsia="宋体" w:cs="Times New Roman"/>
                <w:bCs/>
                <w:snapToGrid w:val="0"/>
                <w:color w:val="0000FF"/>
                <w:kern w:val="0"/>
                <w:sz w:val="21"/>
                <w:szCs w:val="21"/>
                <w:highlight w:val="none"/>
              </w:rPr>
              <w:t>排气筒</w:t>
            </w:r>
          </w:p>
        </w:tc>
        <w:tc>
          <w:tcPr>
            <w:tcW w:w="1071" w:type="dxa"/>
            <w:vAlign w:val="center"/>
          </w:tcPr>
          <w:p w14:paraId="3D5FDF1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0000FF"/>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1526" w:type="dxa"/>
            <w:vAlign w:val="center"/>
          </w:tcPr>
          <w:p w14:paraId="7E5138C2">
            <w:pPr>
              <w:pStyle w:val="38"/>
              <w:pageBreakBefore w:val="0"/>
              <w:wordWrap/>
              <w:topLinePunct w:val="0"/>
              <w:bidi w:val="0"/>
              <w:adjustRightInd/>
              <w:snapToGrid/>
              <w:spacing w:line="240" w:lineRule="auto"/>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sz w:val="21"/>
                <w:szCs w:val="21"/>
                <w:highlight w:val="none"/>
                <w:lang w:val="en-US" w:eastAsia="zh-CN"/>
              </w:rPr>
              <w:t>2.94</w:t>
            </w:r>
          </w:p>
        </w:tc>
        <w:tc>
          <w:tcPr>
            <w:tcW w:w="1520" w:type="dxa"/>
            <w:vAlign w:val="center"/>
          </w:tcPr>
          <w:p w14:paraId="6EA59875">
            <w:pPr>
              <w:pStyle w:val="38"/>
              <w:pageBreakBefore w:val="0"/>
              <w:wordWrap/>
              <w:topLinePunct w:val="0"/>
              <w:bidi w:val="0"/>
              <w:adjustRightInd/>
              <w:snapToGrid/>
              <w:spacing w:line="240" w:lineRule="auto"/>
              <w:jc w:val="center"/>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2.94</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-3</w:t>
            </w:r>
          </w:p>
        </w:tc>
        <w:tc>
          <w:tcPr>
            <w:tcW w:w="1627" w:type="dxa"/>
            <w:vAlign w:val="center"/>
          </w:tcPr>
          <w:p w14:paraId="12098149">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b w:val="0"/>
                <w:bCs w:val="0"/>
                <w:color w:val="0000FF"/>
                <w:kern w:val="2"/>
                <w:sz w:val="21"/>
                <w:szCs w:val="21"/>
                <w:highlight w:val="none"/>
                <w:lang w:val="en-US" w:eastAsia="zh-CN" w:bidi="ar-SA"/>
              </w:rPr>
            </w:pPr>
            <w:r>
              <w:rPr>
                <w:rFonts w:hint="eastAsia" w:ascii="Times New Roman" w:hAnsi="Times New Roman" w:eastAsia="宋体" w:cs="Times New Roman"/>
                <w:snapToGrid w:val="0"/>
                <w:color w:val="0000FF"/>
                <w:sz w:val="21"/>
                <w:szCs w:val="21"/>
                <w:highlight w:val="none"/>
                <w:lang w:val="en-US" w:eastAsia="zh-CN"/>
              </w:rPr>
              <w:t>2.58×10</w:t>
            </w:r>
            <w:r>
              <w:rPr>
                <w:rFonts w:hint="eastAsia" w:ascii="Times New Roman" w:hAnsi="Times New Roman" w:eastAsia="宋体" w:cs="Times New Roman"/>
                <w:snapToGrid w:val="0"/>
                <w:color w:val="0000FF"/>
                <w:sz w:val="21"/>
                <w:szCs w:val="21"/>
                <w:highlight w:val="none"/>
                <w:vertAlign w:val="superscript"/>
                <w:lang w:val="en-US" w:eastAsia="zh-CN"/>
              </w:rPr>
              <w:t>-2</w:t>
            </w:r>
          </w:p>
        </w:tc>
      </w:tr>
      <w:tr w14:paraId="5DB6D7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56" w:type="dxa"/>
            <w:vMerge w:val="continue"/>
            <w:vAlign w:val="center"/>
          </w:tcPr>
          <w:p w14:paraId="14F94E80">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0000FF"/>
                <w:sz w:val="21"/>
                <w:szCs w:val="21"/>
                <w:highlight w:val="none"/>
                <w:lang w:eastAsia="zh-CN"/>
              </w:rPr>
            </w:pPr>
          </w:p>
        </w:tc>
        <w:tc>
          <w:tcPr>
            <w:tcW w:w="2127" w:type="dxa"/>
            <w:vMerge w:val="continue"/>
            <w:vAlign w:val="center"/>
          </w:tcPr>
          <w:p w14:paraId="02452A19">
            <w:pPr>
              <w:pStyle w:val="62"/>
              <w:pageBreakBefore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Cs/>
                <w:snapToGrid w:val="0"/>
                <w:color w:val="0000FF"/>
                <w:kern w:val="0"/>
                <w:sz w:val="21"/>
                <w:szCs w:val="21"/>
                <w:highlight w:val="none"/>
                <w:lang w:val="en-US" w:eastAsia="zh-CN"/>
              </w:rPr>
            </w:pPr>
          </w:p>
        </w:tc>
        <w:tc>
          <w:tcPr>
            <w:tcW w:w="1071" w:type="dxa"/>
            <w:vAlign w:val="center"/>
          </w:tcPr>
          <w:p w14:paraId="5BBEBC2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1526" w:type="dxa"/>
            <w:shd w:val="clear" w:color="auto" w:fill="auto"/>
            <w:vAlign w:val="center"/>
          </w:tcPr>
          <w:p w14:paraId="4B930AB8">
            <w:pPr>
              <w:keepNext w:val="0"/>
              <w:keepLines w:val="0"/>
              <w:pageBreakBefore w:val="0"/>
              <w:kinsoku/>
              <w:wordWrap/>
              <w:overflowPunct/>
              <w:topLinePunct w:val="0"/>
              <w:bidi w:val="0"/>
              <w:adjustRightInd/>
              <w:snapToGrid/>
              <w:spacing w:line="240" w:lineRule="auto"/>
              <w:jc w:val="center"/>
              <w:rPr>
                <w:rFonts w:hint="default" w:ascii="Times New Roman" w:hAnsi="Times New Roman" w:eastAsia="宋体" w:cs="Times New Roman"/>
                <w:snapToGrid w:val="0"/>
                <w:color w:val="0000FF"/>
                <w:kern w:val="0"/>
                <w:sz w:val="21"/>
                <w:szCs w:val="21"/>
                <w:highlight w:val="none"/>
                <w:lang w:val="en-US" w:eastAsia="zh-CN" w:bidi="ar-SA"/>
              </w:rPr>
            </w:pPr>
            <w:r>
              <w:rPr>
                <w:rFonts w:hint="eastAsia" w:ascii="Times New Roman" w:hAnsi="Times New Roman" w:eastAsia="宋体" w:cs="Times New Roman"/>
                <w:snapToGrid w:val="0"/>
                <w:color w:val="0000FF"/>
                <w:sz w:val="21"/>
                <w:szCs w:val="21"/>
                <w:highlight w:val="none"/>
                <w:lang w:val="en-US" w:eastAsia="zh-CN"/>
              </w:rPr>
              <w:t>0.0217</w:t>
            </w:r>
          </w:p>
        </w:tc>
        <w:tc>
          <w:tcPr>
            <w:tcW w:w="1520" w:type="dxa"/>
            <w:shd w:val="clear" w:color="auto" w:fill="auto"/>
            <w:vAlign w:val="center"/>
          </w:tcPr>
          <w:p w14:paraId="0C620407">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snapToGrid w:val="0"/>
                <w:color w:val="0000FF"/>
                <w:kern w:val="2"/>
                <w:sz w:val="21"/>
                <w:szCs w:val="21"/>
                <w:highlight w:val="none"/>
                <w:lang w:val="en-US" w:eastAsia="zh-CN" w:bidi="ar-SA"/>
              </w:rPr>
            </w:pPr>
            <w:r>
              <w:rPr>
                <w:rFonts w:hint="eastAsia" w:ascii="Times New Roman" w:hAnsi="Times New Roman" w:eastAsia="宋体" w:cs="Times New Roman"/>
                <w:snapToGrid w:val="0"/>
                <w:color w:val="0000FF"/>
                <w:kern w:val="2"/>
                <w:sz w:val="21"/>
                <w:szCs w:val="21"/>
                <w:highlight w:val="none"/>
                <w:lang w:val="en-US" w:eastAsia="zh-CN" w:bidi="ar-SA"/>
              </w:rPr>
              <w:t>2.17</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-5</w:t>
            </w:r>
          </w:p>
        </w:tc>
        <w:tc>
          <w:tcPr>
            <w:tcW w:w="1627" w:type="dxa"/>
            <w:shd w:val="clear" w:color="auto" w:fill="auto"/>
            <w:vAlign w:val="center"/>
          </w:tcPr>
          <w:p w14:paraId="790C9A64">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snapToGrid w:val="0"/>
                <w:color w:val="0000FF"/>
                <w:kern w:val="0"/>
                <w:sz w:val="21"/>
                <w:szCs w:val="21"/>
                <w:highlight w:val="none"/>
                <w:lang w:val="en-US" w:eastAsia="zh-CN" w:bidi="ar-SA"/>
              </w:rPr>
            </w:pPr>
            <w:r>
              <w:rPr>
                <w:rFonts w:hint="eastAsia" w:ascii="Times New Roman" w:hAnsi="Times New Roman" w:eastAsia="宋体" w:cs="Times New Roman"/>
                <w:snapToGrid w:val="0"/>
                <w:color w:val="0000FF"/>
                <w:sz w:val="21"/>
                <w:szCs w:val="21"/>
                <w:highlight w:val="none"/>
                <w:lang w:val="en-US" w:eastAsia="zh-CN"/>
              </w:rPr>
              <w:t>1.9×10</w:t>
            </w:r>
            <w:r>
              <w:rPr>
                <w:rFonts w:hint="eastAsia" w:ascii="Times New Roman" w:hAnsi="Times New Roman" w:eastAsia="宋体" w:cs="Times New Roman"/>
                <w:snapToGrid w:val="0"/>
                <w:color w:val="0000FF"/>
                <w:sz w:val="21"/>
                <w:szCs w:val="21"/>
                <w:highlight w:val="none"/>
                <w:vertAlign w:val="superscript"/>
                <w:lang w:val="en-US" w:eastAsia="zh-CN"/>
              </w:rPr>
              <w:t>-4</w:t>
            </w:r>
          </w:p>
        </w:tc>
      </w:tr>
      <w:tr w14:paraId="09A537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783" w:type="dxa"/>
            <w:gridSpan w:val="2"/>
            <w:vMerge w:val="restart"/>
            <w:vAlign w:val="center"/>
          </w:tcPr>
          <w:p w14:paraId="749FD75B">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color w:val="0000FF"/>
                <w:szCs w:val="21"/>
                <w:highlight w:val="none"/>
              </w:rPr>
              <w:t>有组织排放总计</w:t>
            </w:r>
          </w:p>
        </w:tc>
        <w:tc>
          <w:tcPr>
            <w:tcW w:w="4117" w:type="dxa"/>
            <w:gridSpan w:val="3"/>
            <w:vAlign w:val="center"/>
          </w:tcPr>
          <w:p w14:paraId="098EBFE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1627" w:type="dxa"/>
            <w:vAlign w:val="center"/>
          </w:tcPr>
          <w:p w14:paraId="1F8300E4">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2.58×10</w:t>
            </w:r>
            <w:r>
              <w:rPr>
                <w:rFonts w:hint="eastAsia" w:ascii="Times New Roman" w:hAnsi="Times New Roman" w:eastAsia="宋体" w:cs="Times New Roman"/>
                <w:snapToGrid w:val="0"/>
                <w:color w:val="0000FF"/>
                <w:sz w:val="21"/>
                <w:szCs w:val="21"/>
                <w:highlight w:val="none"/>
                <w:vertAlign w:val="superscript"/>
                <w:lang w:val="en-US" w:eastAsia="zh-CN"/>
              </w:rPr>
              <w:t>-2</w:t>
            </w:r>
          </w:p>
        </w:tc>
      </w:tr>
      <w:tr w14:paraId="04566D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783" w:type="dxa"/>
            <w:gridSpan w:val="2"/>
            <w:vMerge w:val="continue"/>
            <w:vAlign w:val="center"/>
          </w:tcPr>
          <w:p w14:paraId="1781DB7C">
            <w:pPr>
              <w:pStyle w:val="62"/>
              <w:pageBreakBefore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0000FF"/>
                <w:szCs w:val="21"/>
                <w:highlight w:val="none"/>
              </w:rPr>
            </w:pPr>
          </w:p>
        </w:tc>
        <w:tc>
          <w:tcPr>
            <w:tcW w:w="4117" w:type="dxa"/>
            <w:gridSpan w:val="3"/>
            <w:vAlign w:val="center"/>
          </w:tcPr>
          <w:p w14:paraId="2113049B">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FF"/>
                <w:sz w:val="21"/>
                <w:szCs w:val="21"/>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1627" w:type="dxa"/>
            <w:vAlign w:val="center"/>
          </w:tcPr>
          <w:p w14:paraId="6BF7CC38">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1.9×10</w:t>
            </w:r>
            <w:r>
              <w:rPr>
                <w:rFonts w:hint="eastAsia" w:ascii="Times New Roman" w:hAnsi="Times New Roman" w:eastAsia="宋体" w:cs="Times New Roman"/>
                <w:snapToGrid w:val="0"/>
                <w:color w:val="0000FF"/>
                <w:sz w:val="21"/>
                <w:szCs w:val="21"/>
                <w:highlight w:val="none"/>
                <w:vertAlign w:val="superscript"/>
                <w:lang w:val="en-US" w:eastAsia="zh-CN"/>
              </w:rPr>
              <w:t>-4</w:t>
            </w:r>
          </w:p>
        </w:tc>
      </w:tr>
    </w:tbl>
    <w:p w14:paraId="37632DEF">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pacing w:val="-1"/>
          <w:sz w:val="24"/>
          <w:szCs w:val="24"/>
          <w:highlight w:val="none"/>
          <w:lang w:val="zh-CN" w:eastAsia="zh-CN"/>
        </w:rPr>
        <w:t>5.2.2.</w:t>
      </w:r>
      <w:r>
        <w:rPr>
          <w:rFonts w:hint="eastAsia" w:ascii="Times New Roman" w:hAnsi="Times New Roman" w:eastAsia="宋体" w:cs="Times New Roman"/>
          <w:b/>
          <w:bCs/>
          <w:color w:val="auto"/>
          <w:spacing w:val="-1"/>
          <w:sz w:val="24"/>
          <w:szCs w:val="24"/>
          <w:highlight w:val="none"/>
          <w:lang w:val="en-US" w:eastAsia="zh-CN"/>
        </w:rPr>
        <w:t>2</w:t>
      </w:r>
      <w:r>
        <w:rPr>
          <w:rFonts w:hint="default" w:ascii="Times New Roman" w:hAnsi="Times New Roman" w:eastAsia="宋体" w:cs="Times New Roman"/>
          <w:b/>
          <w:bCs/>
          <w:color w:val="auto"/>
          <w:sz w:val="24"/>
          <w:highlight w:val="none"/>
          <w:lang w:val="en-US" w:eastAsia="zh-CN"/>
        </w:rPr>
        <w:t>大气污染物无组织排放量核算</w:t>
      </w:r>
    </w:p>
    <w:p w14:paraId="5AAB2B3B">
      <w:pPr>
        <w:keepNext w:val="0"/>
        <w:keepLines w:val="0"/>
        <w:pageBreakBefore w:val="0"/>
        <w:widowControl/>
        <w:kinsoku/>
        <w:wordWrap/>
        <w:overflowPunct/>
        <w:topLinePunct w:val="0"/>
        <w:autoSpaceDE w:val="0"/>
        <w:autoSpaceDN w:val="0"/>
        <w:bidi w:val="0"/>
        <w:adjustRightInd/>
        <w:snapToGrid/>
        <w:spacing w:line="240" w:lineRule="auto"/>
        <w:ind w:firstLine="482"/>
        <w:jc w:val="center"/>
        <w:textAlignment w:val="baseline"/>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kern w:val="2"/>
          <w:sz w:val="24"/>
          <w:szCs w:val="24"/>
          <w:highlight w:val="none"/>
          <w:lang w:val="en-US" w:eastAsia="zh-CN" w:bidi="ar-SA"/>
        </w:rPr>
        <w:t>表5.2-</w:t>
      </w:r>
      <w:r>
        <w:rPr>
          <w:rFonts w:hint="eastAsia" w:ascii="Times New Roman" w:hAnsi="Times New Roman" w:eastAsia="宋体" w:cs="Times New Roman"/>
          <w:b/>
          <w:color w:val="auto"/>
          <w:kern w:val="2"/>
          <w:sz w:val="24"/>
          <w:szCs w:val="24"/>
          <w:highlight w:val="none"/>
          <w:lang w:val="en-US" w:eastAsia="zh-CN" w:bidi="ar-SA"/>
        </w:rPr>
        <w:t>2</w:t>
      </w:r>
      <w:r>
        <w:rPr>
          <w:rFonts w:hint="default" w:ascii="Times New Roman" w:hAnsi="Times New Roman" w:eastAsia="宋体" w:cs="Times New Roman"/>
          <w:b/>
          <w:color w:val="auto"/>
          <w:kern w:val="2"/>
          <w:sz w:val="24"/>
          <w:szCs w:val="24"/>
          <w:highlight w:val="none"/>
          <w:lang w:val="en-US" w:eastAsia="zh-CN" w:bidi="ar-SA"/>
        </w:rPr>
        <w:t xml:space="preserve"> 大气污染物无组织排放量核算一览表</w:t>
      </w:r>
    </w:p>
    <w:tbl>
      <w:tblPr>
        <w:tblStyle w:val="26"/>
        <w:tblW w:w="5085"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614"/>
        <w:gridCol w:w="936"/>
        <w:gridCol w:w="744"/>
        <w:gridCol w:w="864"/>
        <w:gridCol w:w="1429"/>
        <w:gridCol w:w="1575"/>
        <w:gridCol w:w="1234"/>
        <w:gridCol w:w="1276"/>
      </w:tblGrid>
      <w:tr w14:paraId="331C79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blHeader/>
          <w:jc w:val="center"/>
        </w:trPr>
        <w:tc>
          <w:tcPr>
            <w:tcW w:w="614" w:type="dxa"/>
            <w:vMerge w:val="restart"/>
            <w:vAlign w:val="center"/>
          </w:tcPr>
          <w:p w14:paraId="0B9C4030">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936" w:type="dxa"/>
            <w:vMerge w:val="restart"/>
            <w:vAlign w:val="center"/>
          </w:tcPr>
          <w:p w14:paraId="19FD03A6">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排放口编号</w:t>
            </w:r>
          </w:p>
        </w:tc>
        <w:tc>
          <w:tcPr>
            <w:tcW w:w="744" w:type="dxa"/>
            <w:vMerge w:val="restart"/>
            <w:vAlign w:val="center"/>
          </w:tcPr>
          <w:p w14:paraId="715F11FB">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产污环节</w:t>
            </w:r>
          </w:p>
        </w:tc>
        <w:tc>
          <w:tcPr>
            <w:tcW w:w="864" w:type="dxa"/>
            <w:vMerge w:val="restart"/>
            <w:vAlign w:val="center"/>
          </w:tcPr>
          <w:p w14:paraId="05A35398">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污染物</w:t>
            </w:r>
          </w:p>
        </w:tc>
        <w:tc>
          <w:tcPr>
            <w:tcW w:w="1429" w:type="dxa"/>
            <w:vMerge w:val="restart"/>
            <w:vAlign w:val="center"/>
          </w:tcPr>
          <w:p w14:paraId="1D35E267">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主要污染防治措施</w:t>
            </w:r>
          </w:p>
        </w:tc>
        <w:tc>
          <w:tcPr>
            <w:tcW w:w="2809" w:type="dxa"/>
            <w:gridSpan w:val="2"/>
            <w:vAlign w:val="center"/>
          </w:tcPr>
          <w:p w14:paraId="5B84F430">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污染物排放标准</w:t>
            </w:r>
          </w:p>
        </w:tc>
        <w:tc>
          <w:tcPr>
            <w:tcW w:w="1276" w:type="dxa"/>
            <w:vMerge w:val="restart"/>
            <w:vAlign w:val="center"/>
          </w:tcPr>
          <w:p w14:paraId="25862C7C">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年排放量</w:t>
            </w:r>
          </w:p>
          <w:p w14:paraId="5318360F">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（t/a）</w:t>
            </w:r>
          </w:p>
        </w:tc>
      </w:tr>
      <w:tr w14:paraId="2D1BA15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tblHeader/>
          <w:jc w:val="center"/>
        </w:trPr>
        <w:tc>
          <w:tcPr>
            <w:tcW w:w="614" w:type="dxa"/>
            <w:vMerge w:val="continue"/>
            <w:vAlign w:val="center"/>
          </w:tcPr>
          <w:p w14:paraId="2E92F21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936" w:type="dxa"/>
            <w:vMerge w:val="continue"/>
            <w:vAlign w:val="center"/>
          </w:tcPr>
          <w:p w14:paraId="348FE20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744" w:type="dxa"/>
            <w:vMerge w:val="continue"/>
            <w:vAlign w:val="center"/>
          </w:tcPr>
          <w:p w14:paraId="372A6DC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864" w:type="dxa"/>
            <w:vMerge w:val="continue"/>
            <w:vAlign w:val="center"/>
          </w:tcPr>
          <w:p w14:paraId="2335264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1429" w:type="dxa"/>
            <w:vMerge w:val="continue"/>
            <w:vAlign w:val="center"/>
          </w:tcPr>
          <w:p w14:paraId="37E2CFE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1575" w:type="dxa"/>
            <w:vAlign w:val="center"/>
          </w:tcPr>
          <w:p w14:paraId="304BE998">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标准名称</w:t>
            </w:r>
          </w:p>
        </w:tc>
        <w:tc>
          <w:tcPr>
            <w:tcW w:w="1234" w:type="dxa"/>
            <w:vAlign w:val="center"/>
          </w:tcPr>
          <w:p w14:paraId="35E9A37F">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浓度限值/（μg/m</w:t>
            </w:r>
            <w:r>
              <w:rPr>
                <w:rFonts w:hint="default" w:ascii="Times New Roman" w:hAnsi="Times New Roman" w:eastAsia="宋体" w:cs="Times New Roman"/>
                <w:b/>
                <w:bCs/>
                <w:color w:val="auto"/>
                <w:sz w:val="21"/>
                <w:szCs w:val="21"/>
                <w:highlight w:val="none"/>
                <w:vertAlign w:val="superscript"/>
              </w:rPr>
              <w:t>3</w:t>
            </w:r>
            <w:r>
              <w:rPr>
                <w:rFonts w:hint="default" w:ascii="Times New Roman" w:hAnsi="Times New Roman" w:eastAsia="宋体" w:cs="Times New Roman"/>
                <w:b/>
                <w:bCs/>
                <w:color w:val="auto"/>
                <w:sz w:val="21"/>
                <w:szCs w:val="21"/>
                <w:highlight w:val="none"/>
              </w:rPr>
              <w:t>）</w:t>
            </w:r>
          </w:p>
        </w:tc>
        <w:tc>
          <w:tcPr>
            <w:tcW w:w="1276" w:type="dxa"/>
            <w:vMerge w:val="continue"/>
            <w:vAlign w:val="center"/>
          </w:tcPr>
          <w:p w14:paraId="5585122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r>
      <w:tr w14:paraId="0E2C644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14" w:type="dxa"/>
            <w:vMerge w:val="restart"/>
            <w:vAlign w:val="center"/>
          </w:tcPr>
          <w:p w14:paraId="043ADD3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936" w:type="dxa"/>
            <w:vMerge w:val="restart"/>
            <w:vAlign w:val="center"/>
          </w:tcPr>
          <w:p w14:paraId="10E0A35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养殖场</w:t>
            </w:r>
          </w:p>
        </w:tc>
        <w:tc>
          <w:tcPr>
            <w:tcW w:w="744" w:type="dxa"/>
            <w:vMerge w:val="restart"/>
            <w:vAlign w:val="center"/>
          </w:tcPr>
          <w:p w14:paraId="4F2D5D9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饲养</w:t>
            </w:r>
          </w:p>
        </w:tc>
        <w:tc>
          <w:tcPr>
            <w:tcW w:w="864" w:type="dxa"/>
            <w:vAlign w:val="center"/>
          </w:tcPr>
          <w:p w14:paraId="5714288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1429" w:type="dxa"/>
            <w:vMerge w:val="restart"/>
            <w:vAlign w:val="center"/>
          </w:tcPr>
          <w:p w14:paraId="2D391668">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加强通风</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喷洒微生物除臭剂</w:t>
            </w:r>
          </w:p>
        </w:tc>
        <w:tc>
          <w:tcPr>
            <w:tcW w:w="1575" w:type="dxa"/>
            <w:vMerge w:val="restart"/>
            <w:vAlign w:val="center"/>
          </w:tcPr>
          <w:p w14:paraId="5FD6C530">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rPr>
              <w:t>《恶臭污染物排放标准》</w:t>
            </w:r>
            <w:r>
              <w:rPr>
                <w:rFonts w:hint="default" w:ascii="Times New Roman" w:hAnsi="Times New Roman" w:eastAsia="宋体" w:cs="Times New Roman"/>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rPr>
              <w:t>GB14554-93</w:t>
            </w:r>
            <w:r>
              <w:rPr>
                <w:rFonts w:hint="default" w:ascii="Times New Roman" w:hAnsi="Times New Roman" w:eastAsia="宋体" w:cs="Times New Roman"/>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rPr>
              <w:t>表1中二级新扩改建标准限值</w:t>
            </w:r>
          </w:p>
        </w:tc>
        <w:tc>
          <w:tcPr>
            <w:tcW w:w="1234" w:type="dxa"/>
            <w:vAlign w:val="center"/>
          </w:tcPr>
          <w:p w14:paraId="30857887">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1500</w:t>
            </w:r>
          </w:p>
        </w:tc>
        <w:tc>
          <w:tcPr>
            <w:tcW w:w="1276" w:type="dxa"/>
            <w:vAlign w:val="center"/>
          </w:tcPr>
          <w:p w14:paraId="3B34E9CB">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FF0000"/>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0.1932</w:t>
            </w:r>
          </w:p>
        </w:tc>
      </w:tr>
      <w:tr w14:paraId="24A3EFE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14" w:type="dxa"/>
            <w:vMerge w:val="continue"/>
            <w:vAlign w:val="center"/>
          </w:tcPr>
          <w:p w14:paraId="00ED7CF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936" w:type="dxa"/>
            <w:vMerge w:val="continue"/>
            <w:vAlign w:val="center"/>
          </w:tcPr>
          <w:p w14:paraId="14A41A7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744" w:type="dxa"/>
            <w:vMerge w:val="continue"/>
            <w:vAlign w:val="center"/>
          </w:tcPr>
          <w:p w14:paraId="583A229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864" w:type="dxa"/>
            <w:vAlign w:val="center"/>
          </w:tcPr>
          <w:p w14:paraId="671BE091">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1429" w:type="dxa"/>
            <w:vMerge w:val="continue"/>
            <w:vAlign w:val="center"/>
          </w:tcPr>
          <w:p w14:paraId="454AD20F">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1575" w:type="dxa"/>
            <w:vMerge w:val="continue"/>
            <w:vAlign w:val="center"/>
          </w:tcPr>
          <w:p w14:paraId="1AD0559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1234" w:type="dxa"/>
            <w:vAlign w:val="center"/>
          </w:tcPr>
          <w:p w14:paraId="018E490F">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60</w:t>
            </w:r>
          </w:p>
        </w:tc>
        <w:tc>
          <w:tcPr>
            <w:tcW w:w="1276" w:type="dxa"/>
            <w:vAlign w:val="center"/>
          </w:tcPr>
          <w:p w14:paraId="24B2FB92">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FF0000"/>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0.0014</w:t>
            </w:r>
          </w:p>
        </w:tc>
      </w:tr>
      <w:tr w14:paraId="5D488A1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14" w:type="dxa"/>
            <w:vMerge w:val="restart"/>
            <w:vAlign w:val="center"/>
          </w:tcPr>
          <w:p w14:paraId="0A8DD7B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2</w:t>
            </w:r>
          </w:p>
        </w:tc>
        <w:tc>
          <w:tcPr>
            <w:tcW w:w="936" w:type="dxa"/>
            <w:vMerge w:val="restart"/>
            <w:vAlign w:val="center"/>
          </w:tcPr>
          <w:p w14:paraId="6B04C2DE">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粪污储存间</w:t>
            </w:r>
          </w:p>
        </w:tc>
        <w:tc>
          <w:tcPr>
            <w:tcW w:w="744" w:type="dxa"/>
            <w:vMerge w:val="restart"/>
            <w:vAlign w:val="center"/>
          </w:tcPr>
          <w:p w14:paraId="2E274DA7">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固粪暂存</w:t>
            </w:r>
          </w:p>
        </w:tc>
        <w:tc>
          <w:tcPr>
            <w:tcW w:w="864" w:type="dxa"/>
            <w:vAlign w:val="center"/>
          </w:tcPr>
          <w:p w14:paraId="34C969E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1429" w:type="dxa"/>
            <w:vMerge w:val="restart"/>
            <w:vAlign w:val="center"/>
          </w:tcPr>
          <w:p w14:paraId="73BBCF20">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全封闭设置</w:t>
            </w:r>
          </w:p>
        </w:tc>
        <w:tc>
          <w:tcPr>
            <w:tcW w:w="1575" w:type="dxa"/>
            <w:vMerge w:val="continue"/>
            <w:vAlign w:val="center"/>
          </w:tcPr>
          <w:p w14:paraId="581DA66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1234" w:type="dxa"/>
            <w:vAlign w:val="center"/>
          </w:tcPr>
          <w:p w14:paraId="7F99F35B">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1500</w:t>
            </w:r>
          </w:p>
        </w:tc>
        <w:tc>
          <w:tcPr>
            <w:tcW w:w="1276" w:type="dxa"/>
            <w:vAlign w:val="center"/>
          </w:tcPr>
          <w:p w14:paraId="7C89A44B">
            <w:pPr>
              <w:pStyle w:val="38"/>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color w:val="FF0000"/>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1.545×10</w:t>
            </w:r>
            <w:r>
              <w:rPr>
                <w:rFonts w:hint="eastAsia" w:ascii="Times New Roman" w:hAnsi="Times New Roman" w:eastAsia="宋体" w:cs="Times New Roman"/>
                <w:snapToGrid w:val="0"/>
                <w:color w:val="0000FF"/>
                <w:sz w:val="21"/>
                <w:szCs w:val="21"/>
                <w:highlight w:val="none"/>
                <w:vertAlign w:val="superscript"/>
                <w:lang w:val="en-US" w:eastAsia="zh-CN"/>
              </w:rPr>
              <w:t>-2</w:t>
            </w:r>
          </w:p>
        </w:tc>
      </w:tr>
      <w:tr w14:paraId="5DB5BEE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614" w:type="dxa"/>
            <w:vMerge w:val="continue"/>
            <w:vAlign w:val="center"/>
          </w:tcPr>
          <w:p w14:paraId="1763B54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936" w:type="dxa"/>
            <w:vMerge w:val="continue"/>
            <w:vAlign w:val="center"/>
          </w:tcPr>
          <w:p w14:paraId="4EAE2D7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744" w:type="dxa"/>
            <w:vMerge w:val="continue"/>
            <w:vAlign w:val="center"/>
          </w:tcPr>
          <w:p w14:paraId="6134577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864" w:type="dxa"/>
            <w:vAlign w:val="center"/>
          </w:tcPr>
          <w:p w14:paraId="65540E2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1429" w:type="dxa"/>
            <w:vMerge w:val="continue"/>
            <w:vAlign w:val="center"/>
          </w:tcPr>
          <w:p w14:paraId="022A4FF0">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1575" w:type="dxa"/>
            <w:vMerge w:val="continue"/>
            <w:vAlign w:val="center"/>
          </w:tcPr>
          <w:p w14:paraId="77D7C0E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1234" w:type="dxa"/>
            <w:vAlign w:val="center"/>
          </w:tcPr>
          <w:p w14:paraId="672CDA95">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60</w:t>
            </w:r>
          </w:p>
        </w:tc>
        <w:tc>
          <w:tcPr>
            <w:tcW w:w="1276" w:type="dxa"/>
            <w:vAlign w:val="center"/>
          </w:tcPr>
          <w:p w14:paraId="7265D535">
            <w:pPr>
              <w:pStyle w:val="38"/>
              <w:keepNext w:val="0"/>
              <w:keepLines w:val="0"/>
              <w:pageBreakBefore w:val="0"/>
              <w:kinsoku/>
              <w:wordWrap/>
              <w:overflowPunct/>
              <w:topLinePunct w:val="0"/>
              <w:bidi w:val="0"/>
              <w:adjustRightInd/>
              <w:snapToGrid/>
              <w:spacing w:line="240" w:lineRule="auto"/>
              <w:ind w:left="0" w:leftChars="0" w:firstLine="0" w:firstLineChars="0"/>
              <w:jc w:val="center"/>
              <w:rPr>
                <w:rFonts w:hint="default" w:ascii="Times New Roman" w:hAnsi="Times New Roman" w:eastAsia="宋体" w:cs="Times New Roman"/>
                <w:color w:val="FF0000"/>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1.14×10</w:t>
            </w:r>
            <w:r>
              <w:rPr>
                <w:rFonts w:hint="eastAsia" w:ascii="Times New Roman" w:hAnsi="Times New Roman" w:eastAsia="宋体" w:cs="Times New Roman"/>
                <w:snapToGrid w:val="0"/>
                <w:color w:val="0000FF"/>
                <w:sz w:val="21"/>
                <w:szCs w:val="21"/>
                <w:highlight w:val="none"/>
                <w:vertAlign w:val="superscript"/>
                <w:lang w:val="en-US" w:eastAsia="zh-CN"/>
              </w:rPr>
              <w:t>-4</w:t>
            </w:r>
          </w:p>
        </w:tc>
      </w:tr>
      <w:tr w14:paraId="68D1CD5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8672" w:type="dxa"/>
            <w:gridSpan w:val="8"/>
            <w:vAlign w:val="center"/>
          </w:tcPr>
          <w:p w14:paraId="45BDD37D">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无组织排放总计</w:t>
            </w:r>
          </w:p>
        </w:tc>
      </w:tr>
      <w:tr w14:paraId="7AFA7E8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158" w:type="dxa"/>
            <w:gridSpan w:val="4"/>
            <w:vMerge w:val="restart"/>
            <w:vAlign w:val="center"/>
          </w:tcPr>
          <w:p w14:paraId="7B4265AF">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无组织排放总计</w:t>
            </w:r>
          </w:p>
        </w:tc>
        <w:tc>
          <w:tcPr>
            <w:tcW w:w="4238" w:type="dxa"/>
            <w:gridSpan w:val="3"/>
            <w:vAlign w:val="center"/>
          </w:tcPr>
          <w:p w14:paraId="0A22225B">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1276" w:type="dxa"/>
            <w:vAlign w:val="center"/>
          </w:tcPr>
          <w:p w14:paraId="2FBA621B">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FF"/>
                <w:sz w:val="21"/>
                <w:szCs w:val="21"/>
                <w:highlight w:val="none"/>
                <w:lang w:val="en-US"/>
              </w:rPr>
            </w:pPr>
            <w:r>
              <w:rPr>
                <w:rFonts w:hint="eastAsia" w:ascii="Times New Roman" w:hAnsi="Times New Roman" w:eastAsia="宋体" w:cs="Times New Roman"/>
                <w:snapToGrid w:val="0"/>
                <w:color w:val="0000FF"/>
                <w:sz w:val="21"/>
                <w:szCs w:val="21"/>
                <w:highlight w:val="none"/>
                <w:lang w:val="en-US" w:eastAsia="zh-CN"/>
              </w:rPr>
              <w:t>0.2087</w:t>
            </w:r>
          </w:p>
        </w:tc>
      </w:tr>
      <w:tr w14:paraId="540A6DA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3158" w:type="dxa"/>
            <w:gridSpan w:val="4"/>
            <w:vMerge w:val="continue"/>
            <w:vAlign w:val="center"/>
          </w:tcPr>
          <w:p w14:paraId="1DB1D59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4238" w:type="dxa"/>
            <w:gridSpan w:val="3"/>
            <w:vAlign w:val="center"/>
          </w:tcPr>
          <w:p w14:paraId="7C698A6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1276" w:type="dxa"/>
            <w:vAlign w:val="center"/>
          </w:tcPr>
          <w:p w14:paraId="16BDF31C">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FF"/>
                <w:sz w:val="21"/>
                <w:szCs w:val="21"/>
                <w:highlight w:val="none"/>
                <w:lang w:val="en-US" w:eastAsia="zh-CN"/>
              </w:rPr>
            </w:pPr>
            <w:r>
              <w:rPr>
                <w:rFonts w:hint="eastAsia" w:ascii="Times New Roman" w:hAnsi="Times New Roman" w:eastAsia="宋体" w:cs="Times New Roman"/>
                <w:snapToGrid w:val="0"/>
                <w:color w:val="0000FF"/>
                <w:sz w:val="21"/>
                <w:szCs w:val="21"/>
                <w:highlight w:val="none"/>
                <w:lang w:val="en-US" w:eastAsia="zh-CN"/>
              </w:rPr>
              <w:t>0.0014</w:t>
            </w:r>
          </w:p>
        </w:tc>
      </w:tr>
    </w:tbl>
    <w:p w14:paraId="0486454D">
      <w:pPr>
        <w:pStyle w:val="24"/>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jc w:val="both"/>
        <w:textAlignment w:val="auto"/>
        <w:outlineLvl w:val="3"/>
        <w:rPr>
          <w:rFonts w:hint="default" w:ascii="Times New Roman" w:hAnsi="Times New Roman" w:eastAsia="宋体" w:cs="Times New Roman"/>
          <w:b/>
          <w:bCs/>
          <w:color w:val="0000FF"/>
          <w:sz w:val="24"/>
          <w:highlight w:val="none"/>
          <w:lang w:val="en-US" w:eastAsia="zh-CN"/>
        </w:rPr>
      </w:pPr>
      <w:r>
        <w:rPr>
          <w:rFonts w:hint="default" w:ascii="Times New Roman" w:hAnsi="Times New Roman" w:eastAsia="宋体" w:cs="Times New Roman"/>
          <w:b/>
          <w:bCs/>
          <w:color w:val="0000FF"/>
          <w:spacing w:val="-1"/>
          <w:sz w:val="24"/>
          <w:szCs w:val="24"/>
          <w:highlight w:val="none"/>
          <w:lang w:val="zh-CN" w:eastAsia="zh-CN"/>
        </w:rPr>
        <w:t>5.2.2.</w:t>
      </w:r>
      <w:r>
        <w:rPr>
          <w:rFonts w:hint="eastAsia" w:eastAsia="宋体" w:cs="Times New Roman"/>
          <w:b/>
          <w:bCs/>
          <w:color w:val="0000FF"/>
          <w:spacing w:val="-1"/>
          <w:sz w:val="24"/>
          <w:szCs w:val="24"/>
          <w:highlight w:val="none"/>
          <w:lang w:val="en-US" w:eastAsia="zh-CN"/>
        </w:rPr>
        <w:t>3大</w:t>
      </w:r>
      <w:r>
        <w:rPr>
          <w:rFonts w:hint="default" w:ascii="Times New Roman" w:hAnsi="Times New Roman" w:eastAsia="宋体" w:cs="Times New Roman"/>
          <w:b/>
          <w:bCs/>
          <w:color w:val="0000FF"/>
          <w:sz w:val="24"/>
          <w:highlight w:val="none"/>
          <w:lang w:val="en-US" w:eastAsia="zh-CN"/>
        </w:rPr>
        <w:t>气污染物</w:t>
      </w:r>
      <w:r>
        <w:rPr>
          <w:rFonts w:hint="eastAsia" w:eastAsia="宋体" w:cs="Times New Roman"/>
          <w:b/>
          <w:bCs/>
          <w:color w:val="0000FF"/>
          <w:sz w:val="24"/>
          <w:highlight w:val="none"/>
          <w:lang w:val="en-US" w:eastAsia="zh-CN"/>
        </w:rPr>
        <w:t>年</w:t>
      </w:r>
      <w:r>
        <w:rPr>
          <w:rFonts w:hint="default" w:ascii="Times New Roman" w:hAnsi="Times New Roman" w:eastAsia="宋体" w:cs="Times New Roman"/>
          <w:b/>
          <w:bCs/>
          <w:color w:val="0000FF"/>
          <w:sz w:val="24"/>
          <w:highlight w:val="none"/>
          <w:lang w:val="en-US" w:eastAsia="zh-CN"/>
        </w:rPr>
        <w:t>排放量核算</w:t>
      </w:r>
    </w:p>
    <w:p w14:paraId="1A6F6F3F">
      <w:pPr>
        <w:pStyle w:val="24"/>
        <w:keepNext w:val="0"/>
        <w:keepLines w:val="0"/>
        <w:pageBreakBefore w:val="0"/>
        <w:widowControl w:val="0"/>
        <w:kinsoku/>
        <w:wordWrap/>
        <w:overflowPunct/>
        <w:topLinePunct w:val="0"/>
        <w:autoSpaceDE/>
        <w:autoSpaceDN/>
        <w:bidi w:val="0"/>
        <w:adjustRightInd/>
        <w:snapToGrid/>
        <w:spacing w:after="0" w:line="360" w:lineRule="auto"/>
        <w:ind w:firstLine="480" w:firstLineChars="200"/>
        <w:jc w:val="both"/>
        <w:textAlignment w:val="auto"/>
        <w:rPr>
          <w:rFonts w:hint="default" w:ascii="Times New Roman" w:hAnsi="Times New Roman" w:eastAsia="宋体" w:cs="Times New Roman"/>
          <w:color w:val="0000FF"/>
          <w:kern w:val="21"/>
          <w:szCs w:val="24"/>
          <w:highlight w:val="none"/>
          <w:lang w:val="en-US" w:eastAsia="zh-CN"/>
        </w:rPr>
      </w:pPr>
      <w:r>
        <w:rPr>
          <w:rFonts w:hint="default" w:ascii="Times New Roman" w:hAnsi="Times New Roman" w:eastAsia="宋体" w:cs="Times New Roman"/>
          <w:color w:val="0000FF"/>
          <w:spacing w:val="0"/>
          <w:kern w:val="21"/>
          <w:sz w:val="24"/>
          <w:szCs w:val="24"/>
          <w:highlight w:val="none"/>
          <w:lang w:val="en-US" w:eastAsia="zh-CN" w:bidi="ar-SA"/>
        </w:rPr>
        <w:t>本项目大气污染物年排放量核算表详见表5.2-3。</w:t>
      </w:r>
    </w:p>
    <w:p w14:paraId="066987C0">
      <w:pPr>
        <w:pStyle w:val="44"/>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default" w:ascii="Times New Roman" w:hAnsi="Times New Roman" w:eastAsia="宋体" w:cs="Times New Roman"/>
          <w:b/>
          <w:color w:val="0000FF"/>
          <w:highlight w:val="none"/>
          <w:u w:val="none"/>
          <w:lang w:val="en-US"/>
        </w:rPr>
      </w:pPr>
      <w:r>
        <w:rPr>
          <w:rFonts w:hint="default" w:ascii="Times New Roman" w:hAnsi="Times New Roman" w:eastAsia="宋体" w:cs="Times New Roman"/>
          <w:b/>
          <w:color w:val="0000FF"/>
          <w:kern w:val="2"/>
          <w:sz w:val="24"/>
          <w:szCs w:val="24"/>
          <w:highlight w:val="none"/>
          <w:lang w:val="en-US" w:eastAsia="zh-CN" w:bidi="ar-SA"/>
        </w:rPr>
        <w:t>表5.2-3 大气污染物年排放量核算一览表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068"/>
        <w:gridCol w:w="2747"/>
        <w:gridCol w:w="3552"/>
      </w:tblGrid>
      <w:tr w14:paraId="14671E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068" w:type="dxa"/>
            <w:noWrap w:val="0"/>
            <w:vAlign w:val="center"/>
          </w:tcPr>
          <w:p w14:paraId="573CB0EA">
            <w:pPr>
              <w:keepNext w:val="0"/>
              <w:keepLines w:val="0"/>
              <w:pageBreakBefore w:val="0"/>
              <w:widowControl w:val="0"/>
              <w:kinsoku/>
              <w:wordWrap/>
              <w:overflowPunct/>
              <w:topLinePunct w:val="0"/>
              <w:autoSpaceDE w:val="0"/>
              <w:autoSpaceDN w:val="0"/>
              <w:bidi w:val="0"/>
              <w:adjustRightInd/>
              <w:snapToGrid/>
              <w:spacing w:line="240" w:lineRule="auto"/>
              <w:ind w:firstLine="0"/>
              <w:jc w:val="center"/>
              <w:textAlignment w:val="bottom"/>
              <w:outlineLvl w:val="9"/>
              <w:rPr>
                <w:rFonts w:hint="default" w:ascii="Times New Roman" w:hAnsi="Times New Roman" w:eastAsia="宋体" w:cs="Times New Roman"/>
                <w:b/>
                <w:bCs/>
                <w:color w:val="0000FF"/>
                <w:spacing w:val="0"/>
                <w:kern w:val="21"/>
                <w:sz w:val="21"/>
                <w:szCs w:val="21"/>
                <w:highlight w:val="none"/>
                <w:u w:val="none"/>
                <w:lang w:eastAsia="zh-CN"/>
              </w:rPr>
            </w:pPr>
            <w:r>
              <w:rPr>
                <w:rFonts w:hint="default" w:ascii="Times New Roman" w:hAnsi="Times New Roman" w:eastAsia="宋体" w:cs="Times New Roman"/>
                <w:b/>
                <w:bCs/>
                <w:color w:val="0000FF"/>
                <w:spacing w:val="0"/>
                <w:kern w:val="21"/>
                <w:sz w:val="21"/>
                <w:szCs w:val="21"/>
                <w:highlight w:val="none"/>
                <w:u w:val="none"/>
                <w:lang w:eastAsia="zh-CN"/>
              </w:rPr>
              <w:t>序号</w:t>
            </w:r>
          </w:p>
        </w:tc>
        <w:tc>
          <w:tcPr>
            <w:tcW w:w="2747" w:type="dxa"/>
            <w:noWrap w:val="0"/>
            <w:vAlign w:val="center"/>
          </w:tcPr>
          <w:p w14:paraId="0A734326">
            <w:pPr>
              <w:keepNext w:val="0"/>
              <w:keepLines w:val="0"/>
              <w:pageBreakBefore w:val="0"/>
              <w:widowControl w:val="0"/>
              <w:kinsoku/>
              <w:wordWrap/>
              <w:overflowPunct/>
              <w:topLinePunct w:val="0"/>
              <w:autoSpaceDE w:val="0"/>
              <w:autoSpaceDN w:val="0"/>
              <w:bidi w:val="0"/>
              <w:adjustRightInd/>
              <w:snapToGrid/>
              <w:spacing w:line="240" w:lineRule="auto"/>
              <w:ind w:firstLine="0"/>
              <w:jc w:val="center"/>
              <w:textAlignment w:val="bottom"/>
              <w:outlineLvl w:val="9"/>
              <w:rPr>
                <w:rFonts w:hint="default" w:ascii="Times New Roman" w:hAnsi="Times New Roman" w:eastAsia="宋体" w:cs="Times New Roman"/>
                <w:b/>
                <w:bCs/>
                <w:color w:val="0000FF"/>
                <w:spacing w:val="0"/>
                <w:kern w:val="21"/>
                <w:sz w:val="21"/>
                <w:szCs w:val="21"/>
                <w:highlight w:val="none"/>
                <w:u w:val="none"/>
                <w:lang w:eastAsia="zh-CN"/>
              </w:rPr>
            </w:pPr>
            <w:r>
              <w:rPr>
                <w:rFonts w:hint="default" w:ascii="Times New Roman" w:hAnsi="Times New Roman" w:eastAsia="宋体" w:cs="Times New Roman"/>
                <w:b/>
                <w:bCs/>
                <w:color w:val="0000FF"/>
                <w:spacing w:val="0"/>
                <w:kern w:val="21"/>
                <w:sz w:val="21"/>
                <w:szCs w:val="21"/>
                <w:highlight w:val="none"/>
                <w:u w:val="none"/>
                <w:lang w:eastAsia="zh-CN"/>
              </w:rPr>
              <w:t>污染物</w:t>
            </w:r>
          </w:p>
        </w:tc>
        <w:tc>
          <w:tcPr>
            <w:tcW w:w="3552" w:type="dxa"/>
            <w:noWrap w:val="0"/>
            <w:vAlign w:val="center"/>
          </w:tcPr>
          <w:p w14:paraId="6F682C86">
            <w:pPr>
              <w:keepNext w:val="0"/>
              <w:keepLines w:val="0"/>
              <w:pageBreakBefore w:val="0"/>
              <w:widowControl w:val="0"/>
              <w:kinsoku/>
              <w:wordWrap/>
              <w:overflowPunct/>
              <w:topLinePunct w:val="0"/>
              <w:autoSpaceDE w:val="0"/>
              <w:autoSpaceDN w:val="0"/>
              <w:bidi w:val="0"/>
              <w:adjustRightInd/>
              <w:snapToGrid/>
              <w:spacing w:line="240" w:lineRule="auto"/>
              <w:ind w:firstLine="0"/>
              <w:jc w:val="center"/>
              <w:textAlignment w:val="bottom"/>
              <w:outlineLvl w:val="9"/>
              <w:rPr>
                <w:rFonts w:hint="default" w:ascii="Times New Roman" w:hAnsi="Times New Roman" w:eastAsia="宋体" w:cs="Times New Roman"/>
                <w:b/>
                <w:bCs/>
                <w:color w:val="0000FF"/>
                <w:spacing w:val="0"/>
                <w:kern w:val="21"/>
                <w:sz w:val="21"/>
                <w:szCs w:val="21"/>
                <w:highlight w:val="none"/>
                <w:u w:val="none"/>
                <w:lang w:val="en-US" w:eastAsia="zh-CN"/>
              </w:rPr>
            </w:pPr>
            <w:r>
              <w:rPr>
                <w:rFonts w:hint="default" w:ascii="Times New Roman" w:hAnsi="Times New Roman" w:eastAsia="宋体" w:cs="Times New Roman"/>
                <w:b/>
                <w:bCs/>
                <w:color w:val="0000FF"/>
                <w:spacing w:val="0"/>
                <w:kern w:val="21"/>
                <w:sz w:val="21"/>
                <w:szCs w:val="21"/>
                <w:highlight w:val="none"/>
                <w:u w:val="none"/>
                <w:lang w:val="en-US" w:eastAsia="zh-CN"/>
              </w:rPr>
              <w:t>年排放量（t/a）</w:t>
            </w:r>
          </w:p>
        </w:tc>
      </w:tr>
      <w:tr w14:paraId="359AE9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068" w:type="dxa"/>
            <w:noWrap w:val="0"/>
            <w:vAlign w:val="center"/>
          </w:tcPr>
          <w:p w14:paraId="1C10474B">
            <w:pPr>
              <w:keepNext w:val="0"/>
              <w:keepLines w:val="0"/>
              <w:pageBreakBefore w:val="0"/>
              <w:widowControl w:val="0"/>
              <w:kinsoku/>
              <w:wordWrap/>
              <w:overflowPunct/>
              <w:topLinePunct w:val="0"/>
              <w:autoSpaceDE w:val="0"/>
              <w:autoSpaceDN w:val="0"/>
              <w:bidi w:val="0"/>
              <w:adjustRightInd/>
              <w:snapToGrid/>
              <w:spacing w:line="240" w:lineRule="auto"/>
              <w:ind w:firstLine="0"/>
              <w:jc w:val="center"/>
              <w:textAlignment w:val="bottom"/>
              <w:outlineLvl w:val="9"/>
              <w:rPr>
                <w:rFonts w:hint="default" w:ascii="Times New Roman" w:hAnsi="Times New Roman" w:eastAsia="宋体" w:cs="Times New Roman"/>
                <w:b w:val="0"/>
                <w:color w:val="0000FF"/>
                <w:spacing w:val="0"/>
                <w:kern w:val="21"/>
                <w:sz w:val="21"/>
                <w:szCs w:val="21"/>
                <w:highlight w:val="none"/>
                <w:u w:val="none"/>
                <w:lang w:val="en-US" w:eastAsia="zh-CN"/>
              </w:rPr>
            </w:pPr>
            <w:r>
              <w:rPr>
                <w:rFonts w:hint="default" w:ascii="Times New Roman" w:hAnsi="Times New Roman" w:eastAsia="宋体" w:cs="Times New Roman"/>
                <w:b w:val="0"/>
                <w:color w:val="0000FF"/>
                <w:spacing w:val="0"/>
                <w:kern w:val="21"/>
                <w:sz w:val="21"/>
                <w:szCs w:val="21"/>
                <w:highlight w:val="none"/>
                <w:u w:val="none"/>
                <w:lang w:val="en-US" w:eastAsia="zh-CN"/>
              </w:rPr>
              <w:t>1</w:t>
            </w:r>
          </w:p>
        </w:tc>
        <w:tc>
          <w:tcPr>
            <w:tcW w:w="2747" w:type="dxa"/>
            <w:noWrap w:val="0"/>
            <w:vAlign w:val="center"/>
          </w:tcPr>
          <w:p w14:paraId="5EBEDCDF">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FF"/>
                <w:kern w:val="2"/>
                <w:sz w:val="21"/>
                <w:szCs w:val="21"/>
                <w:highlight w:val="none"/>
                <w:lang w:val="en-US" w:eastAsia="zh-CN" w:bidi="ar-SA"/>
              </w:rPr>
            </w:pPr>
            <w:r>
              <w:rPr>
                <w:rFonts w:hint="default" w:ascii="Times New Roman" w:hAnsi="Times New Roman" w:eastAsia="宋体" w:cs="Times New Roman"/>
                <w:color w:val="0000FF"/>
                <w:sz w:val="21"/>
                <w:szCs w:val="21"/>
                <w:highlight w:val="none"/>
              </w:rPr>
              <w:t>NH</w:t>
            </w:r>
            <w:r>
              <w:rPr>
                <w:rFonts w:hint="default" w:ascii="Times New Roman" w:hAnsi="Times New Roman" w:eastAsia="宋体" w:cs="Times New Roman"/>
                <w:color w:val="0000FF"/>
                <w:sz w:val="21"/>
                <w:szCs w:val="21"/>
                <w:highlight w:val="none"/>
                <w:vertAlign w:val="subscript"/>
              </w:rPr>
              <w:t>3</w:t>
            </w:r>
          </w:p>
        </w:tc>
        <w:tc>
          <w:tcPr>
            <w:tcW w:w="3552" w:type="dxa"/>
            <w:noWrap w:val="0"/>
            <w:vAlign w:val="center"/>
          </w:tcPr>
          <w:p w14:paraId="679784E6">
            <w:pPr>
              <w:keepNext w:val="0"/>
              <w:keepLines w:val="0"/>
              <w:pageBreakBefore w:val="0"/>
              <w:widowControl/>
              <w:suppressLineNumbers w:val="0"/>
              <w:wordWrap/>
              <w:topLinePunct w:val="0"/>
              <w:bidi w:val="0"/>
              <w:adjustRightInd/>
              <w:snapToGrid/>
              <w:spacing w:line="240" w:lineRule="auto"/>
              <w:jc w:val="center"/>
              <w:textAlignment w:val="center"/>
              <w:rPr>
                <w:rFonts w:hint="default" w:ascii="Times New Roman" w:hAnsi="Times New Roman" w:eastAsia="宋体" w:cs="Times New Roman"/>
                <w:color w:val="0000FF"/>
                <w:kern w:val="2"/>
                <w:sz w:val="21"/>
                <w:szCs w:val="21"/>
                <w:highlight w:val="none"/>
                <w:lang w:val="en-US" w:eastAsia="zh-CN" w:bidi="ar-SA"/>
              </w:rPr>
            </w:pPr>
            <w:r>
              <w:rPr>
                <w:rFonts w:hint="eastAsia" w:ascii="Times New Roman" w:hAnsi="Times New Roman" w:eastAsia="宋体" w:cs="Times New Roman"/>
                <w:i w:val="0"/>
                <w:iCs w:val="0"/>
                <w:color w:val="0000FF"/>
                <w:kern w:val="0"/>
                <w:sz w:val="21"/>
                <w:szCs w:val="21"/>
                <w:highlight w:val="none"/>
                <w:u w:val="none"/>
                <w:lang w:val="en-US" w:eastAsia="zh-CN" w:bidi="ar"/>
              </w:rPr>
              <w:t>0.2345</w:t>
            </w:r>
          </w:p>
        </w:tc>
      </w:tr>
      <w:tr w14:paraId="4AB9E0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068" w:type="dxa"/>
            <w:noWrap w:val="0"/>
            <w:vAlign w:val="center"/>
          </w:tcPr>
          <w:p w14:paraId="27A08D89">
            <w:pPr>
              <w:keepNext w:val="0"/>
              <w:keepLines w:val="0"/>
              <w:pageBreakBefore w:val="0"/>
              <w:widowControl w:val="0"/>
              <w:kinsoku/>
              <w:wordWrap/>
              <w:overflowPunct/>
              <w:topLinePunct w:val="0"/>
              <w:autoSpaceDE w:val="0"/>
              <w:autoSpaceDN w:val="0"/>
              <w:bidi w:val="0"/>
              <w:adjustRightInd/>
              <w:snapToGrid/>
              <w:spacing w:line="240" w:lineRule="auto"/>
              <w:ind w:firstLine="0"/>
              <w:jc w:val="center"/>
              <w:textAlignment w:val="bottom"/>
              <w:outlineLvl w:val="9"/>
              <w:rPr>
                <w:rFonts w:hint="default" w:ascii="Times New Roman" w:hAnsi="Times New Roman" w:eastAsia="宋体" w:cs="Times New Roman"/>
                <w:b w:val="0"/>
                <w:color w:val="0000FF"/>
                <w:spacing w:val="0"/>
                <w:kern w:val="21"/>
                <w:sz w:val="21"/>
                <w:szCs w:val="21"/>
                <w:highlight w:val="none"/>
                <w:u w:val="none"/>
                <w:lang w:val="en-US" w:eastAsia="zh-CN"/>
              </w:rPr>
            </w:pPr>
            <w:r>
              <w:rPr>
                <w:rFonts w:hint="default" w:ascii="Times New Roman" w:hAnsi="Times New Roman" w:eastAsia="宋体" w:cs="Times New Roman"/>
                <w:b w:val="0"/>
                <w:color w:val="0000FF"/>
                <w:spacing w:val="0"/>
                <w:kern w:val="21"/>
                <w:sz w:val="21"/>
                <w:szCs w:val="21"/>
                <w:highlight w:val="none"/>
                <w:u w:val="none"/>
                <w:lang w:val="en-US" w:eastAsia="zh-CN"/>
              </w:rPr>
              <w:t>2</w:t>
            </w:r>
          </w:p>
        </w:tc>
        <w:tc>
          <w:tcPr>
            <w:tcW w:w="2747" w:type="dxa"/>
            <w:noWrap w:val="0"/>
            <w:vAlign w:val="center"/>
          </w:tcPr>
          <w:p w14:paraId="684E524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FF"/>
                <w:kern w:val="2"/>
                <w:sz w:val="21"/>
                <w:szCs w:val="21"/>
                <w:highlight w:val="none"/>
                <w:lang w:val="en-US" w:eastAsia="zh-CN" w:bidi="ar-SA"/>
              </w:rPr>
            </w:pPr>
            <w:r>
              <w:rPr>
                <w:rFonts w:hint="default" w:ascii="Times New Roman" w:hAnsi="Times New Roman" w:eastAsia="宋体" w:cs="Times New Roman"/>
                <w:color w:val="0000FF"/>
                <w:sz w:val="21"/>
                <w:szCs w:val="21"/>
                <w:highlight w:val="none"/>
              </w:rPr>
              <w:t>H</w:t>
            </w:r>
            <w:r>
              <w:rPr>
                <w:rFonts w:hint="default" w:ascii="Times New Roman" w:hAnsi="Times New Roman" w:eastAsia="宋体" w:cs="Times New Roman"/>
                <w:color w:val="0000FF"/>
                <w:sz w:val="21"/>
                <w:szCs w:val="21"/>
                <w:highlight w:val="none"/>
                <w:vertAlign w:val="subscript"/>
              </w:rPr>
              <w:t>2</w:t>
            </w:r>
            <w:r>
              <w:rPr>
                <w:rFonts w:hint="default" w:ascii="Times New Roman" w:hAnsi="Times New Roman" w:eastAsia="宋体" w:cs="Times New Roman"/>
                <w:color w:val="0000FF"/>
                <w:sz w:val="21"/>
                <w:szCs w:val="21"/>
                <w:highlight w:val="none"/>
              </w:rPr>
              <w:t>S</w:t>
            </w:r>
          </w:p>
        </w:tc>
        <w:tc>
          <w:tcPr>
            <w:tcW w:w="3552" w:type="dxa"/>
            <w:noWrap w:val="0"/>
            <w:vAlign w:val="center"/>
          </w:tcPr>
          <w:p w14:paraId="73771F25">
            <w:pPr>
              <w:keepNext w:val="0"/>
              <w:keepLines w:val="0"/>
              <w:pageBreakBefore w:val="0"/>
              <w:widowControl/>
              <w:suppressLineNumbers w:val="0"/>
              <w:wordWrap/>
              <w:topLinePunct w:val="0"/>
              <w:bidi w:val="0"/>
              <w:adjustRightInd/>
              <w:snapToGrid/>
              <w:spacing w:line="240" w:lineRule="auto"/>
              <w:jc w:val="center"/>
              <w:textAlignment w:val="center"/>
              <w:rPr>
                <w:rFonts w:hint="default" w:ascii="Times New Roman" w:hAnsi="Times New Roman" w:eastAsia="宋体" w:cs="Times New Roman"/>
                <w:color w:val="0000FF"/>
                <w:kern w:val="2"/>
                <w:sz w:val="21"/>
                <w:szCs w:val="21"/>
                <w:highlight w:val="none"/>
                <w:lang w:val="en-US" w:eastAsia="zh-CN" w:bidi="ar-SA"/>
              </w:rPr>
            </w:pPr>
            <w:r>
              <w:rPr>
                <w:rFonts w:hint="eastAsia" w:ascii="Times New Roman" w:hAnsi="Times New Roman" w:eastAsia="宋体" w:cs="Times New Roman"/>
                <w:i w:val="0"/>
                <w:iCs w:val="0"/>
                <w:color w:val="0000FF"/>
                <w:kern w:val="0"/>
                <w:sz w:val="21"/>
                <w:szCs w:val="21"/>
                <w:highlight w:val="none"/>
                <w:u w:val="none"/>
                <w:lang w:val="en-US" w:eastAsia="zh-CN" w:bidi="ar"/>
              </w:rPr>
              <w:t>0.00159</w:t>
            </w:r>
          </w:p>
        </w:tc>
      </w:tr>
    </w:tbl>
    <w:p w14:paraId="623AC7C8">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FF0000"/>
          <w:sz w:val="24"/>
          <w:highlight w:val="none"/>
          <w:lang w:val="en-US" w:eastAsia="zh-CN"/>
        </w:rPr>
      </w:pPr>
      <w:r>
        <w:rPr>
          <w:rFonts w:hint="default" w:ascii="Times New Roman" w:hAnsi="Times New Roman" w:eastAsia="宋体" w:cs="Times New Roman"/>
          <w:b/>
          <w:bCs/>
          <w:color w:val="FF0000"/>
          <w:spacing w:val="-1"/>
          <w:sz w:val="24"/>
          <w:szCs w:val="24"/>
          <w:highlight w:val="none"/>
          <w:lang w:val="zh-CN" w:eastAsia="zh-CN"/>
        </w:rPr>
        <w:t>5.2.2.</w:t>
      </w:r>
      <w:r>
        <w:rPr>
          <w:rFonts w:hint="eastAsia" w:ascii="Times New Roman" w:hAnsi="Times New Roman" w:eastAsia="宋体" w:cs="Times New Roman"/>
          <w:b/>
          <w:bCs/>
          <w:color w:val="FF0000"/>
          <w:spacing w:val="-1"/>
          <w:sz w:val="24"/>
          <w:szCs w:val="24"/>
          <w:highlight w:val="none"/>
          <w:lang w:val="en-US" w:eastAsia="zh-CN"/>
        </w:rPr>
        <w:t>3</w:t>
      </w:r>
      <w:r>
        <w:rPr>
          <w:rFonts w:hint="default" w:ascii="Times New Roman" w:hAnsi="Times New Roman" w:eastAsia="宋体" w:cs="Times New Roman"/>
          <w:b/>
          <w:bCs/>
          <w:color w:val="FF0000"/>
          <w:sz w:val="24"/>
          <w:szCs w:val="24"/>
          <w:highlight w:val="none"/>
        </w:rPr>
        <w:t>大气环境防护距离的确定</w:t>
      </w:r>
    </w:p>
    <w:p w14:paraId="7B558E93">
      <w:pPr>
        <w:pStyle w:val="40"/>
        <w:keepNext w:val="0"/>
        <w:keepLines w:val="0"/>
        <w:pageBreakBefore w:val="0"/>
        <w:widowControl/>
        <w:kinsoku/>
        <w:wordWrap/>
        <w:overflowPunct/>
        <w:topLinePunct w:val="0"/>
        <w:autoSpaceDE w:val="0"/>
        <w:autoSpaceDN w:val="0"/>
        <w:bidi w:val="0"/>
        <w:adjustRightInd/>
        <w:snapToGrid/>
        <w:spacing w:line="360" w:lineRule="auto"/>
        <w:ind w:firstLine="480" w:firstLineChars="200"/>
        <w:jc w:val="both"/>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z w:val="24"/>
          <w:szCs w:val="24"/>
          <w:highlight w:val="none"/>
          <w:lang w:val="en-US" w:eastAsia="zh-CN"/>
        </w:rPr>
        <w:t>由估算模型计算结果可知，拟建项目排放的污染物中最大落地浓度占标率均低</w:t>
      </w:r>
      <w:r>
        <w:rPr>
          <w:rFonts w:hint="eastAsia" w:ascii="Times New Roman" w:hAnsi="Times New Roman" w:eastAsia="宋体" w:cs="Times New Roman"/>
          <w:color w:val="FF0000"/>
          <w:sz w:val="24"/>
          <w:szCs w:val="24"/>
          <w:highlight w:val="none"/>
          <w:lang w:val="en-US" w:eastAsia="zh-CN"/>
        </w:rPr>
        <w:t>于</w:t>
      </w:r>
      <w:r>
        <w:rPr>
          <w:rFonts w:hint="default" w:ascii="Times New Roman" w:hAnsi="Times New Roman" w:eastAsia="宋体" w:cs="Times New Roman"/>
          <w:color w:val="FF0000"/>
          <w:sz w:val="24"/>
          <w:szCs w:val="24"/>
          <w:highlight w:val="none"/>
          <w:lang w:val="en-US" w:eastAsia="zh-CN"/>
        </w:rPr>
        <w:t>10%，由此可以确定拟建项目各污染物厂界外最大落地浓度不超标，拟建项目不需设置大气环境防护距离。</w:t>
      </w:r>
    </w:p>
    <w:p w14:paraId="68ACA9D2">
      <w:pPr>
        <w:pStyle w:val="40"/>
        <w:keepNext w:val="0"/>
        <w:keepLines w:val="0"/>
        <w:pageBreakBefore w:val="0"/>
        <w:widowControl/>
        <w:kinsoku/>
        <w:wordWrap/>
        <w:overflowPunct/>
        <w:topLinePunct w:val="0"/>
        <w:autoSpaceDE w:val="0"/>
        <w:autoSpaceDN w:val="0"/>
        <w:bidi w:val="0"/>
        <w:adjustRightInd/>
        <w:snapToGrid/>
        <w:spacing w:line="360" w:lineRule="auto"/>
        <w:ind w:firstLine="480" w:firstLineChars="200"/>
        <w:jc w:val="both"/>
        <w:textAlignment w:val="baseline"/>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rPr>
        <w:t>参考《禽养殖业污染防治技术规范》（HJ/T81-2001）中规定的畜禽养殖场选址应设在禁建区域常年主导风向下风向或侧风向处，</w:t>
      </w:r>
      <w:r>
        <w:rPr>
          <w:rFonts w:hint="default" w:ascii="Times New Roman" w:hAnsi="Times New Roman" w:eastAsia="宋体" w:cs="Times New Roman"/>
          <w:color w:val="FF0000"/>
          <w:sz w:val="24"/>
          <w:szCs w:val="24"/>
          <w:highlight w:val="none"/>
          <w:lang w:eastAsia="zh-CN"/>
        </w:rPr>
        <w:t>厂界</w:t>
      </w:r>
      <w:r>
        <w:rPr>
          <w:rFonts w:hint="default" w:ascii="Times New Roman" w:hAnsi="Times New Roman" w:eastAsia="宋体" w:cs="Times New Roman"/>
          <w:color w:val="FF0000"/>
          <w:sz w:val="24"/>
          <w:szCs w:val="24"/>
          <w:highlight w:val="none"/>
        </w:rPr>
        <w:t>与禁建区域边界的最小距离不得小于500m要求，本项目以</w:t>
      </w:r>
      <w:r>
        <w:rPr>
          <w:rFonts w:hint="default" w:ascii="Times New Roman" w:hAnsi="Times New Roman" w:eastAsia="宋体" w:cs="Times New Roman"/>
          <w:color w:val="FF0000"/>
          <w:sz w:val="24"/>
          <w:szCs w:val="24"/>
          <w:highlight w:val="none"/>
          <w:lang w:val="en-US" w:eastAsia="zh-CN"/>
        </w:rPr>
        <w:t>厂界</w:t>
      </w:r>
      <w:r>
        <w:rPr>
          <w:rFonts w:hint="default" w:ascii="Times New Roman" w:hAnsi="Times New Roman" w:eastAsia="宋体" w:cs="Times New Roman"/>
          <w:color w:val="FF0000"/>
          <w:sz w:val="24"/>
          <w:szCs w:val="24"/>
          <w:highlight w:val="none"/>
        </w:rPr>
        <w:t>参考设置500</w:t>
      </w:r>
      <w:r>
        <w:rPr>
          <w:rFonts w:hint="default" w:ascii="Times New Roman" w:hAnsi="Times New Roman" w:eastAsia="宋体" w:cs="Times New Roman"/>
          <w:color w:val="FF0000"/>
          <w:sz w:val="24"/>
          <w:szCs w:val="24"/>
          <w:highlight w:val="none"/>
          <w:lang w:val="en-US" w:eastAsia="zh-CN"/>
        </w:rPr>
        <w:t>m环境</w:t>
      </w:r>
      <w:r>
        <w:rPr>
          <w:rFonts w:hint="default" w:ascii="Times New Roman" w:hAnsi="Times New Roman" w:eastAsia="宋体" w:cs="Times New Roman"/>
          <w:color w:val="FF0000"/>
          <w:sz w:val="24"/>
          <w:szCs w:val="24"/>
          <w:highlight w:val="none"/>
        </w:rPr>
        <w:t>防护距离，在500</w:t>
      </w:r>
      <w:r>
        <w:rPr>
          <w:rFonts w:hint="default" w:ascii="Times New Roman" w:hAnsi="Times New Roman" w:eastAsia="宋体" w:cs="Times New Roman"/>
          <w:color w:val="FF0000"/>
          <w:sz w:val="24"/>
          <w:szCs w:val="24"/>
          <w:highlight w:val="none"/>
          <w:lang w:val="en-US" w:eastAsia="zh-CN"/>
        </w:rPr>
        <w:t>m环境</w:t>
      </w:r>
      <w:r>
        <w:rPr>
          <w:rFonts w:hint="default" w:ascii="Times New Roman" w:hAnsi="Times New Roman" w:eastAsia="宋体" w:cs="Times New Roman"/>
          <w:color w:val="FF0000"/>
          <w:sz w:val="24"/>
          <w:szCs w:val="24"/>
          <w:highlight w:val="none"/>
        </w:rPr>
        <w:t>防护距离内不得规划建设学校、医院、居民区、办公楼等敏感设施。</w:t>
      </w:r>
      <w:r>
        <w:rPr>
          <w:rFonts w:hint="default" w:ascii="Times New Roman" w:hAnsi="Times New Roman" w:eastAsia="宋体" w:cs="Times New Roman"/>
          <w:color w:val="FF0000"/>
          <w:sz w:val="24"/>
          <w:szCs w:val="24"/>
          <w:highlight w:val="none"/>
          <w:lang w:val="en-US" w:eastAsia="zh-CN"/>
        </w:rPr>
        <w:t>本</w:t>
      </w:r>
      <w:r>
        <w:rPr>
          <w:rFonts w:hint="default" w:ascii="Times New Roman" w:hAnsi="Times New Roman" w:eastAsia="宋体" w:cs="Times New Roman"/>
          <w:snapToGrid w:val="0"/>
          <w:color w:val="FF0000"/>
          <w:kern w:val="0"/>
          <w:sz w:val="24"/>
          <w:highlight w:val="none"/>
          <w:lang w:val="en-US" w:eastAsia="zh-CN"/>
        </w:rPr>
        <w:t>项目</w:t>
      </w:r>
      <w:r>
        <w:rPr>
          <w:rFonts w:hint="default" w:ascii="Times New Roman" w:hAnsi="Times New Roman" w:eastAsia="宋体" w:cs="Times New Roman"/>
          <w:color w:val="FF0000"/>
          <w:sz w:val="24"/>
          <w:szCs w:val="24"/>
          <w:highlight w:val="none"/>
        </w:rPr>
        <w:t>500</w:t>
      </w:r>
      <w:r>
        <w:rPr>
          <w:rFonts w:hint="default" w:ascii="Times New Roman" w:hAnsi="Times New Roman" w:eastAsia="宋体" w:cs="Times New Roman"/>
          <w:color w:val="FF0000"/>
          <w:sz w:val="24"/>
          <w:szCs w:val="24"/>
          <w:highlight w:val="none"/>
          <w:lang w:val="en-US" w:eastAsia="zh-CN"/>
        </w:rPr>
        <w:t>m环境</w:t>
      </w:r>
      <w:r>
        <w:rPr>
          <w:rFonts w:hint="default" w:ascii="Times New Roman" w:hAnsi="Times New Roman" w:eastAsia="宋体" w:cs="Times New Roman"/>
          <w:color w:val="FF0000"/>
          <w:sz w:val="24"/>
          <w:szCs w:val="24"/>
          <w:highlight w:val="none"/>
        </w:rPr>
        <w:t>防护距离内</w:t>
      </w:r>
      <w:r>
        <w:rPr>
          <w:rFonts w:hint="default" w:ascii="Times New Roman" w:hAnsi="Times New Roman" w:eastAsia="宋体" w:cs="Times New Roman"/>
          <w:color w:val="FF0000"/>
          <w:sz w:val="24"/>
          <w:szCs w:val="24"/>
          <w:highlight w:val="none"/>
          <w:lang w:val="en-US" w:eastAsia="zh-CN"/>
        </w:rPr>
        <w:t>无</w:t>
      </w:r>
      <w:r>
        <w:rPr>
          <w:rFonts w:hint="default" w:ascii="Times New Roman" w:hAnsi="Times New Roman" w:eastAsia="宋体" w:cs="Times New Roman"/>
          <w:color w:val="FF0000"/>
          <w:sz w:val="24"/>
          <w:szCs w:val="24"/>
          <w:highlight w:val="none"/>
        </w:rPr>
        <w:t>学校、医院、居民区、办公楼等敏感设施</w:t>
      </w:r>
      <w:r>
        <w:rPr>
          <w:rFonts w:hint="default" w:ascii="Times New Roman" w:hAnsi="Times New Roman" w:eastAsia="宋体" w:cs="Times New Roman"/>
          <w:color w:val="FF0000"/>
          <w:sz w:val="24"/>
          <w:szCs w:val="24"/>
          <w:highlight w:val="none"/>
          <w:lang w:eastAsia="zh-CN"/>
        </w:rPr>
        <w:t>，距离本项目最近的敏感点为本项目</w:t>
      </w:r>
      <w:r>
        <w:rPr>
          <w:rFonts w:hint="default" w:ascii="Times New Roman" w:hAnsi="Times New Roman" w:eastAsia="宋体" w:cs="Times New Roman"/>
          <w:snapToGrid w:val="0"/>
          <w:color w:val="FF0000"/>
          <w:kern w:val="0"/>
          <w:sz w:val="24"/>
          <w:highlight w:val="none"/>
          <w:lang w:val="en-US" w:eastAsia="zh-CN"/>
        </w:rPr>
        <w:t>北侧720m</w:t>
      </w:r>
      <w:r>
        <w:rPr>
          <w:rFonts w:hint="default" w:ascii="Times New Roman" w:hAnsi="Times New Roman" w:eastAsia="宋体" w:cs="Times New Roman"/>
          <w:color w:val="FF0000"/>
          <w:sz w:val="24"/>
          <w:szCs w:val="24"/>
          <w:highlight w:val="none"/>
          <w:lang w:eastAsia="zh-CN"/>
        </w:rPr>
        <w:t>处的</w:t>
      </w:r>
      <w:r>
        <w:rPr>
          <w:rFonts w:hint="default" w:ascii="Times New Roman" w:hAnsi="Times New Roman" w:eastAsia="宋体" w:cs="Times New Roman"/>
          <w:color w:val="FF0000"/>
          <w:sz w:val="24"/>
          <w:szCs w:val="24"/>
          <w:highlight w:val="none"/>
          <w:lang w:val="en-US" w:eastAsia="zh-CN"/>
        </w:rPr>
        <w:t>康家</w:t>
      </w:r>
      <w:r>
        <w:rPr>
          <w:rFonts w:hint="default" w:ascii="Times New Roman" w:hAnsi="Times New Roman" w:eastAsia="宋体" w:cs="Times New Roman"/>
          <w:color w:val="FF0000"/>
          <w:sz w:val="24"/>
          <w:szCs w:val="24"/>
          <w:highlight w:val="none"/>
          <w:lang w:eastAsia="zh-CN"/>
        </w:rPr>
        <w:t>屯，满足</w:t>
      </w:r>
      <w:r>
        <w:rPr>
          <w:rFonts w:hint="default" w:ascii="Times New Roman" w:hAnsi="Times New Roman" w:eastAsia="宋体" w:cs="Times New Roman"/>
          <w:color w:val="FF0000"/>
          <w:sz w:val="24"/>
          <w:szCs w:val="24"/>
          <w:highlight w:val="none"/>
          <w:lang w:val="en-US" w:eastAsia="zh-CN"/>
        </w:rPr>
        <w:t>环境</w:t>
      </w:r>
      <w:r>
        <w:rPr>
          <w:rFonts w:hint="default" w:ascii="Times New Roman" w:hAnsi="Times New Roman" w:eastAsia="宋体" w:cs="Times New Roman"/>
          <w:color w:val="FF0000"/>
          <w:sz w:val="24"/>
          <w:szCs w:val="24"/>
          <w:highlight w:val="none"/>
          <w:lang w:eastAsia="zh-CN"/>
        </w:rPr>
        <w:t>防护距离要求</w:t>
      </w:r>
      <w:r>
        <w:rPr>
          <w:rFonts w:hint="default" w:ascii="Times New Roman" w:hAnsi="Times New Roman" w:eastAsia="宋体" w:cs="Times New Roman"/>
          <w:color w:val="FF0000"/>
          <w:sz w:val="24"/>
          <w:szCs w:val="24"/>
          <w:highlight w:val="none"/>
          <w:lang w:val="en-US" w:eastAsia="zh-CN"/>
        </w:rPr>
        <w:t>。</w:t>
      </w:r>
    </w:p>
    <w:p w14:paraId="73ECFC7B">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FF0000"/>
          <w:sz w:val="24"/>
          <w:highlight w:val="none"/>
          <w:lang w:val="en-US" w:eastAsia="zh-CN"/>
        </w:rPr>
      </w:pPr>
      <w:r>
        <w:rPr>
          <w:rFonts w:hint="default" w:ascii="Times New Roman" w:hAnsi="Times New Roman" w:eastAsia="宋体" w:cs="Times New Roman"/>
          <w:b/>
          <w:bCs/>
          <w:color w:val="FF0000"/>
          <w:spacing w:val="-1"/>
          <w:sz w:val="24"/>
          <w:szCs w:val="24"/>
          <w:highlight w:val="none"/>
          <w:lang w:val="zh-CN" w:eastAsia="zh-CN"/>
        </w:rPr>
        <w:t>5.2.2.</w:t>
      </w:r>
      <w:r>
        <w:rPr>
          <w:rFonts w:hint="eastAsia" w:ascii="Times New Roman" w:hAnsi="Times New Roman" w:eastAsia="宋体" w:cs="Times New Roman"/>
          <w:b/>
          <w:bCs/>
          <w:color w:val="FF0000"/>
          <w:spacing w:val="-1"/>
          <w:sz w:val="24"/>
          <w:szCs w:val="24"/>
          <w:highlight w:val="none"/>
          <w:lang w:val="en-US" w:eastAsia="zh-CN"/>
        </w:rPr>
        <w:t>4</w:t>
      </w:r>
      <w:r>
        <w:rPr>
          <w:rFonts w:hint="default" w:ascii="Times New Roman" w:hAnsi="Times New Roman" w:eastAsia="宋体" w:cs="Times New Roman"/>
          <w:b/>
          <w:bCs/>
          <w:color w:val="FF0000"/>
          <w:sz w:val="24"/>
          <w:highlight w:val="none"/>
        </w:rPr>
        <w:t>臭气浓度分析</w:t>
      </w:r>
    </w:p>
    <w:p w14:paraId="16650A59">
      <w:pPr>
        <w:pStyle w:val="11"/>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snapToGrid w:val="0"/>
          <w:color w:val="FF0000"/>
          <w:kern w:val="0"/>
          <w:sz w:val="24"/>
          <w:szCs w:val="24"/>
          <w:highlight w:val="none"/>
          <w:lang w:val="en-US" w:eastAsia="zh-CN" w:bidi="ar-SA"/>
        </w:rPr>
      </w:pPr>
      <w:r>
        <w:rPr>
          <w:rFonts w:hint="default" w:ascii="Times New Roman" w:hAnsi="Times New Roman" w:eastAsia="宋体" w:cs="Times New Roman"/>
          <w:snapToGrid w:val="0"/>
          <w:color w:val="FF0000"/>
          <w:kern w:val="0"/>
          <w:sz w:val="24"/>
          <w:szCs w:val="24"/>
          <w:highlight w:val="none"/>
          <w:lang w:val="en-US" w:eastAsia="zh-CN" w:bidi="ar-SA"/>
        </w:rPr>
        <w:t>（1）恶臭污染特征及其分级标准</w:t>
      </w:r>
    </w:p>
    <w:p w14:paraId="4E99003D">
      <w:pPr>
        <w:pStyle w:val="32"/>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snapToGrid w:val="0"/>
          <w:color w:val="FF0000"/>
          <w:kern w:val="0"/>
          <w:sz w:val="24"/>
          <w:szCs w:val="24"/>
          <w:highlight w:val="none"/>
          <w:lang w:val="en-US" w:eastAsia="zh-CN" w:bidi="ar-SA"/>
        </w:rPr>
      </w:pPr>
      <w:r>
        <w:rPr>
          <w:rFonts w:hint="default" w:ascii="Times New Roman" w:hAnsi="Times New Roman" w:eastAsia="宋体" w:cs="Times New Roman"/>
          <w:snapToGrid w:val="0"/>
          <w:color w:val="FF0000"/>
          <w:kern w:val="0"/>
          <w:sz w:val="24"/>
          <w:szCs w:val="24"/>
          <w:highlight w:val="none"/>
          <w:lang w:val="en-US" w:eastAsia="zh-CN" w:bidi="ar-SA"/>
        </w:rPr>
        <w:t>根据项目工程分析，本项目废气污染源主要表现为臭气污染，来自牛粪、尿发出的臭气，主要恶臭污染物为 H</w:t>
      </w:r>
      <w:r>
        <w:rPr>
          <w:rFonts w:hint="default" w:ascii="Times New Roman" w:hAnsi="Times New Roman" w:eastAsia="宋体" w:cs="Times New Roman"/>
          <w:snapToGrid w:val="0"/>
          <w:color w:val="FF0000"/>
          <w:kern w:val="0"/>
          <w:sz w:val="24"/>
          <w:szCs w:val="24"/>
          <w:highlight w:val="none"/>
          <w:vertAlign w:val="subscript"/>
          <w:lang w:val="en-US" w:eastAsia="zh-CN" w:bidi="ar-SA"/>
        </w:rPr>
        <w:t>2</w:t>
      </w:r>
      <w:r>
        <w:rPr>
          <w:rFonts w:hint="default" w:ascii="Times New Roman" w:hAnsi="Times New Roman" w:eastAsia="宋体" w:cs="Times New Roman"/>
          <w:snapToGrid w:val="0"/>
          <w:color w:val="FF0000"/>
          <w:kern w:val="0"/>
          <w:sz w:val="24"/>
          <w:szCs w:val="24"/>
          <w:highlight w:val="none"/>
          <w:lang w:val="en-US" w:eastAsia="zh-CN" w:bidi="ar-SA"/>
        </w:rPr>
        <w:t>S 和 NH</w:t>
      </w:r>
      <w:r>
        <w:rPr>
          <w:rFonts w:hint="default" w:ascii="Times New Roman" w:hAnsi="Times New Roman" w:eastAsia="宋体" w:cs="Times New Roman"/>
          <w:snapToGrid w:val="0"/>
          <w:color w:val="FF0000"/>
          <w:kern w:val="0"/>
          <w:sz w:val="24"/>
          <w:szCs w:val="24"/>
          <w:highlight w:val="none"/>
          <w:vertAlign w:val="subscript"/>
          <w:lang w:val="en-US" w:eastAsia="zh-CN" w:bidi="ar-SA"/>
        </w:rPr>
        <w:t>3</w:t>
      </w:r>
      <w:r>
        <w:rPr>
          <w:rFonts w:hint="default" w:ascii="Times New Roman" w:hAnsi="Times New Roman" w:eastAsia="宋体" w:cs="Times New Roman"/>
          <w:snapToGrid w:val="0"/>
          <w:color w:val="FF0000"/>
          <w:kern w:val="0"/>
          <w:sz w:val="24"/>
          <w:szCs w:val="24"/>
          <w:highlight w:val="none"/>
          <w:lang w:val="en-US" w:eastAsia="zh-CN" w:bidi="ar-SA"/>
        </w:rPr>
        <w:t>。虽然其绝对排放量并不大，但嗅觉阈值非常低，影响范围较大。根据嗅觉对臭味的反应，将恶臭强度分为</w:t>
      </w:r>
      <w:r>
        <w:rPr>
          <w:rFonts w:hint="eastAsia" w:ascii="Times New Roman" w:hAnsi="Times New Roman" w:eastAsia="宋体" w:cs="Times New Roman"/>
          <w:snapToGrid w:val="0"/>
          <w:color w:val="FF0000"/>
          <w:kern w:val="0"/>
          <w:sz w:val="24"/>
          <w:szCs w:val="24"/>
          <w:highlight w:val="none"/>
          <w:lang w:val="en-US" w:eastAsia="zh-CN" w:bidi="ar-SA"/>
        </w:rPr>
        <w:t>0-5</w:t>
      </w:r>
      <w:r>
        <w:rPr>
          <w:rFonts w:hint="default" w:ascii="Times New Roman" w:hAnsi="Times New Roman" w:eastAsia="宋体" w:cs="Times New Roman"/>
          <w:snapToGrid w:val="0"/>
          <w:color w:val="FF0000"/>
          <w:kern w:val="0"/>
          <w:sz w:val="24"/>
          <w:szCs w:val="24"/>
          <w:highlight w:val="none"/>
          <w:lang w:val="en-US" w:eastAsia="zh-CN" w:bidi="ar-SA"/>
        </w:rPr>
        <w:t>级，见下表。</w:t>
      </w:r>
    </w:p>
    <w:p w14:paraId="1589511C">
      <w:pPr>
        <w:pStyle w:val="32"/>
        <w:numPr>
          <w:ilvl w:val="0"/>
          <w:numId w:val="0"/>
        </w:numPr>
        <w:jc w:val="center"/>
        <w:rPr>
          <w:rFonts w:hint="default" w:ascii="Times New Roman" w:hAnsi="Times New Roman" w:eastAsia="宋体" w:cs="Times New Roman"/>
          <w:b/>
          <w:bCs/>
          <w:snapToGrid w:val="0"/>
          <w:color w:val="FF0000"/>
          <w:kern w:val="0"/>
          <w:sz w:val="24"/>
          <w:szCs w:val="24"/>
          <w:highlight w:val="none"/>
          <w:lang w:val="en-US" w:eastAsia="zh-CN" w:bidi="ar-SA"/>
        </w:rPr>
      </w:pPr>
      <w:r>
        <w:rPr>
          <w:rFonts w:hint="default" w:ascii="Times New Roman" w:hAnsi="Times New Roman" w:eastAsia="宋体" w:cs="Times New Roman"/>
          <w:b/>
          <w:bCs/>
          <w:snapToGrid w:val="0"/>
          <w:color w:val="FF0000"/>
          <w:kern w:val="0"/>
          <w:sz w:val="24"/>
          <w:szCs w:val="24"/>
          <w:highlight w:val="none"/>
          <w:lang w:val="en-US" w:eastAsia="zh-CN" w:bidi="ar-SA"/>
        </w:rPr>
        <w:t>表5.2-3臭气强度分级</w:t>
      </w:r>
    </w:p>
    <w:tbl>
      <w:tblPr>
        <w:tblStyle w:val="27"/>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45" w:type="dxa"/>
          <w:left w:w="96" w:type="dxa"/>
          <w:bottom w:w="45" w:type="dxa"/>
          <w:right w:w="96" w:type="dxa"/>
        </w:tblCellMar>
      </w:tblPr>
      <w:tblGrid>
        <w:gridCol w:w="805"/>
        <w:gridCol w:w="1359"/>
        <w:gridCol w:w="6336"/>
      </w:tblGrid>
      <w:tr w14:paraId="625A2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tblHeader/>
          <w:jc w:val="center"/>
        </w:trPr>
        <w:tc>
          <w:tcPr>
            <w:tcW w:w="805" w:type="dxa"/>
            <w:tcBorders>
              <w:top w:val="single" w:color="auto" w:sz="12" w:space="0"/>
              <w:left w:val="nil"/>
            </w:tcBorders>
            <w:vAlign w:val="center"/>
          </w:tcPr>
          <w:p w14:paraId="027E4390">
            <w:pPr>
              <w:widowControl w:val="0"/>
              <w:snapToGrid w:val="0"/>
              <w:jc w:val="center"/>
              <w:rPr>
                <w:rFonts w:hint="default" w:ascii="Times New Roman" w:hAnsi="Times New Roman" w:eastAsia="宋体" w:cs="Times New Roman"/>
                <w:b/>
                <w:color w:val="FF0000"/>
                <w:sz w:val="21"/>
                <w:highlight w:val="none"/>
                <w:vertAlign w:val="baseline"/>
                <w:lang w:val="en-US" w:eastAsia="zh-CN"/>
              </w:rPr>
            </w:pPr>
            <w:r>
              <w:rPr>
                <w:rFonts w:hint="default" w:ascii="Times New Roman" w:hAnsi="Times New Roman" w:eastAsia="宋体" w:cs="Times New Roman"/>
                <w:b/>
                <w:color w:val="FF0000"/>
                <w:sz w:val="21"/>
                <w:highlight w:val="none"/>
                <w:vertAlign w:val="baseline"/>
                <w:lang w:val="en-US" w:eastAsia="zh-CN"/>
              </w:rPr>
              <w:t>级别</w:t>
            </w:r>
          </w:p>
        </w:tc>
        <w:tc>
          <w:tcPr>
            <w:tcW w:w="1359" w:type="dxa"/>
            <w:tcBorders>
              <w:top w:val="single" w:color="auto" w:sz="12" w:space="0"/>
            </w:tcBorders>
            <w:vAlign w:val="center"/>
          </w:tcPr>
          <w:p w14:paraId="61D099E9">
            <w:pPr>
              <w:widowControl w:val="0"/>
              <w:snapToGrid w:val="0"/>
              <w:jc w:val="center"/>
              <w:rPr>
                <w:rFonts w:hint="default" w:ascii="Times New Roman" w:hAnsi="Times New Roman" w:eastAsia="宋体" w:cs="Times New Roman"/>
                <w:b/>
                <w:color w:val="FF0000"/>
                <w:sz w:val="21"/>
                <w:highlight w:val="none"/>
                <w:vertAlign w:val="baseline"/>
                <w:lang w:val="en-US" w:eastAsia="zh-CN"/>
              </w:rPr>
            </w:pPr>
            <w:r>
              <w:rPr>
                <w:rFonts w:hint="default" w:ascii="Times New Roman" w:hAnsi="Times New Roman" w:eastAsia="宋体" w:cs="Times New Roman"/>
                <w:b/>
                <w:color w:val="FF0000"/>
                <w:sz w:val="21"/>
                <w:highlight w:val="none"/>
                <w:vertAlign w:val="baseline"/>
                <w:lang w:val="en-US" w:eastAsia="zh-CN"/>
              </w:rPr>
              <w:t>强度</w:t>
            </w:r>
          </w:p>
        </w:tc>
        <w:tc>
          <w:tcPr>
            <w:tcW w:w="6336" w:type="dxa"/>
            <w:tcBorders>
              <w:top w:val="single" w:color="auto" w:sz="12" w:space="0"/>
              <w:right w:val="nil"/>
            </w:tcBorders>
            <w:vAlign w:val="center"/>
          </w:tcPr>
          <w:p w14:paraId="6BA2D136">
            <w:pPr>
              <w:widowControl w:val="0"/>
              <w:snapToGrid w:val="0"/>
              <w:jc w:val="center"/>
              <w:rPr>
                <w:rFonts w:hint="default" w:ascii="Times New Roman" w:hAnsi="Times New Roman" w:eastAsia="宋体" w:cs="Times New Roman"/>
                <w:b/>
                <w:color w:val="FF0000"/>
                <w:sz w:val="21"/>
                <w:highlight w:val="none"/>
                <w:vertAlign w:val="baseline"/>
                <w:lang w:val="en-US" w:eastAsia="zh-CN"/>
              </w:rPr>
            </w:pPr>
            <w:r>
              <w:rPr>
                <w:rFonts w:hint="default" w:ascii="Times New Roman" w:hAnsi="Times New Roman" w:eastAsia="宋体" w:cs="Times New Roman"/>
                <w:b/>
                <w:color w:val="FF0000"/>
                <w:sz w:val="21"/>
                <w:highlight w:val="none"/>
                <w:vertAlign w:val="baseline"/>
                <w:lang w:val="en-US" w:eastAsia="zh-CN"/>
              </w:rPr>
              <w:t>说明</w:t>
            </w:r>
          </w:p>
        </w:tc>
      </w:tr>
      <w:tr w14:paraId="26AD5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805" w:type="dxa"/>
            <w:tcBorders>
              <w:left w:val="nil"/>
            </w:tcBorders>
            <w:vAlign w:val="center"/>
          </w:tcPr>
          <w:p w14:paraId="2B8CF8E6">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0</w:t>
            </w:r>
          </w:p>
        </w:tc>
        <w:tc>
          <w:tcPr>
            <w:tcW w:w="1359" w:type="dxa"/>
            <w:vAlign w:val="center"/>
          </w:tcPr>
          <w:p w14:paraId="26D60437">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无臭气味</w:t>
            </w:r>
          </w:p>
        </w:tc>
        <w:tc>
          <w:tcPr>
            <w:tcW w:w="6336" w:type="dxa"/>
            <w:tcBorders>
              <w:right w:val="nil"/>
            </w:tcBorders>
            <w:vAlign w:val="center"/>
          </w:tcPr>
          <w:p w14:paraId="2E0D3153">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完全嗅不出或感觉不出</w:t>
            </w:r>
          </w:p>
        </w:tc>
      </w:tr>
      <w:tr w14:paraId="2EDD1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805" w:type="dxa"/>
            <w:tcBorders>
              <w:left w:val="nil"/>
            </w:tcBorders>
            <w:vAlign w:val="center"/>
          </w:tcPr>
          <w:p w14:paraId="37870ACC">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1</w:t>
            </w:r>
          </w:p>
        </w:tc>
        <w:tc>
          <w:tcPr>
            <w:tcW w:w="1359" w:type="dxa"/>
            <w:vAlign w:val="center"/>
          </w:tcPr>
          <w:p w14:paraId="4FB6B89B">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极弱</w:t>
            </w:r>
          </w:p>
        </w:tc>
        <w:tc>
          <w:tcPr>
            <w:tcW w:w="6336" w:type="dxa"/>
            <w:tcBorders>
              <w:right w:val="nil"/>
            </w:tcBorders>
            <w:vAlign w:val="center"/>
          </w:tcPr>
          <w:p w14:paraId="652029DF">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一般人感受不到，熟练化验员或经特殊受者可察出</w:t>
            </w:r>
          </w:p>
        </w:tc>
      </w:tr>
      <w:tr w14:paraId="4FB8E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805" w:type="dxa"/>
            <w:tcBorders>
              <w:left w:val="nil"/>
            </w:tcBorders>
            <w:vAlign w:val="center"/>
          </w:tcPr>
          <w:p w14:paraId="1AC1799F">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2</w:t>
            </w:r>
          </w:p>
        </w:tc>
        <w:tc>
          <w:tcPr>
            <w:tcW w:w="1359" w:type="dxa"/>
            <w:vAlign w:val="center"/>
          </w:tcPr>
          <w:p w14:paraId="5ABA8109">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弱</w:t>
            </w:r>
          </w:p>
        </w:tc>
        <w:tc>
          <w:tcPr>
            <w:tcW w:w="6336" w:type="dxa"/>
            <w:tcBorders>
              <w:right w:val="nil"/>
            </w:tcBorders>
            <w:vAlign w:val="center"/>
          </w:tcPr>
          <w:p w14:paraId="3CDD619A">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多数人注意后可感觉到</w:t>
            </w:r>
          </w:p>
        </w:tc>
      </w:tr>
      <w:tr w14:paraId="0BE2F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805" w:type="dxa"/>
            <w:tcBorders>
              <w:left w:val="nil"/>
            </w:tcBorders>
            <w:vAlign w:val="center"/>
          </w:tcPr>
          <w:p w14:paraId="238D258C">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3</w:t>
            </w:r>
          </w:p>
        </w:tc>
        <w:tc>
          <w:tcPr>
            <w:tcW w:w="1359" w:type="dxa"/>
            <w:vAlign w:val="center"/>
          </w:tcPr>
          <w:p w14:paraId="74FF8198">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显著</w:t>
            </w:r>
          </w:p>
        </w:tc>
        <w:tc>
          <w:tcPr>
            <w:tcW w:w="6336" w:type="dxa"/>
            <w:tcBorders>
              <w:right w:val="nil"/>
            </w:tcBorders>
            <w:vAlign w:val="center"/>
          </w:tcPr>
          <w:p w14:paraId="1AD7EDC6">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易于感觉</w:t>
            </w:r>
          </w:p>
        </w:tc>
      </w:tr>
      <w:tr w14:paraId="12BF2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805" w:type="dxa"/>
            <w:tcBorders>
              <w:left w:val="nil"/>
            </w:tcBorders>
            <w:vAlign w:val="center"/>
          </w:tcPr>
          <w:p w14:paraId="6663DDC2">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4</w:t>
            </w:r>
          </w:p>
        </w:tc>
        <w:tc>
          <w:tcPr>
            <w:tcW w:w="1359" w:type="dxa"/>
            <w:vAlign w:val="center"/>
          </w:tcPr>
          <w:p w14:paraId="20A4AB1D">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强</w:t>
            </w:r>
          </w:p>
        </w:tc>
        <w:tc>
          <w:tcPr>
            <w:tcW w:w="6336" w:type="dxa"/>
            <w:tcBorders>
              <w:right w:val="nil"/>
            </w:tcBorders>
            <w:vAlign w:val="center"/>
          </w:tcPr>
          <w:p w14:paraId="29BC4C7F">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迅速产生不愉快的感觉</w:t>
            </w:r>
          </w:p>
        </w:tc>
      </w:tr>
      <w:tr w14:paraId="1ABC5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805" w:type="dxa"/>
            <w:tcBorders>
              <w:left w:val="nil"/>
              <w:bottom w:val="single" w:color="auto" w:sz="12" w:space="0"/>
            </w:tcBorders>
            <w:vAlign w:val="center"/>
          </w:tcPr>
          <w:p w14:paraId="04DBDC61">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5</w:t>
            </w:r>
          </w:p>
        </w:tc>
        <w:tc>
          <w:tcPr>
            <w:tcW w:w="1359" w:type="dxa"/>
            <w:tcBorders>
              <w:bottom w:val="single" w:color="auto" w:sz="12" w:space="0"/>
            </w:tcBorders>
            <w:vAlign w:val="center"/>
          </w:tcPr>
          <w:p w14:paraId="4758AE8A">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极强</w:t>
            </w:r>
          </w:p>
        </w:tc>
        <w:tc>
          <w:tcPr>
            <w:tcW w:w="6336" w:type="dxa"/>
            <w:tcBorders>
              <w:bottom w:val="single" w:color="auto" w:sz="12" w:space="0"/>
              <w:right w:val="nil"/>
            </w:tcBorders>
            <w:vAlign w:val="center"/>
          </w:tcPr>
          <w:p w14:paraId="3660A5DE">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强烈异臭和异味</w:t>
            </w:r>
          </w:p>
        </w:tc>
      </w:tr>
    </w:tbl>
    <w:p w14:paraId="6725A61D">
      <w:pPr>
        <w:pStyle w:val="32"/>
        <w:numPr>
          <w:ilvl w:val="0"/>
          <w:numId w:val="0"/>
        </w:numPr>
        <w:ind w:firstLine="480" w:firstLineChars="200"/>
        <w:jc w:val="both"/>
        <w:rPr>
          <w:rFonts w:hint="default" w:ascii="Times New Roman" w:hAnsi="Times New Roman" w:eastAsia="宋体" w:cs="Times New Roman"/>
          <w:snapToGrid w:val="0"/>
          <w:color w:val="FF0000"/>
          <w:kern w:val="0"/>
          <w:sz w:val="24"/>
          <w:szCs w:val="24"/>
          <w:highlight w:val="none"/>
          <w:lang w:val="en-US" w:eastAsia="zh-CN" w:bidi="ar-SA"/>
        </w:rPr>
      </w:pPr>
      <w:r>
        <w:rPr>
          <w:rFonts w:hint="default" w:ascii="Times New Roman" w:hAnsi="Times New Roman" w:eastAsia="宋体" w:cs="Times New Roman"/>
          <w:snapToGrid w:val="0"/>
          <w:color w:val="FF0000"/>
          <w:kern w:val="0"/>
          <w:sz w:val="24"/>
          <w:szCs w:val="24"/>
          <w:highlight w:val="none"/>
          <w:lang w:val="en-US" w:eastAsia="zh-CN" w:bidi="ar-SA"/>
        </w:rPr>
        <w:t>臭气强度与臭味物质浓度的关系见下表</w:t>
      </w:r>
    </w:p>
    <w:p w14:paraId="4DBB766E">
      <w:pPr>
        <w:pStyle w:val="32"/>
        <w:numPr>
          <w:ilvl w:val="0"/>
          <w:numId w:val="0"/>
        </w:numPr>
        <w:jc w:val="center"/>
        <w:rPr>
          <w:rFonts w:hint="default" w:ascii="Times New Roman" w:hAnsi="Times New Roman" w:eastAsia="宋体" w:cs="Times New Roman"/>
          <w:b/>
          <w:bCs/>
          <w:snapToGrid w:val="0"/>
          <w:color w:val="FF0000"/>
          <w:kern w:val="0"/>
          <w:sz w:val="24"/>
          <w:szCs w:val="24"/>
          <w:highlight w:val="none"/>
          <w:lang w:val="en-US" w:eastAsia="zh-CN" w:bidi="ar-SA"/>
        </w:rPr>
      </w:pPr>
      <w:r>
        <w:rPr>
          <w:rFonts w:hint="default" w:ascii="Times New Roman" w:hAnsi="Times New Roman" w:eastAsia="宋体" w:cs="Times New Roman"/>
          <w:b/>
          <w:bCs/>
          <w:snapToGrid w:val="0"/>
          <w:color w:val="FF0000"/>
          <w:kern w:val="0"/>
          <w:sz w:val="24"/>
          <w:szCs w:val="24"/>
          <w:highlight w:val="none"/>
          <w:lang w:val="en-US" w:eastAsia="zh-CN" w:bidi="ar-SA"/>
        </w:rPr>
        <w:t>表5.2-4臭气强度与臭味物质浓度关系</w:t>
      </w:r>
    </w:p>
    <w:tbl>
      <w:tblPr>
        <w:tblStyle w:val="27"/>
        <w:tblW w:w="846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56" w:type="dxa"/>
          <w:left w:w="77" w:type="dxa"/>
          <w:bottom w:w="56" w:type="dxa"/>
          <w:right w:w="77" w:type="dxa"/>
        </w:tblCellMar>
      </w:tblPr>
      <w:tblGrid>
        <w:gridCol w:w="1731"/>
        <w:gridCol w:w="1275"/>
        <w:gridCol w:w="1092"/>
        <w:gridCol w:w="909"/>
        <w:gridCol w:w="909"/>
        <w:gridCol w:w="726"/>
        <w:gridCol w:w="909"/>
        <w:gridCol w:w="909"/>
      </w:tblGrid>
      <w:tr w14:paraId="7D024A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6" w:type="dxa"/>
            <w:left w:w="77" w:type="dxa"/>
            <w:bottom w:w="56" w:type="dxa"/>
            <w:right w:w="77" w:type="dxa"/>
          </w:tblCellMar>
        </w:tblPrEx>
        <w:trPr>
          <w:trHeight w:val="0" w:hRule="atLeast"/>
          <w:jc w:val="center"/>
        </w:trPr>
        <w:tc>
          <w:tcPr>
            <w:tcW w:w="1731" w:type="dxa"/>
            <w:tcBorders>
              <w:tl2br w:val="nil"/>
              <w:tr2bl w:val="nil"/>
            </w:tcBorders>
            <w:vAlign w:val="top"/>
          </w:tcPr>
          <w:p w14:paraId="1AA6DB80">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臭气强度</w:t>
            </w:r>
          </w:p>
        </w:tc>
        <w:tc>
          <w:tcPr>
            <w:tcW w:w="1275" w:type="dxa"/>
            <w:tcBorders>
              <w:tl2br w:val="nil"/>
              <w:tr2bl w:val="nil"/>
            </w:tcBorders>
          </w:tcPr>
          <w:p w14:paraId="3FE94D6C">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1</w:t>
            </w:r>
          </w:p>
        </w:tc>
        <w:tc>
          <w:tcPr>
            <w:tcW w:w="1092" w:type="dxa"/>
            <w:tcBorders>
              <w:tl2br w:val="nil"/>
              <w:tr2bl w:val="nil"/>
            </w:tcBorders>
          </w:tcPr>
          <w:p w14:paraId="2D0FD2FD">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2</w:t>
            </w:r>
          </w:p>
        </w:tc>
        <w:tc>
          <w:tcPr>
            <w:tcW w:w="909" w:type="dxa"/>
            <w:tcBorders>
              <w:tl2br w:val="nil"/>
              <w:tr2bl w:val="nil"/>
            </w:tcBorders>
          </w:tcPr>
          <w:p w14:paraId="1C69E4C9">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2.5</w:t>
            </w:r>
          </w:p>
        </w:tc>
        <w:tc>
          <w:tcPr>
            <w:tcW w:w="909" w:type="dxa"/>
            <w:tcBorders>
              <w:tl2br w:val="nil"/>
              <w:tr2bl w:val="nil"/>
            </w:tcBorders>
          </w:tcPr>
          <w:p w14:paraId="6FBAEED6">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3</w:t>
            </w:r>
          </w:p>
        </w:tc>
        <w:tc>
          <w:tcPr>
            <w:tcW w:w="726" w:type="dxa"/>
            <w:tcBorders>
              <w:tl2br w:val="nil"/>
              <w:tr2bl w:val="nil"/>
            </w:tcBorders>
          </w:tcPr>
          <w:p w14:paraId="0E5AE547">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3.5</w:t>
            </w:r>
          </w:p>
        </w:tc>
        <w:tc>
          <w:tcPr>
            <w:tcW w:w="909" w:type="dxa"/>
            <w:tcBorders>
              <w:tl2br w:val="nil"/>
              <w:tr2bl w:val="nil"/>
            </w:tcBorders>
          </w:tcPr>
          <w:p w14:paraId="76A29CF5">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4</w:t>
            </w:r>
          </w:p>
        </w:tc>
        <w:tc>
          <w:tcPr>
            <w:tcW w:w="909" w:type="dxa"/>
            <w:tcBorders>
              <w:tl2br w:val="nil"/>
              <w:tr2bl w:val="nil"/>
            </w:tcBorders>
          </w:tcPr>
          <w:p w14:paraId="1AE04891">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5</w:t>
            </w:r>
          </w:p>
        </w:tc>
      </w:tr>
      <w:tr w14:paraId="3B6CED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6" w:type="dxa"/>
            <w:left w:w="77" w:type="dxa"/>
            <w:bottom w:w="56" w:type="dxa"/>
            <w:right w:w="77" w:type="dxa"/>
          </w:tblCellMar>
        </w:tblPrEx>
        <w:trPr>
          <w:trHeight w:val="0" w:hRule="atLeast"/>
          <w:jc w:val="center"/>
        </w:trPr>
        <w:tc>
          <w:tcPr>
            <w:tcW w:w="1731" w:type="dxa"/>
            <w:tcBorders>
              <w:tl2br w:val="nil"/>
              <w:tr2bl w:val="nil"/>
            </w:tcBorders>
          </w:tcPr>
          <w:p w14:paraId="4107D9EB">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snapToGrid w:val="0"/>
                <w:color w:val="FF0000"/>
                <w:kern w:val="0"/>
                <w:sz w:val="21"/>
                <w:szCs w:val="21"/>
                <w:highlight w:val="none"/>
                <w:lang w:val="en-US" w:eastAsia="zh-CN" w:bidi="ar-SA"/>
              </w:rPr>
              <w:t>H</w:t>
            </w:r>
            <w:r>
              <w:rPr>
                <w:rFonts w:hint="default" w:ascii="Times New Roman" w:hAnsi="Times New Roman" w:eastAsia="宋体" w:cs="Times New Roman"/>
                <w:snapToGrid w:val="0"/>
                <w:color w:val="FF0000"/>
                <w:kern w:val="0"/>
                <w:sz w:val="21"/>
                <w:szCs w:val="21"/>
                <w:highlight w:val="none"/>
                <w:vertAlign w:val="subscript"/>
                <w:lang w:val="en-US" w:eastAsia="zh-CN" w:bidi="ar-SA"/>
              </w:rPr>
              <w:t>2</w:t>
            </w:r>
            <w:r>
              <w:rPr>
                <w:rFonts w:hint="default" w:ascii="Times New Roman" w:hAnsi="Times New Roman" w:eastAsia="宋体" w:cs="Times New Roman"/>
                <w:snapToGrid w:val="0"/>
                <w:color w:val="FF0000"/>
                <w:kern w:val="0"/>
                <w:sz w:val="21"/>
                <w:szCs w:val="21"/>
                <w:highlight w:val="none"/>
                <w:lang w:val="en-US" w:eastAsia="zh-CN" w:bidi="ar-SA"/>
              </w:rPr>
              <w:t>S</w:t>
            </w:r>
          </w:p>
        </w:tc>
        <w:tc>
          <w:tcPr>
            <w:tcW w:w="1275" w:type="dxa"/>
            <w:tcBorders>
              <w:tl2br w:val="nil"/>
              <w:tr2bl w:val="nil"/>
            </w:tcBorders>
          </w:tcPr>
          <w:p w14:paraId="535D96D0">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0.1</w:t>
            </w:r>
          </w:p>
        </w:tc>
        <w:tc>
          <w:tcPr>
            <w:tcW w:w="1092" w:type="dxa"/>
            <w:tcBorders>
              <w:tl2br w:val="nil"/>
              <w:tr2bl w:val="nil"/>
            </w:tcBorders>
          </w:tcPr>
          <w:p w14:paraId="5CAEB19B">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0.6</w:t>
            </w:r>
          </w:p>
        </w:tc>
        <w:tc>
          <w:tcPr>
            <w:tcW w:w="909" w:type="dxa"/>
            <w:tcBorders>
              <w:tl2br w:val="nil"/>
              <w:tr2bl w:val="nil"/>
            </w:tcBorders>
          </w:tcPr>
          <w:p w14:paraId="40516CCA">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1.0</w:t>
            </w:r>
          </w:p>
        </w:tc>
        <w:tc>
          <w:tcPr>
            <w:tcW w:w="909" w:type="dxa"/>
            <w:tcBorders>
              <w:tl2br w:val="nil"/>
              <w:tr2bl w:val="nil"/>
            </w:tcBorders>
          </w:tcPr>
          <w:p w14:paraId="5DA4AA48">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2.0</w:t>
            </w:r>
          </w:p>
        </w:tc>
        <w:tc>
          <w:tcPr>
            <w:tcW w:w="726" w:type="dxa"/>
            <w:tcBorders>
              <w:tl2br w:val="nil"/>
              <w:tr2bl w:val="nil"/>
            </w:tcBorders>
          </w:tcPr>
          <w:p w14:paraId="3FFB711D">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5.0</w:t>
            </w:r>
          </w:p>
        </w:tc>
        <w:tc>
          <w:tcPr>
            <w:tcW w:w="909" w:type="dxa"/>
            <w:tcBorders>
              <w:tl2br w:val="nil"/>
              <w:tr2bl w:val="nil"/>
            </w:tcBorders>
          </w:tcPr>
          <w:p w14:paraId="0547BA7A">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10.0</w:t>
            </w:r>
          </w:p>
        </w:tc>
        <w:tc>
          <w:tcPr>
            <w:tcW w:w="909" w:type="dxa"/>
            <w:tcBorders>
              <w:tl2br w:val="nil"/>
              <w:tr2bl w:val="nil"/>
            </w:tcBorders>
          </w:tcPr>
          <w:p w14:paraId="6D20FBA2">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40.0</w:t>
            </w:r>
          </w:p>
        </w:tc>
      </w:tr>
      <w:tr w14:paraId="04B015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56" w:type="dxa"/>
            <w:left w:w="77" w:type="dxa"/>
            <w:bottom w:w="56" w:type="dxa"/>
            <w:right w:w="77" w:type="dxa"/>
          </w:tblCellMar>
        </w:tblPrEx>
        <w:trPr>
          <w:trHeight w:val="0" w:hRule="atLeast"/>
          <w:jc w:val="center"/>
        </w:trPr>
        <w:tc>
          <w:tcPr>
            <w:tcW w:w="1731" w:type="dxa"/>
            <w:tcBorders>
              <w:tl2br w:val="nil"/>
              <w:tr2bl w:val="nil"/>
            </w:tcBorders>
          </w:tcPr>
          <w:p w14:paraId="71D1D354">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snapToGrid w:val="0"/>
                <w:color w:val="FF0000"/>
                <w:kern w:val="0"/>
                <w:sz w:val="21"/>
                <w:szCs w:val="21"/>
                <w:highlight w:val="none"/>
                <w:lang w:val="en-US" w:eastAsia="zh-CN" w:bidi="ar-SA"/>
              </w:rPr>
              <w:t>NH</w:t>
            </w:r>
            <w:r>
              <w:rPr>
                <w:rFonts w:hint="default" w:ascii="Times New Roman" w:hAnsi="Times New Roman" w:eastAsia="宋体" w:cs="Times New Roman"/>
                <w:snapToGrid w:val="0"/>
                <w:color w:val="FF0000"/>
                <w:kern w:val="0"/>
                <w:sz w:val="21"/>
                <w:szCs w:val="21"/>
                <w:highlight w:val="none"/>
                <w:vertAlign w:val="subscript"/>
                <w:lang w:val="en-US" w:eastAsia="zh-CN" w:bidi="ar-SA"/>
              </w:rPr>
              <w:t>3</w:t>
            </w:r>
          </w:p>
        </w:tc>
        <w:tc>
          <w:tcPr>
            <w:tcW w:w="1275" w:type="dxa"/>
            <w:tcBorders>
              <w:tl2br w:val="nil"/>
              <w:tr2bl w:val="nil"/>
            </w:tcBorders>
          </w:tcPr>
          <w:p w14:paraId="05C17DAC">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0.0005</w:t>
            </w:r>
          </w:p>
        </w:tc>
        <w:tc>
          <w:tcPr>
            <w:tcW w:w="1092" w:type="dxa"/>
            <w:tcBorders>
              <w:tl2br w:val="nil"/>
              <w:tr2bl w:val="nil"/>
            </w:tcBorders>
          </w:tcPr>
          <w:p w14:paraId="5C5A76A7">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0.006</w:t>
            </w:r>
          </w:p>
        </w:tc>
        <w:tc>
          <w:tcPr>
            <w:tcW w:w="909" w:type="dxa"/>
            <w:tcBorders>
              <w:tl2br w:val="nil"/>
              <w:tr2bl w:val="nil"/>
            </w:tcBorders>
          </w:tcPr>
          <w:p w14:paraId="472FBDF9">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0.02</w:t>
            </w:r>
          </w:p>
        </w:tc>
        <w:tc>
          <w:tcPr>
            <w:tcW w:w="909" w:type="dxa"/>
            <w:tcBorders>
              <w:tl2br w:val="nil"/>
              <w:tr2bl w:val="nil"/>
            </w:tcBorders>
          </w:tcPr>
          <w:p w14:paraId="432BACFD">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0.06</w:t>
            </w:r>
          </w:p>
        </w:tc>
        <w:tc>
          <w:tcPr>
            <w:tcW w:w="726" w:type="dxa"/>
            <w:tcBorders>
              <w:tl2br w:val="nil"/>
              <w:tr2bl w:val="nil"/>
            </w:tcBorders>
          </w:tcPr>
          <w:p w14:paraId="5C159CB6">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0.2</w:t>
            </w:r>
          </w:p>
        </w:tc>
        <w:tc>
          <w:tcPr>
            <w:tcW w:w="909" w:type="dxa"/>
            <w:tcBorders>
              <w:tl2br w:val="nil"/>
              <w:tr2bl w:val="nil"/>
            </w:tcBorders>
          </w:tcPr>
          <w:p w14:paraId="6DE76EA1">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0.7</w:t>
            </w:r>
          </w:p>
        </w:tc>
        <w:tc>
          <w:tcPr>
            <w:tcW w:w="909" w:type="dxa"/>
            <w:tcBorders>
              <w:tl2br w:val="nil"/>
              <w:tr2bl w:val="nil"/>
            </w:tcBorders>
          </w:tcPr>
          <w:p w14:paraId="5067A164">
            <w:pPr>
              <w:pStyle w:val="32"/>
              <w:numPr>
                <w:ilvl w:val="0"/>
                <w:numId w:val="0"/>
              </w:numPr>
              <w:snapToGrid w:val="0"/>
              <w:jc w:val="center"/>
              <w:rPr>
                <w:rFonts w:hint="default" w:ascii="Times New Roman" w:hAnsi="Times New Roman" w:eastAsia="宋体" w:cs="Times New Roman"/>
                <w:color w:val="FF0000"/>
                <w:sz w:val="21"/>
                <w:szCs w:val="21"/>
                <w:highlight w:val="none"/>
                <w:vertAlign w:val="baseline"/>
                <w:lang w:val="en-US" w:eastAsia="zh-CN"/>
              </w:rPr>
            </w:pPr>
            <w:r>
              <w:rPr>
                <w:rFonts w:hint="default" w:ascii="Times New Roman" w:hAnsi="Times New Roman" w:eastAsia="宋体" w:cs="Times New Roman"/>
                <w:color w:val="FF0000"/>
                <w:sz w:val="21"/>
                <w:szCs w:val="21"/>
                <w:highlight w:val="none"/>
                <w:vertAlign w:val="baseline"/>
                <w:lang w:val="en-US" w:eastAsia="zh-CN"/>
              </w:rPr>
              <w:t>3.0</w:t>
            </w:r>
          </w:p>
        </w:tc>
      </w:tr>
    </w:tbl>
    <w:p w14:paraId="7D02B2C6">
      <w:pPr>
        <w:pStyle w:val="32"/>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480" w:firstLineChars="200"/>
        <w:jc w:val="both"/>
        <w:textAlignment w:val="baseline"/>
        <w:rPr>
          <w:rFonts w:hint="default" w:ascii="Times New Roman" w:hAnsi="Times New Roman" w:eastAsia="宋体" w:cs="Times New Roman"/>
          <w:color w:val="FF0000"/>
          <w:highlight w:val="none"/>
          <w:lang w:val="en-US" w:eastAsia="zh-CN"/>
        </w:rPr>
      </w:pPr>
      <w:r>
        <w:rPr>
          <w:rFonts w:hint="default" w:ascii="Times New Roman" w:hAnsi="Times New Roman" w:eastAsia="宋体" w:cs="Times New Roman"/>
          <w:color w:val="FF0000"/>
          <w:highlight w:val="none"/>
          <w:lang w:val="en-US" w:eastAsia="zh-CN"/>
        </w:rPr>
        <w:t>由表 5.2-1、表 5.2-2 可知，当 NH</w:t>
      </w:r>
      <w:r>
        <w:rPr>
          <w:rFonts w:hint="default" w:ascii="Times New Roman" w:hAnsi="Times New Roman" w:eastAsia="宋体" w:cs="Times New Roman"/>
          <w:color w:val="FF0000"/>
          <w:highlight w:val="none"/>
          <w:vertAlign w:val="subscript"/>
          <w:lang w:val="en-US" w:eastAsia="zh-CN"/>
        </w:rPr>
        <w:t>3</w:t>
      </w:r>
      <w:r>
        <w:rPr>
          <w:rFonts w:hint="default" w:ascii="Times New Roman" w:hAnsi="Times New Roman" w:eastAsia="宋体" w:cs="Times New Roman"/>
          <w:color w:val="FF0000"/>
          <w:highlight w:val="none"/>
          <w:lang w:val="en-US" w:eastAsia="zh-CN"/>
        </w:rPr>
        <w:t>和 H</w:t>
      </w:r>
      <w:r>
        <w:rPr>
          <w:rFonts w:hint="default" w:ascii="Times New Roman" w:hAnsi="Times New Roman" w:eastAsia="宋体" w:cs="Times New Roman"/>
          <w:color w:val="FF0000"/>
          <w:highlight w:val="none"/>
          <w:vertAlign w:val="subscript"/>
          <w:lang w:val="en-US" w:eastAsia="zh-CN"/>
        </w:rPr>
        <w:t>2</w:t>
      </w:r>
      <w:r>
        <w:rPr>
          <w:rFonts w:hint="default" w:ascii="Times New Roman" w:hAnsi="Times New Roman" w:eastAsia="宋体" w:cs="Times New Roman"/>
          <w:color w:val="FF0000"/>
          <w:highlight w:val="none"/>
          <w:lang w:val="en-US" w:eastAsia="zh-CN"/>
        </w:rPr>
        <w:t>S 厂界满足《恶臭污染物排放标准》时分别对应的臭气强度为 2～2.5 和 1，对比之下，NH</w:t>
      </w:r>
      <w:r>
        <w:rPr>
          <w:rFonts w:hint="default" w:ascii="Times New Roman" w:hAnsi="Times New Roman" w:eastAsia="宋体" w:cs="Times New Roman"/>
          <w:color w:val="FF0000"/>
          <w:highlight w:val="none"/>
          <w:vertAlign w:val="subscript"/>
          <w:lang w:val="en-US" w:eastAsia="zh-CN"/>
        </w:rPr>
        <w:t>3</w:t>
      </w:r>
      <w:r>
        <w:rPr>
          <w:rFonts w:hint="default" w:ascii="Times New Roman" w:hAnsi="Times New Roman" w:eastAsia="宋体" w:cs="Times New Roman"/>
          <w:color w:val="FF0000"/>
          <w:highlight w:val="none"/>
          <w:lang w:val="en-US" w:eastAsia="zh-CN"/>
        </w:rPr>
        <w:t>的影响比H</w:t>
      </w:r>
      <w:r>
        <w:rPr>
          <w:rFonts w:hint="default" w:ascii="Times New Roman" w:hAnsi="Times New Roman" w:eastAsia="宋体" w:cs="Times New Roman"/>
          <w:color w:val="FF0000"/>
          <w:highlight w:val="none"/>
          <w:vertAlign w:val="subscript"/>
          <w:lang w:val="en-US" w:eastAsia="zh-CN"/>
        </w:rPr>
        <w:t>2</w:t>
      </w:r>
      <w:r>
        <w:rPr>
          <w:rFonts w:hint="default" w:ascii="Times New Roman" w:hAnsi="Times New Roman" w:eastAsia="宋体" w:cs="Times New Roman"/>
          <w:color w:val="FF0000"/>
          <w:highlight w:val="none"/>
          <w:lang w:val="en-US" w:eastAsia="zh-CN"/>
        </w:rPr>
        <w:t>S 的影响大。同时臭气强度在 22.5 时，说明多数人注意后可感觉到。表5.2-3 列出了感觉到主要恶臭物质的浓度阈值。</w:t>
      </w:r>
    </w:p>
    <w:p w14:paraId="71CFF414">
      <w:pPr>
        <w:pStyle w:val="11"/>
        <w:keepNext w:val="0"/>
        <w:keepLines w:val="0"/>
        <w:pageBreakBefore w:val="0"/>
        <w:widowControl/>
        <w:kinsoku w:val="0"/>
        <w:wordWrap/>
        <w:overflowPunct/>
        <w:topLinePunct w:val="0"/>
        <w:autoSpaceDE w:val="0"/>
        <w:autoSpaceDN w:val="0"/>
        <w:bidi w:val="0"/>
        <w:adjustRightInd w:val="0"/>
        <w:snapToGrid w:val="0"/>
        <w:spacing w:line="240" w:lineRule="auto"/>
        <w:ind w:firstLine="482" w:firstLineChars="200"/>
        <w:jc w:val="center"/>
        <w:textAlignment w:val="baseline"/>
        <w:rPr>
          <w:rFonts w:hint="default" w:ascii="Times New Roman" w:hAnsi="Times New Roman" w:eastAsia="宋体" w:cs="Times New Roman"/>
          <w:snapToGrid w:val="0"/>
          <w:color w:val="FF0000"/>
          <w:kern w:val="0"/>
          <w:sz w:val="24"/>
          <w:szCs w:val="24"/>
          <w:highlight w:val="none"/>
          <w:lang w:val="en-US" w:eastAsia="en-US" w:bidi="ar-SA"/>
        </w:rPr>
      </w:pPr>
      <w:r>
        <w:rPr>
          <w:rFonts w:hint="default" w:ascii="Times New Roman" w:hAnsi="Times New Roman" w:eastAsia="宋体" w:cs="Times New Roman"/>
          <w:b/>
          <w:bCs/>
          <w:snapToGrid w:val="0"/>
          <w:color w:val="FF0000"/>
          <w:kern w:val="0"/>
          <w:sz w:val="24"/>
          <w:szCs w:val="24"/>
          <w:highlight w:val="none"/>
          <w:lang w:val="en-US" w:eastAsia="zh-CN" w:bidi="ar-SA"/>
        </w:rPr>
        <w:t>表5.2-5主要恶臭物质的阈值浓度</w:t>
      </w:r>
    </w:p>
    <w:tbl>
      <w:tblPr>
        <w:tblStyle w:val="27"/>
        <w:tblW w:w="78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45" w:type="dxa"/>
          <w:left w:w="96" w:type="dxa"/>
          <w:bottom w:w="45" w:type="dxa"/>
          <w:right w:w="96" w:type="dxa"/>
        </w:tblCellMar>
      </w:tblPr>
      <w:tblGrid>
        <w:gridCol w:w="2620"/>
        <w:gridCol w:w="5199"/>
      </w:tblGrid>
      <w:tr w14:paraId="3D3D0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tblHeader/>
          <w:jc w:val="center"/>
        </w:trPr>
        <w:tc>
          <w:tcPr>
            <w:tcW w:w="2620" w:type="dxa"/>
            <w:tcBorders>
              <w:top w:val="single" w:color="auto" w:sz="12" w:space="0"/>
              <w:left w:val="nil"/>
            </w:tcBorders>
            <w:vAlign w:val="center"/>
          </w:tcPr>
          <w:p w14:paraId="1B2C1821">
            <w:pPr>
              <w:widowControl w:val="0"/>
              <w:snapToGrid w:val="0"/>
              <w:jc w:val="center"/>
              <w:rPr>
                <w:rFonts w:hint="default" w:ascii="Times New Roman" w:hAnsi="Times New Roman" w:eastAsia="宋体" w:cs="Times New Roman"/>
                <w:b/>
                <w:color w:val="FF0000"/>
                <w:sz w:val="21"/>
                <w:highlight w:val="none"/>
                <w:vertAlign w:val="baseline"/>
                <w:lang w:val="en-US" w:eastAsia="zh-CN"/>
              </w:rPr>
            </w:pPr>
            <w:r>
              <w:rPr>
                <w:rFonts w:hint="default" w:ascii="Times New Roman" w:hAnsi="Times New Roman" w:eastAsia="宋体" w:cs="Times New Roman"/>
                <w:b/>
                <w:color w:val="FF0000"/>
                <w:sz w:val="21"/>
                <w:highlight w:val="none"/>
                <w:vertAlign w:val="baseline"/>
                <w:lang w:val="en-US" w:eastAsia="zh-CN"/>
              </w:rPr>
              <w:t>物质</w:t>
            </w:r>
          </w:p>
        </w:tc>
        <w:tc>
          <w:tcPr>
            <w:tcW w:w="5199" w:type="dxa"/>
            <w:tcBorders>
              <w:top w:val="single" w:color="auto" w:sz="12" w:space="0"/>
              <w:right w:val="nil"/>
            </w:tcBorders>
            <w:vAlign w:val="center"/>
          </w:tcPr>
          <w:p w14:paraId="1A854DB0">
            <w:pPr>
              <w:widowControl w:val="0"/>
              <w:snapToGrid w:val="0"/>
              <w:jc w:val="center"/>
              <w:rPr>
                <w:rFonts w:hint="default" w:ascii="Times New Roman" w:hAnsi="Times New Roman" w:eastAsia="宋体" w:cs="Times New Roman"/>
                <w:b/>
                <w:color w:val="FF0000"/>
                <w:sz w:val="21"/>
                <w:highlight w:val="none"/>
                <w:vertAlign w:val="baseline"/>
                <w:lang w:val="en-US" w:eastAsia="zh-CN"/>
              </w:rPr>
            </w:pPr>
            <w:r>
              <w:rPr>
                <w:rFonts w:hint="default" w:ascii="Times New Roman" w:hAnsi="Times New Roman" w:eastAsia="宋体" w:cs="Times New Roman"/>
                <w:b/>
                <w:color w:val="FF0000"/>
                <w:sz w:val="21"/>
                <w:highlight w:val="none"/>
                <w:vertAlign w:val="baseline"/>
                <w:lang w:val="en-US" w:eastAsia="zh-CN"/>
              </w:rPr>
              <w:t>阈值浓度（ppm）</w:t>
            </w:r>
          </w:p>
        </w:tc>
      </w:tr>
      <w:tr w14:paraId="0142E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6CED5305">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氨</w:t>
            </w:r>
          </w:p>
        </w:tc>
        <w:tc>
          <w:tcPr>
            <w:tcW w:w="5199" w:type="dxa"/>
            <w:tcBorders>
              <w:right w:val="nil"/>
            </w:tcBorders>
            <w:vAlign w:val="center"/>
          </w:tcPr>
          <w:p w14:paraId="63AD9F37">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40-50</w:t>
            </w:r>
          </w:p>
        </w:tc>
      </w:tr>
      <w:tr w14:paraId="06088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38AD79F5">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硫化氢</w:t>
            </w:r>
          </w:p>
        </w:tc>
        <w:tc>
          <w:tcPr>
            <w:tcW w:w="5199" w:type="dxa"/>
            <w:tcBorders>
              <w:right w:val="nil"/>
            </w:tcBorders>
            <w:vAlign w:val="center"/>
          </w:tcPr>
          <w:p w14:paraId="69516F20">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0.0005-1</w:t>
            </w:r>
          </w:p>
        </w:tc>
      </w:tr>
      <w:tr w14:paraId="3794F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76866876">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甲硫醇</w:t>
            </w:r>
          </w:p>
        </w:tc>
        <w:tc>
          <w:tcPr>
            <w:tcW w:w="5199" w:type="dxa"/>
            <w:tcBorders>
              <w:right w:val="nil"/>
            </w:tcBorders>
            <w:vAlign w:val="center"/>
          </w:tcPr>
          <w:p w14:paraId="16338875">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0.0001-0.0011</w:t>
            </w:r>
          </w:p>
        </w:tc>
      </w:tr>
      <w:tr w14:paraId="06783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6AF1821E">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硫化甲基</w:t>
            </w:r>
          </w:p>
        </w:tc>
        <w:tc>
          <w:tcPr>
            <w:tcW w:w="5199" w:type="dxa"/>
            <w:tcBorders>
              <w:right w:val="nil"/>
            </w:tcBorders>
            <w:vAlign w:val="center"/>
          </w:tcPr>
          <w:p w14:paraId="7E83D808">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0.01</w:t>
            </w:r>
          </w:p>
        </w:tc>
      </w:tr>
      <w:tr w14:paraId="1FC9E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654A0CE1">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三甲胺</w:t>
            </w:r>
          </w:p>
        </w:tc>
        <w:tc>
          <w:tcPr>
            <w:tcW w:w="5199" w:type="dxa"/>
            <w:tcBorders>
              <w:right w:val="nil"/>
            </w:tcBorders>
            <w:vAlign w:val="center"/>
          </w:tcPr>
          <w:p w14:paraId="41DC9814">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0.00021</w:t>
            </w:r>
          </w:p>
        </w:tc>
      </w:tr>
    </w:tbl>
    <w:p w14:paraId="0455D6FE">
      <w:pPr>
        <w:pStyle w:val="11"/>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snapToGrid w:val="0"/>
          <w:color w:val="FF0000"/>
          <w:kern w:val="0"/>
          <w:sz w:val="24"/>
          <w:szCs w:val="24"/>
          <w:highlight w:val="none"/>
          <w:lang w:val="en-US" w:eastAsia="zh-CN" w:bidi="ar-SA"/>
        </w:rPr>
      </w:pPr>
      <w:r>
        <w:rPr>
          <w:rFonts w:hint="default" w:ascii="Times New Roman" w:hAnsi="Times New Roman" w:eastAsia="宋体" w:cs="Times New Roman"/>
          <w:snapToGrid w:val="0"/>
          <w:color w:val="FF0000"/>
          <w:kern w:val="0"/>
          <w:sz w:val="24"/>
          <w:szCs w:val="24"/>
          <w:highlight w:val="none"/>
          <w:lang w:val="en-US" w:eastAsia="zh-CN" w:bidi="ar-SA"/>
        </w:rPr>
        <w:t>上述恶臭污染物质的臭味特征见下表</w:t>
      </w:r>
    </w:p>
    <w:p w14:paraId="1E388407">
      <w:pPr>
        <w:pStyle w:val="11"/>
        <w:keepNext w:val="0"/>
        <w:keepLines w:val="0"/>
        <w:pageBreakBefore w:val="0"/>
        <w:widowControl/>
        <w:kinsoku w:val="0"/>
        <w:wordWrap/>
        <w:overflowPunct/>
        <w:topLinePunct w:val="0"/>
        <w:autoSpaceDE w:val="0"/>
        <w:autoSpaceDN w:val="0"/>
        <w:bidi w:val="0"/>
        <w:adjustRightInd w:val="0"/>
        <w:snapToGrid w:val="0"/>
        <w:spacing w:line="240" w:lineRule="auto"/>
        <w:ind w:firstLine="482" w:firstLineChars="200"/>
        <w:jc w:val="center"/>
        <w:textAlignment w:val="baseline"/>
        <w:rPr>
          <w:rFonts w:hint="default" w:ascii="Times New Roman" w:hAnsi="Times New Roman" w:eastAsia="宋体" w:cs="Times New Roman"/>
          <w:snapToGrid w:val="0"/>
          <w:color w:val="FF0000"/>
          <w:kern w:val="0"/>
          <w:sz w:val="24"/>
          <w:szCs w:val="24"/>
          <w:highlight w:val="none"/>
          <w:lang w:val="en-US" w:eastAsia="en-US" w:bidi="ar-SA"/>
        </w:rPr>
      </w:pPr>
      <w:r>
        <w:rPr>
          <w:rFonts w:hint="default" w:ascii="Times New Roman" w:hAnsi="Times New Roman" w:eastAsia="宋体" w:cs="Times New Roman"/>
          <w:b/>
          <w:bCs/>
          <w:snapToGrid w:val="0"/>
          <w:color w:val="FF0000"/>
          <w:kern w:val="0"/>
          <w:sz w:val="24"/>
          <w:szCs w:val="24"/>
          <w:highlight w:val="none"/>
          <w:lang w:val="en-US" w:eastAsia="zh-CN" w:bidi="ar-SA"/>
        </w:rPr>
        <w:t>表5.2-6主要恶臭物质的臭味特征</w:t>
      </w:r>
    </w:p>
    <w:tbl>
      <w:tblPr>
        <w:tblStyle w:val="27"/>
        <w:tblW w:w="78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45" w:type="dxa"/>
          <w:left w:w="96" w:type="dxa"/>
          <w:bottom w:w="45" w:type="dxa"/>
          <w:right w:w="96" w:type="dxa"/>
        </w:tblCellMar>
      </w:tblPr>
      <w:tblGrid>
        <w:gridCol w:w="2620"/>
        <w:gridCol w:w="5199"/>
      </w:tblGrid>
      <w:tr w14:paraId="23DBF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tblHeader/>
          <w:jc w:val="center"/>
        </w:trPr>
        <w:tc>
          <w:tcPr>
            <w:tcW w:w="2620" w:type="dxa"/>
            <w:tcBorders>
              <w:top w:val="single" w:color="auto" w:sz="12" w:space="0"/>
              <w:left w:val="nil"/>
            </w:tcBorders>
            <w:vAlign w:val="center"/>
          </w:tcPr>
          <w:p w14:paraId="24C4FA91">
            <w:pPr>
              <w:widowControl w:val="0"/>
              <w:snapToGrid w:val="0"/>
              <w:jc w:val="center"/>
              <w:rPr>
                <w:rFonts w:hint="default" w:ascii="Times New Roman" w:hAnsi="Times New Roman" w:eastAsia="宋体" w:cs="Times New Roman"/>
                <w:b/>
                <w:color w:val="FF0000"/>
                <w:sz w:val="21"/>
                <w:highlight w:val="none"/>
                <w:vertAlign w:val="baseline"/>
                <w:lang w:val="en-US" w:eastAsia="zh-CN"/>
              </w:rPr>
            </w:pPr>
            <w:r>
              <w:rPr>
                <w:rFonts w:hint="default" w:ascii="Times New Roman" w:hAnsi="Times New Roman" w:eastAsia="宋体" w:cs="Times New Roman"/>
                <w:b/>
                <w:color w:val="FF0000"/>
                <w:sz w:val="21"/>
                <w:highlight w:val="none"/>
                <w:vertAlign w:val="baseline"/>
                <w:lang w:val="en-US" w:eastAsia="zh-CN"/>
              </w:rPr>
              <w:t>物质</w:t>
            </w:r>
          </w:p>
        </w:tc>
        <w:tc>
          <w:tcPr>
            <w:tcW w:w="5199" w:type="dxa"/>
            <w:tcBorders>
              <w:top w:val="single" w:color="auto" w:sz="12" w:space="0"/>
              <w:right w:val="nil"/>
            </w:tcBorders>
            <w:vAlign w:val="center"/>
          </w:tcPr>
          <w:p w14:paraId="76867E34">
            <w:pPr>
              <w:widowControl w:val="0"/>
              <w:snapToGrid w:val="0"/>
              <w:jc w:val="center"/>
              <w:rPr>
                <w:rFonts w:hint="default" w:ascii="Times New Roman" w:hAnsi="Times New Roman" w:eastAsia="宋体" w:cs="Times New Roman"/>
                <w:b/>
                <w:color w:val="FF0000"/>
                <w:sz w:val="21"/>
                <w:highlight w:val="none"/>
                <w:vertAlign w:val="baseline"/>
                <w:lang w:val="en-US" w:eastAsia="zh-CN"/>
              </w:rPr>
            </w:pPr>
            <w:r>
              <w:rPr>
                <w:rFonts w:hint="default" w:ascii="Times New Roman" w:hAnsi="Times New Roman" w:eastAsia="宋体" w:cs="Times New Roman"/>
                <w:b/>
                <w:color w:val="FF0000"/>
                <w:sz w:val="21"/>
                <w:highlight w:val="none"/>
                <w:vertAlign w:val="baseline"/>
                <w:lang w:val="en-US" w:eastAsia="zh-CN"/>
              </w:rPr>
              <w:t>臭味</w:t>
            </w:r>
          </w:p>
        </w:tc>
      </w:tr>
      <w:tr w14:paraId="34013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7BD7A70C">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氨</w:t>
            </w:r>
          </w:p>
        </w:tc>
        <w:tc>
          <w:tcPr>
            <w:tcW w:w="5199" w:type="dxa"/>
            <w:tcBorders>
              <w:right w:val="nil"/>
            </w:tcBorders>
            <w:vAlign w:val="center"/>
          </w:tcPr>
          <w:p w14:paraId="387918A7">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强刺激臭味</w:t>
            </w:r>
          </w:p>
        </w:tc>
      </w:tr>
      <w:tr w14:paraId="377D7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7B161B19">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硫化氢</w:t>
            </w:r>
          </w:p>
        </w:tc>
        <w:tc>
          <w:tcPr>
            <w:tcW w:w="5199" w:type="dxa"/>
            <w:tcBorders>
              <w:right w:val="nil"/>
            </w:tcBorders>
            <w:vAlign w:val="center"/>
          </w:tcPr>
          <w:p w14:paraId="439E210B">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臭鸡蛋味</w:t>
            </w:r>
          </w:p>
        </w:tc>
      </w:tr>
      <w:tr w14:paraId="3C3DC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0C608EE5">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甲硫醇</w:t>
            </w:r>
          </w:p>
        </w:tc>
        <w:tc>
          <w:tcPr>
            <w:tcW w:w="5199" w:type="dxa"/>
            <w:tcBorders>
              <w:right w:val="nil"/>
            </w:tcBorders>
            <w:vAlign w:val="center"/>
          </w:tcPr>
          <w:p w14:paraId="1926993E">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大蒜、韭菜一类臭味</w:t>
            </w:r>
          </w:p>
        </w:tc>
      </w:tr>
      <w:tr w14:paraId="417DB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42EAD714">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硫化甲基</w:t>
            </w:r>
          </w:p>
        </w:tc>
        <w:tc>
          <w:tcPr>
            <w:tcW w:w="5199" w:type="dxa"/>
            <w:tcBorders>
              <w:right w:val="nil"/>
            </w:tcBorders>
            <w:vAlign w:val="center"/>
          </w:tcPr>
          <w:p w14:paraId="344107CA">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大蒜、韭菜一类臭味</w:t>
            </w:r>
          </w:p>
        </w:tc>
      </w:tr>
      <w:tr w14:paraId="1E251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45" w:type="dxa"/>
            <w:left w:w="96" w:type="dxa"/>
            <w:bottom w:w="45" w:type="dxa"/>
            <w:right w:w="96" w:type="dxa"/>
          </w:tblCellMar>
        </w:tblPrEx>
        <w:trPr>
          <w:trHeight w:val="0" w:hRule="atLeast"/>
          <w:jc w:val="center"/>
        </w:trPr>
        <w:tc>
          <w:tcPr>
            <w:tcW w:w="2620" w:type="dxa"/>
            <w:tcBorders>
              <w:left w:val="nil"/>
            </w:tcBorders>
            <w:vAlign w:val="center"/>
          </w:tcPr>
          <w:p w14:paraId="1FBAB24B">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三甲胺</w:t>
            </w:r>
          </w:p>
        </w:tc>
        <w:tc>
          <w:tcPr>
            <w:tcW w:w="5199" w:type="dxa"/>
            <w:tcBorders>
              <w:right w:val="nil"/>
            </w:tcBorders>
            <w:vAlign w:val="center"/>
          </w:tcPr>
          <w:p w14:paraId="0B766A28">
            <w:pPr>
              <w:widowControl w:val="0"/>
              <w:snapToGrid w:val="0"/>
              <w:jc w:val="center"/>
              <w:rPr>
                <w:rFonts w:hint="default" w:ascii="Times New Roman" w:hAnsi="Times New Roman" w:eastAsia="宋体" w:cs="Times New Roman"/>
                <w:color w:val="FF0000"/>
                <w:sz w:val="21"/>
                <w:highlight w:val="none"/>
                <w:vertAlign w:val="baseline"/>
                <w:lang w:val="en-US" w:eastAsia="zh-CN"/>
              </w:rPr>
            </w:pPr>
            <w:r>
              <w:rPr>
                <w:rFonts w:hint="default" w:ascii="Times New Roman" w:hAnsi="Times New Roman" w:eastAsia="宋体" w:cs="Times New Roman"/>
                <w:color w:val="FF0000"/>
                <w:sz w:val="21"/>
                <w:highlight w:val="none"/>
                <w:vertAlign w:val="baseline"/>
                <w:lang w:val="en-US" w:eastAsia="zh-CN"/>
              </w:rPr>
              <w:t>腐鱼似的臭味</w:t>
            </w:r>
          </w:p>
        </w:tc>
      </w:tr>
    </w:tbl>
    <w:p w14:paraId="3A42E8E9">
      <w:pPr>
        <w:pStyle w:val="32"/>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cs="Times New Roman"/>
          <w:highlight w:val="green"/>
          <w:lang w:val="en-US" w:eastAsia="zh-CN"/>
        </w:rPr>
      </w:pPr>
      <w:r>
        <w:rPr>
          <w:rFonts w:hint="default" w:ascii="Times New Roman" w:hAnsi="Times New Roman" w:eastAsia="宋体" w:cs="Times New Roman"/>
          <w:snapToGrid w:val="0"/>
          <w:color w:val="FF0000"/>
          <w:kern w:val="0"/>
          <w:sz w:val="24"/>
          <w:szCs w:val="24"/>
          <w:highlight w:val="none"/>
          <w:lang w:val="en-US" w:eastAsia="en-US" w:bidi="ar-SA"/>
        </w:rPr>
        <w:t>为了解养殖场恶臭对环境空气的影响程度，上海市有关部门对市郊某养殖场专门进行了现场闻味测试，组织10名30岁以下无烟酒嗜好的男女青年进行现场的臭味嗅闻，调查人员分别在畜舍构筑物下风向5m、30m、50m、70m、100m、200m、300m等距离处嗅闻，并以上风向作为对照嗅闻。由嗅闻统计可知，在畜舍设施下风向5m范围内，感觉到较强的臭气味（强度约3～4级），在30m～100m范围内很容易感觉到气味的存在（强度约3～2级），在200m处气味就很弱（强度约1～2级），在300m左右，则基本已嗅闻不到气味。随着距离的增加，臭气浓度会迅速下降，臭气浓度参照执行《恶臭污染物排放标准》(GB14554-93）表 1 中二级新改扩建标准</w:t>
      </w:r>
      <w:r>
        <w:rPr>
          <w:rFonts w:hint="eastAsia" w:ascii="Times New Roman" w:hAnsi="Times New Roman" w:eastAsia="宋体" w:cs="Times New Roman"/>
          <w:snapToGrid w:val="0"/>
          <w:color w:val="FF0000"/>
          <w:kern w:val="0"/>
          <w:sz w:val="24"/>
          <w:szCs w:val="24"/>
          <w:highlight w:val="none"/>
          <w:lang w:val="en-US" w:eastAsia="zh-CN" w:bidi="ar-SA"/>
        </w:rPr>
        <w:t>。</w:t>
      </w:r>
      <w:r>
        <w:rPr>
          <w:rFonts w:hint="default" w:ascii="Times New Roman" w:hAnsi="Times New Roman" w:eastAsia="宋体" w:cs="Times New Roman"/>
          <w:snapToGrid w:val="0"/>
          <w:color w:val="FF0000"/>
          <w:kern w:val="0"/>
          <w:sz w:val="24"/>
          <w:szCs w:val="24"/>
          <w:highlight w:val="none"/>
          <w:lang w:val="en-US" w:eastAsia="en-US" w:bidi="ar-SA"/>
        </w:rPr>
        <w:t>恶臭产生的浓度、散发量与存栏数量、清粪工艺频率、</w:t>
      </w:r>
      <w:r>
        <w:rPr>
          <w:rFonts w:hint="default" w:ascii="Times New Roman" w:hAnsi="Times New Roman" w:eastAsia="宋体" w:cs="Times New Roman"/>
          <w:snapToGrid w:val="0"/>
          <w:color w:val="FF0000"/>
          <w:kern w:val="0"/>
          <w:sz w:val="24"/>
          <w:szCs w:val="24"/>
          <w:highlight w:val="none"/>
          <w:lang w:val="en-US" w:eastAsia="zh-CN" w:bidi="ar-SA"/>
        </w:rPr>
        <w:t>牛舍</w:t>
      </w:r>
      <w:r>
        <w:rPr>
          <w:rFonts w:hint="default" w:ascii="Times New Roman" w:hAnsi="Times New Roman" w:eastAsia="宋体" w:cs="Times New Roman"/>
          <w:snapToGrid w:val="0"/>
          <w:color w:val="FF0000"/>
          <w:kern w:val="0"/>
          <w:sz w:val="24"/>
          <w:szCs w:val="24"/>
          <w:highlight w:val="none"/>
          <w:lang w:val="en-US" w:eastAsia="en-US" w:bidi="ar-SA"/>
        </w:rPr>
        <w:t>通风型式、粪便处理工艺、污水停留时间长短、气象条件及其稳定程度等均密切相关，且恶臭的排放方式是面源无组织形式的，其源强相对来说具有不确定性。恶臭扩散一般有两种形式的衰减：一种是空间扩散</w:t>
      </w:r>
      <w:r>
        <w:rPr>
          <w:rFonts w:hint="default" w:ascii="Times New Roman" w:hAnsi="Times New Roman" w:eastAsia="宋体" w:cs="Times New Roman"/>
          <w:snapToGrid w:val="0"/>
          <w:color w:val="FF0000"/>
          <w:kern w:val="0"/>
          <w:sz w:val="24"/>
          <w:szCs w:val="24"/>
          <w:highlight w:val="none"/>
          <w:lang w:val="en-US" w:eastAsia="zh-CN" w:bidi="ar-SA"/>
        </w:rPr>
        <w:t>的</w:t>
      </w:r>
      <w:r>
        <w:rPr>
          <w:rFonts w:hint="default" w:ascii="Times New Roman" w:hAnsi="Times New Roman" w:eastAsia="宋体" w:cs="Times New Roman"/>
          <w:snapToGrid w:val="0"/>
          <w:color w:val="FF0000"/>
          <w:kern w:val="0"/>
          <w:sz w:val="24"/>
          <w:szCs w:val="24"/>
          <w:highlight w:val="none"/>
          <w:lang w:val="en-US" w:eastAsia="en-US" w:bidi="ar-SA"/>
        </w:rPr>
        <w:t>物理</w:t>
      </w:r>
      <w:r>
        <w:rPr>
          <w:rFonts w:hint="default" w:ascii="Times New Roman" w:hAnsi="Times New Roman" w:eastAsia="宋体" w:cs="Times New Roman"/>
          <w:snapToGrid w:val="0"/>
          <w:color w:val="FF0000"/>
          <w:kern w:val="0"/>
          <w:sz w:val="24"/>
          <w:szCs w:val="24"/>
          <w:highlight w:val="none"/>
          <w:lang w:val="en-US" w:eastAsia="zh-CN" w:bidi="ar-SA"/>
        </w:rPr>
        <w:t>衰减</w:t>
      </w:r>
      <w:r>
        <w:rPr>
          <w:rFonts w:hint="default" w:ascii="Times New Roman" w:hAnsi="Times New Roman" w:eastAsia="宋体" w:cs="Times New Roman"/>
          <w:snapToGrid w:val="0"/>
          <w:color w:val="FF0000"/>
          <w:kern w:val="0"/>
          <w:sz w:val="24"/>
          <w:szCs w:val="24"/>
          <w:highlight w:val="none"/>
          <w:lang w:val="en-US" w:eastAsia="en-US" w:bidi="ar-SA"/>
        </w:rPr>
        <w:t>；另一种为恶臭物质在日照、紫外线等因素作用下经一定时间的化学衰减。由于其机理复杂，源强和衰减量均难以准确量化，因此本次评价采用类比调查的方式说明养殖场恶臭污染源排放强度。在畜禽养殖过程中，圈舍和粪便处理设施附近臭气浓度一般较大，其值约在80～180之间，根据一些已建成的畜禽养殖场运行情况看，在厂界处，以及下风向200m处，臭气浓度一般均小于2.0，</w:t>
      </w:r>
      <w:r>
        <w:rPr>
          <w:rFonts w:hint="default" w:ascii="Times New Roman" w:hAnsi="Times New Roman" w:cs="Times New Roman"/>
          <w:color w:val="FF0000"/>
          <w:highlight w:val="none"/>
          <w:lang w:val="en-US" w:eastAsia="zh-CN"/>
        </w:rPr>
        <w:t>恶臭物质气味夏季比冬季强，昼间比夜间强，受气态污染物面源的性质决定，距离源点越近，污染物浓度就越高，造成的影响也就越大，但在距离厂界300m处已基本不能闻到臭味。通过查阅相关资料、类比同类型规模已投产牛场，通过选择优质的环保饲料配方、加化学药品抑制牛粪的氨挥发、保持猪舍空气流通、种植对空气净化有利的植物等方法，可使无组织面源气体排放量大大减少。</w:t>
      </w:r>
      <w:r>
        <w:rPr>
          <w:rFonts w:hint="default" w:ascii="Times New Roman" w:hAnsi="Times New Roman" w:cs="Times New Roman"/>
          <w:color w:val="FF0000"/>
          <w:highlight w:val="green"/>
          <w:lang w:val="zh-CN" w:eastAsia="en-US"/>
        </w:rPr>
        <w:t>臭气浓度参照执行《恶臭污染物排放标准》(GB14554-93）表 1 中二级新改扩建标准</w:t>
      </w:r>
      <w:r>
        <w:rPr>
          <w:rFonts w:hint="eastAsia" w:ascii="Times New Roman" w:hAnsi="Times New Roman" w:cs="Times New Roman"/>
          <w:color w:val="FF0000"/>
          <w:highlight w:val="green"/>
          <w:lang w:val="zh-CN" w:eastAsia="en-US"/>
        </w:rPr>
        <w:t>。</w:t>
      </w:r>
    </w:p>
    <w:p w14:paraId="14E50472">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90" w:name="_Toc14029"/>
      <w:r>
        <w:rPr>
          <w:rFonts w:hint="default" w:ascii="Times New Roman" w:hAnsi="Times New Roman" w:eastAsia="宋体" w:cs="Times New Roman"/>
          <w:b/>
          <w:bCs/>
          <w:color w:val="auto"/>
          <w:spacing w:val="-2"/>
          <w:sz w:val="24"/>
          <w:szCs w:val="24"/>
          <w:highlight w:val="none"/>
          <w:lang w:val="en-US" w:eastAsia="zh-CN"/>
        </w:rPr>
        <w:t>5.2.3声环境影响预测与分析</w:t>
      </w:r>
      <w:bookmarkEnd w:id="190"/>
    </w:p>
    <w:p w14:paraId="4EA7D96A">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5.2.3.1</w:t>
      </w:r>
      <w:r>
        <w:rPr>
          <w:rFonts w:hint="default" w:ascii="Times New Roman" w:hAnsi="Times New Roman" w:eastAsia="宋体" w:cs="Times New Roman"/>
          <w:b/>
          <w:bCs/>
          <w:color w:val="auto"/>
          <w:spacing w:val="-1"/>
          <w:sz w:val="24"/>
          <w:szCs w:val="24"/>
          <w:highlight w:val="none"/>
          <w:lang w:val="en-US" w:eastAsia="zh-CN"/>
        </w:rPr>
        <w:t>模型预测</w:t>
      </w:r>
    </w:p>
    <w:p w14:paraId="57F689C0">
      <w:pPr>
        <w:pStyle w:val="54"/>
        <w:widowControl w:val="0"/>
        <w:kinsoku/>
        <w:autoSpaceDE/>
        <w:autoSpaceDN/>
        <w:spacing w:line="500" w:lineRule="exact"/>
        <w:ind w:firstLine="480" w:firstLineChars="200"/>
        <w:jc w:val="both"/>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根据《环境影响评价技术导则 声环境》（HJ2.4-2021）的要求，本工程声环境影响预测模型采用导则中附录A（规范性附录）户外声传播的衰减和附录B（规范性附录）中“B.1工业噪声预测计算模型”。</w:t>
      </w:r>
    </w:p>
    <w:p w14:paraId="2EC8EACE">
      <w:pPr>
        <w:pStyle w:val="54"/>
        <w:widowControl w:val="0"/>
        <w:kinsoku/>
        <w:autoSpaceDE/>
        <w:autoSpaceDN/>
        <w:spacing w:line="500" w:lineRule="exact"/>
        <w:ind w:firstLine="480" w:firstLineChars="200"/>
        <w:jc w:val="both"/>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position w:val="-28"/>
          <w:sz w:val="24"/>
          <w:szCs w:val="24"/>
          <w:highlight w:val="none"/>
        </w:rPr>
        <w:pict>
          <v:shape id="Object 1031" o:spid="_x0000_s1172" o:spt="75" type="#_x0000_t75" style="position:absolute;left:0pt;margin-left:59pt;margin-top:21.15pt;height:38.4pt;width:155.95pt;z-index:251672576;mso-width-relative:page;mso-height-relative:page;" o:ole="t" filled="f" o:preferrelative="t" stroked="f" coordsize="21600,21600">
            <v:path/>
            <v:fill on="f" focussize="0,0"/>
            <v:stroke on="f" joinstyle="miter"/>
            <v:imagedata r:id="rId86" o:title=""/>
            <o:lock v:ext="edit" aspectratio="t"/>
          </v:shape>
          <o:OLEObject Type="Embed" ProgID="Equation.3" ShapeID="Object 1031" DrawAspect="Content" ObjectID="_1468075730" r:id="rId85">
            <o:LockedField>false</o:LockedField>
          </o:OLEObject>
        </w:pict>
      </w:r>
      <w:r>
        <w:rPr>
          <w:rFonts w:hint="default" w:ascii="Times New Roman" w:hAnsi="Times New Roman" w:eastAsia="宋体" w:cs="Times New Roman"/>
          <w:color w:val="auto"/>
          <w:sz w:val="24"/>
          <w:szCs w:val="24"/>
          <w:highlight w:val="none"/>
        </w:rPr>
        <w:t>某一室内声源靠近围护结构处产生的倍频带声压级</w:t>
      </w:r>
    </w:p>
    <w:p w14:paraId="069FCAD6">
      <w:pPr>
        <w:pStyle w:val="54"/>
        <w:spacing w:line="500" w:lineRule="exact"/>
        <w:ind w:left="1320" w:hanging="1320" w:hangingChars="550"/>
        <w:jc w:val="center"/>
        <w:textAlignment w:val="center"/>
        <w:rPr>
          <w:rFonts w:hint="default" w:ascii="Times New Roman" w:hAnsi="Times New Roman" w:eastAsia="宋体" w:cs="Times New Roman"/>
          <w:color w:val="auto"/>
          <w:sz w:val="24"/>
          <w:szCs w:val="24"/>
          <w:highlight w:val="none"/>
        </w:rPr>
      </w:pPr>
    </w:p>
    <w:p w14:paraId="05BB6BD2">
      <w:pPr>
        <w:pStyle w:val="54"/>
        <w:widowControl w:val="0"/>
        <w:kinsoku/>
        <w:autoSpaceDE/>
        <w:autoSpaceDN/>
        <w:spacing w:line="500" w:lineRule="exact"/>
        <w:ind w:firstLine="480" w:firstLineChars="2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式中：</w:t>
      </w:r>
      <w:r>
        <w:rPr>
          <w:rFonts w:hint="default" w:ascii="Times New Roman" w:hAnsi="Times New Roman" w:eastAsia="宋体" w:cs="Times New Roman"/>
          <w:i/>
          <w:iCs/>
          <w:color w:val="auto"/>
          <w:sz w:val="24"/>
          <w:szCs w:val="24"/>
          <w:highlight w:val="none"/>
        </w:rPr>
        <w:t>L</w:t>
      </w:r>
      <w:r>
        <w:rPr>
          <w:rFonts w:hint="default" w:ascii="Times New Roman" w:hAnsi="Times New Roman" w:eastAsia="宋体" w:cs="Times New Roman"/>
          <w:i/>
          <w:iCs/>
          <w:color w:val="auto"/>
          <w:sz w:val="24"/>
          <w:szCs w:val="24"/>
          <w:highlight w:val="none"/>
          <w:vertAlign w:val="subscript"/>
        </w:rPr>
        <w:t>p1</w:t>
      </w:r>
      <w:r>
        <w:rPr>
          <w:rFonts w:hint="default" w:ascii="Times New Roman" w:hAnsi="Times New Roman" w:eastAsia="宋体" w:cs="Times New Roman"/>
          <w:color w:val="auto"/>
          <w:sz w:val="24"/>
          <w:szCs w:val="24"/>
          <w:highlight w:val="none"/>
        </w:rPr>
        <w:t>—靠近开口处（窗户）室内某倍频带的声压级或A声级，dB；</w:t>
      </w:r>
    </w:p>
    <w:p w14:paraId="54F5A967">
      <w:pPr>
        <w:pStyle w:val="54"/>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iCs/>
          <w:color w:val="auto"/>
          <w:sz w:val="24"/>
          <w:szCs w:val="24"/>
          <w:highlight w:val="none"/>
        </w:rPr>
        <w:t>L</w:t>
      </w:r>
      <w:r>
        <w:rPr>
          <w:rFonts w:hint="default" w:ascii="Times New Roman" w:hAnsi="Times New Roman" w:eastAsia="宋体" w:cs="Times New Roman"/>
          <w:i/>
          <w:iCs/>
          <w:color w:val="auto"/>
          <w:sz w:val="24"/>
          <w:szCs w:val="24"/>
          <w:highlight w:val="none"/>
          <w:vertAlign w:val="subscript"/>
        </w:rPr>
        <w:t>w</w:t>
      </w:r>
      <w:r>
        <w:rPr>
          <w:rFonts w:hint="default" w:ascii="Times New Roman" w:hAnsi="Times New Roman" w:eastAsia="宋体" w:cs="Times New Roman"/>
          <w:color w:val="auto"/>
          <w:sz w:val="24"/>
          <w:szCs w:val="24"/>
          <w:highlight w:val="none"/>
        </w:rPr>
        <w:t>—点声源声功率级（A计权或倍频带），dB；</w:t>
      </w:r>
    </w:p>
    <w:p w14:paraId="21FD1270">
      <w:pPr>
        <w:pStyle w:val="54"/>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Q</w:t>
      </w:r>
      <w:r>
        <w:rPr>
          <w:rFonts w:hint="default" w:ascii="Times New Roman" w:hAnsi="Times New Roman" w:eastAsia="宋体" w:cs="Times New Roman"/>
          <w:color w:val="auto"/>
          <w:sz w:val="24"/>
          <w:szCs w:val="24"/>
          <w:highlight w:val="none"/>
        </w:rPr>
        <w:t>—指向性因数，通常对无指向性声源，当声源放在房间中心时，</w:t>
      </w:r>
      <w:r>
        <w:rPr>
          <w:rFonts w:hint="default" w:ascii="Times New Roman" w:hAnsi="Times New Roman" w:eastAsia="宋体" w:cs="Times New Roman"/>
          <w:i/>
          <w:color w:val="auto"/>
          <w:sz w:val="24"/>
          <w:szCs w:val="24"/>
          <w:highlight w:val="none"/>
        </w:rPr>
        <w:t>Q</w:t>
      </w:r>
      <w:r>
        <w:rPr>
          <w:rFonts w:hint="default" w:ascii="Times New Roman" w:hAnsi="Times New Roman" w:eastAsia="宋体" w:cs="Times New Roman"/>
          <w:color w:val="auto"/>
          <w:sz w:val="24"/>
          <w:szCs w:val="24"/>
          <w:highlight w:val="none"/>
        </w:rPr>
        <w:t>=1，当放在一面墙的中心时，</w:t>
      </w:r>
      <w:r>
        <w:rPr>
          <w:rFonts w:hint="default" w:ascii="Times New Roman" w:hAnsi="Times New Roman" w:eastAsia="宋体" w:cs="Times New Roman"/>
          <w:i/>
          <w:color w:val="auto"/>
          <w:sz w:val="24"/>
          <w:szCs w:val="24"/>
          <w:highlight w:val="none"/>
        </w:rPr>
        <w:t>Q</w:t>
      </w:r>
      <w:r>
        <w:rPr>
          <w:rFonts w:hint="default" w:ascii="Times New Roman" w:hAnsi="Times New Roman" w:eastAsia="宋体" w:cs="Times New Roman"/>
          <w:color w:val="auto"/>
          <w:sz w:val="24"/>
          <w:szCs w:val="24"/>
          <w:highlight w:val="none"/>
        </w:rPr>
        <w:t>=2；当放在两面墙夹角处时，</w:t>
      </w:r>
      <w:r>
        <w:rPr>
          <w:rFonts w:hint="default" w:ascii="Times New Roman" w:hAnsi="Times New Roman" w:eastAsia="宋体" w:cs="Times New Roman"/>
          <w:i/>
          <w:color w:val="auto"/>
          <w:sz w:val="24"/>
          <w:szCs w:val="24"/>
          <w:highlight w:val="none"/>
        </w:rPr>
        <w:t>Q</w:t>
      </w:r>
      <w:r>
        <w:rPr>
          <w:rFonts w:hint="default" w:ascii="Times New Roman" w:hAnsi="Times New Roman" w:eastAsia="宋体" w:cs="Times New Roman"/>
          <w:color w:val="auto"/>
          <w:sz w:val="24"/>
          <w:szCs w:val="24"/>
          <w:highlight w:val="none"/>
        </w:rPr>
        <w:t>=4，当放在三面墙夹角处时，</w:t>
      </w:r>
      <w:r>
        <w:rPr>
          <w:rFonts w:hint="default" w:ascii="Times New Roman" w:hAnsi="Times New Roman" w:eastAsia="宋体" w:cs="Times New Roman"/>
          <w:i/>
          <w:color w:val="auto"/>
          <w:sz w:val="24"/>
          <w:szCs w:val="24"/>
          <w:highlight w:val="none"/>
        </w:rPr>
        <w:t>Q</w:t>
      </w:r>
      <w:r>
        <w:rPr>
          <w:rFonts w:hint="default" w:ascii="Times New Roman" w:hAnsi="Times New Roman" w:eastAsia="宋体" w:cs="Times New Roman"/>
          <w:color w:val="auto"/>
          <w:sz w:val="24"/>
          <w:szCs w:val="24"/>
          <w:highlight w:val="none"/>
        </w:rPr>
        <w:t>=8；</w:t>
      </w:r>
    </w:p>
    <w:p w14:paraId="3A6E529B">
      <w:pPr>
        <w:pStyle w:val="54"/>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R</w:t>
      </w:r>
      <w:r>
        <w:rPr>
          <w:rFonts w:hint="default" w:ascii="Times New Roman" w:hAnsi="Times New Roman" w:eastAsia="宋体" w:cs="Times New Roman"/>
          <w:color w:val="auto"/>
          <w:sz w:val="24"/>
          <w:szCs w:val="24"/>
          <w:highlight w:val="none"/>
        </w:rPr>
        <w:t>—房间常数，</w:t>
      </w:r>
      <w:r>
        <w:rPr>
          <w:rFonts w:hint="default" w:ascii="Times New Roman" w:hAnsi="Times New Roman" w:eastAsia="宋体" w:cs="Times New Roman"/>
          <w:i/>
          <w:color w:val="auto"/>
          <w:sz w:val="24"/>
          <w:szCs w:val="24"/>
          <w:highlight w:val="none"/>
        </w:rPr>
        <w:t>R</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i/>
          <w:color w:val="auto"/>
          <w:sz w:val="24"/>
          <w:szCs w:val="24"/>
          <w:highlight w:val="none"/>
        </w:rPr>
        <w:t>S</w:t>
      </w:r>
      <w:r>
        <w:rPr>
          <w:rFonts w:hint="default" w:ascii="Times New Roman" w:hAnsi="Times New Roman" w:eastAsia="宋体" w:cs="Times New Roman"/>
          <w:color w:val="auto"/>
          <w:sz w:val="24"/>
          <w:szCs w:val="24"/>
          <w:highlight w:val="none"/>
        </w:rPr>
        <w:t>α/(1−α)，</w:t>
      </w:r>
      <w:r>
        <w:rPr>
          <w:rFonts w:hint="default" w:ascii="Times New Roman" w:hAnsi="Times New Roman" w:eastAsia="宋体" w:cs="Times New Roman"/>
          <w:i/>
          <w:color w:val="auto"/>
          <w:sz w:val="24"/>
          <w:szCs w:val="24"/>
          <w:highlight w:val="none"/>
        </w:rPr>
        <w:t>S</w:t>
      </w:r>
      <w:r>
        <w:rPr>
          <w:rFonts w:hint="default" w:ascii="Times New Roman" w:hAnsi="Times New Roman" w:eastAsia="宋体" w:cs="Times New Roman"/>
          <w:color w:val="auto"/>
          <w:sz w:val="24"/>
          <w:szCs w:val="24"/>
          <w:highlight w:val="none"/>
        </w:rPr>
        <w:t>为房间内表面面积，m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，α为平均吸声系数；</w:t>
      </w:r>
    </w:p>
    <w:p w14:paraId="0B5A118C">
      <w:pPr>
        <w:pStyle w:val="54"/>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r</w:t>
      </w:r>
      <w:r>
        <w:rPr>
          <w:rFonts w:hint="default" w:ascii="Times New Roman" w:hAnsi="Times New Roman" w:eastAsia="宋体" w:cs="Times New Roman"/>
          <w:color w:val="auto"/>
          <w:sz w:val="24"/>
          <w:szCs w:val="24"/>
          <w:highlight w:val="none"/>
        </w:rPr>
        <w:t>—声源到靠近围护结构某点处的距离，m。</w:t>
      </w:r>
    </w:p>
    <w:p w14:paraId="139F5ADB">
      <w:pPr>
        <w:pStyle w:val="54"/>
        <w:widowControl w:val="0"/>
        <w:kinsoku/>
        <w:autoSpaceDE/>
        <w:autoSpaceDN/>
        <w:spacing w:line="500" w:lineRule="exact"/>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position w:val="-34"/>
          <w:sz w:val="24"/>
          <w:szCs w:val="24"/>
          <w:highlight w:val="none"/>
        </w:rPr>
        <w:pict>
          <v:shape id="Object 1032" o:spid="_x0000_s1173" o:spt="75" type="#_x0000_t75" style="position:absolute;left:0pt;margin-left:65.4pt;margin-top:19.5pt;height:42.75pt;width:142.8pt;z-index:251673600;mso-width-relative:page;mso-height-relative:page;" o:ole="t" filled="f" o:preferrelative="t" stroked="f" coordsize="21600,21600">
            <v:path/>
            <v:fill on="f" focussize="0,0"/>
            <v:stroke on="f" joinstyle="miter"/>
            <v:imagedata r:id="rId88" o:title=""/>
            <o:lock v:ext="edit" aspectratio="t"/>
          </v:shape>
          <o:OLEObject Type="Embed" ProgID="Equation.3" ShapeID="Object 1032" DrawAspect="Content" ObjectID="_1468075731" r:id="rId87">
            <o:LockedField>false</o:LockedField>
          </o:OLEObject>
        </w:pict>
      </w:r>
      <w:r>
        <w:rPr>
          <w:rFonts w:hint="default" w:ascii="Times New Roman" w:hAnsi="Times New Roman" w:eastAsia="宋体" w:cs="Times New Roman"/>
          <w:color w:val="auto"/>
          <w:sz w:val="24"/>
          <w:szCs w:val="24"/>
          <w:highlight w:val="none"/>
        </w:rPr>
        <w:t>所有室内声源在围护结构处产生的</w:t>
      </w:r>
      <w:r>
        <w:rPr>
          <w:rFonts w:hint="default" w:ascii="Times New Roman" w:hAnsi="Times New Roman" w:eastAsia="宋体" w:cs="Times New Roman"/>
          <w:i/>
          <w:color w:val="auto"/>
          <w:sz w:val="24"/>
          <w:szCs w:val="24"/>
          <w:highlight w:val="none"/>
        </w:rPr>
        <w:t>i</w:t>
      </w:r>
      <w:r>
        <w:rPr>
          <w:rFonts w:hint="default" w:ascii="Times New Roman" w:hAnsi="Times New Roman" w:eastAsia="宋体" w:cs="Times New Roman"/>
          <w:color w:val="auto"/>
          <w:sz w:val="24"/>
          <w:szCs w:val="24"/>
          <w:highlight w:val="none"/>
        </w:rPr>
        <w:t>倍频带叠加声压级：</w:t>
      </w:r>
    </w:p>
    <w:p w14:paraId="6E02B0F4">
      <w:pPr>
        <w:pStyle w:val="54"/>
        <w:keepNext w:val="0"/>
        <w:keepLines w:val="0"/>
        <w:pageBreakBefore w:val="0"/>
        <w:widowControl/>
        <w:kinsoku w:val="0"/>
        <w:wordWrap/>
        <w:overflowPunct/>
        <w:topLinePunct w:val="0"/>
        <w:autoSpaceDE w:val="0"/>
        <w:autoSpaceDN w:val="0"/>
        <w:bidi w:val="0"/>
        <w:adjustRightInd w:val="0"/>
        <w:snapToGrid w:val="0"/>
        <w:spacing w:line="480" w:lineRule="auto"/>
        <w:ind w:firstLine="198"/>
        <w:jc w:val="center"/>
        <w:textAlignment w:val="center"/>
        <w:rPr>
          <w:rFonts w:hint="default" w:ascii="Times New Roman" w:hAnsi="Times New Roman" w:eastAsia="宋体" w:cs="Times New Roman"/>
          <w:color w:val="auto"/>
          <w:sz w:val="24"/>
          <w:szCs w:val="24"/>
          <w:highlight w:val="none"/>
        </w:rPr>
      </w:pPr>
    </w:p>
    <w:p w14:paraId="306A32D3">
      <w:pPr>
        <w:pStyle w:val="54"/>
        <w:widowControl w:val="0"/>
        <w:kinsoku/>
        <w:autoSpaceDE/>
        <w:autoSpaceDN/>
        <w:spacing w:line="500" w:lineRule="exact"/>
        <w:ind w:firstLine="480" w:firstLineChars="2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式中：</w:t>
      </w:r>
      <w:r>
        <w:rPr>
          <w:rFonts w:hint="default" w:ascii="Times New Roman" w:hAnsi="Times New Roman" w:eastAsia="宋体" w:cs="Times New Roman"/>
          <w:i/>
          <w:color w:val="auto"/>
          <w:sz w:val="24"/>
          <w:szCs w:val="24"/>
          <w:highlight w:val="none"/>
        </w:rPr>
        <w:t>L</w:t>
      </w:r>
      <w:r>
        <w:rPr>
          <w:rFonts w:hint="default" w:ascii="Times New Roman" w:hAnsi="Times New Roman" w:eastAsia="宋体" w:cs="Times New Roman"/>
          <w:color w:val="auto"/>
          <w:sz w:val="24"/>
          <w:szCs w:val="24"/>
          <w:highlight w:val="none"/>
          <w:vertAlign w:val="subscript"/>
        </w:rPr>
        <w:t>p1i</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i/>
          <w:color w:val="auto"/>
          <w:sz w:val="24"/>
          <w:szCs w:val="24"/>
          <w:highlight w:val="none"/>
        </w:rPr>
        <w:t>T</w:t>
      </w:r>
      <w:r>
        <w:rPr>
          <w:rFonts w:hint="default" w:ascii="Times New Roman" w:hAnsi="Times New Roman" w:eastAsia="宋体" w:cs="Times New Roman"/>
          <w:color w:val="auto"/>
          <w:sz w:val="24"/>
          <w:szCs w:val="24"/>
          <w:highlight w:val="none"/>
        </w:rPr>
        <w:t>)—靠近围护结构处室内</w:t>
      </w:r>
      <w:r>
        <w:rPr>
          <w:rFonts w:hint="default" w:ascii="Times New Roman" w:hAnsi="Times New Roman" w:eastAsia="宋体" w:cs="Times New Roman"/>
          <w:i/>
          <w:iCs/>
          <w:color w:val="auto"/>
          <w:sz w:val="24"/>
          <w:szCs w:val="24"/>
          <w:highlight w:val="none"/>
        </w:rPr>
        <w:t>N</w:t>
      </w:r>
      <w:r>
        <w:rPr>
          <w:rFonts w:hint="default" w:ascii="Times New Roman" w:hAnsi="Times New Roman" w:eastAsia="宋体" w:cs="Times New Roman"/>
          <w:color w:val="auto"/>
          <w:sz w:val="24"/>
          <w:szCs w:val="24"/>
          <w:highlight w:val="none"/>
        </w:rPr>
        <w:t>个声源</w:t>
      </w:r>
      <w:r>
        <w:rPr>
          <w:rFonts w:hint="default" w:ascii="Times New Roman" w:hAnsi="Times New Roman" w:eastAsia="宋体" w:cs="Times New Roman"/>
          <w:i/>
          <w:iCs/>
          <w:color w:val="auto"/>
          <w:sz w:val="24"/>
          <w:szCs w:val="24"/>
          <w:highlight w:val="none"/>
        </w:rPr>
        <w:t>i</w:t>
      </w:r>
      <w:r>
        <w:rPr>
          <w:rFonts w:hint="default" w:ascii="Times New Roman" w:hAnsi="Times New Roman" w:eastAsia="宋体" w:cs="Times New Roman"/>
          <w:color w:val="auto"/>
          <w:sz w:val="24"/>
          <w:szCs w:val="24"/>
          <w:highlight w:val="none"/>
        </w:rPr>
        <w:t>倍频带的叠加声压级，dB</w:t>
      </w:r>
    </w:p>
    <w:p w14:paraId="5B541930">
      <w:pPr>
        <w:pStyle w:val="54"/>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iCs/>
          <w:color w:val="auto"/>
          <w:sz w:val="24"/>
          <w:szCs w:val="24"/>
          <w:highlight w:val="none"/>
        </w:rPr>
        <w:t>L</w:t>
      </w:r>
      <w:r>
        <w:rPr>
          <w:rFonts w:hint="default" w:ascii="Times New Roman" w:hAnsi="Times New Roman" w:eastAsia="宋体" w:cs="Times New Roman"/>
          <w:iCs/>
          <w:color w:val="auto"/>
          <w:sz w:val="24"/>
          <w:szCs w:val="24"/>
          <w:highlight w:val="none"/>
          <w:vertAlign w:val="subscript"/>
        </w:rPr>
        <w:t>p</w:t>
      </w:r>
      <w:r>
        <w:rPr>
          <w:rFonts w:hint="default" w:ascii="Times New Roman" w:hAnsi="Times New Roman" w:eastAsia="宋体" w:cs="Times New Roman"/>
          <w:color w:val="auto"/>
          <w:sz w:val="24"/>
          <w:szCs w:val="24"/>
          <w:highlight w:val="none"/>
          <w:vertAlign w:val="subscript"/>
        </w:rPr>
        <w:t>1</w:t>
      </w:r>
      <w:r>
        <w:rPr>
          <w:rFonts w:hint="default" w:ascii="Times New Roman" w:hAnsi="Times New Roman" w:eastAsia="宋体" w:cs="Times New Roman"/>
          <w:iCs/>
          <w:color w:val="auto"/>
          <w:sz w:val="24"/>
          <w:szCs w:val="24"/>
          <w:highlight w:val="none"/>
          <w:vertAlign w:val="subscript"/>
        </w:rPr>
        <w:t>ij</w:t>
      </w:r>
      <w:r>
        <w:rPr>
          <w:rFonts w:hint="default" w:ascii="Times New Roman" w:hAnsi="Times New Roman" w:eastAsia="宋体" w:cs="Times New Roman"/>
          <w:color w:val="auto"/>
          <w:sz w:val="24"/>
          <w:szCs w:val="24"/>
          <w:highlight w:val="none"/>
        </w:rPr>
        <w:t>—室内</w:t>
      </w:r>
      <w:r>
        <w:rPr>
          <w:rFonts w:hint="default" w:ascii="Times New Roman" w:hAnsi="Times New Roman" w:eastAsia="宋体" w:cs="Times New Roman"/>
          <w:i/>
          <w:iCs/>
          <w:color w:val="auto"/>
          <w:sz w:val="24"/>
          <w:szCs w:val="24"/>
          <w:highlight w:val="none"/>
        </w:rPr>
        <w:t>j</w:t>
      </w:r>
      <w:r>
        <w:rPr>
          <w:rFonts w:hint="default" w:ascii="Times New Roman" w:hAnsi="Times New Roman" w:eastAsia="宋体" w:cs="Times New Roman"/>
          <w:color w:val="auto"/>
          <w:sz w:val="24"/>
          <w:szCs w:val="24"/>
          <w:highlight w:val="none"/>
        </w:rPr>
        <w:t>声源</w:t>
      </w:r>
      <w:r>
        <w:rPr>
          <w:rFonts w:hint="default" w:ascii="Times New Roman" w:hAnsi="Times New Roman" w:eastAsia="宋体" w:cs="Times New Roman"/>
          <w:i/>
          <w:iCs/>
          <w:color w:val="auto"/>
          <w:sz w:val="24"/>
          <w:szCs w:val="24"/>
          <w:highlight w:val="none"/>
        </w:rPr>
        <w:t>i</w:t>
      </w:r>
      <w:r>
        <w:rPr>
          <w:rFonts w:hint="default" w:ascii="Times New Roman" w:hAnsi="Times New Roman" w:eastAsia="宋体" w:cs="Times New Roman"/>
          <w:color w:val="auto"/>
          <w:sz w:val="24"/>
          <w:szCs w:val="24"/>
          <w:highlight w:val="none"/>
        </w:rPr>
        <w:t>倍频带的声压级，dB；</w:t>
      </w:r>
    </w:p>
    <w:p w14:paraId="03DBAA81">
      <w:pPr>
        <w:pStyle w:val="54"/>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iCs/>
          <w:color w:val="auto"/>
          <w:sz w:val="24"/>
          <w:szCs w:val="24"/>
          <w:highlight w:val="none"/>
        </w:rPr>
        <w:t>N</w:t>
      </w:r>
      <w:r>
        <w:rPr>
          <w:rFonts w:hint="default" w:ascii="Times New Roman" w:hAnsi="Times New Roman" w:eastAsia="宋体" w:cs="Times New Roman"/>
          <w:color w:val="auto"/>
          <w:sz w:val="24"/>
          <w:szCs w:val="24"/>
          <w:highlight w:val="none"/>
        </w:rPr>
        <w:t>—室内声源总数。</w:t>
      </w:r>
    </w:p>
    <w:p w14:paraId="2D5E9246">
      <w:pPr>
        <w:pStyle w:val="54"/>
        <w:widowControl w:val="0"/>
        <w:kinsoku/>
        <w:autoSpaceDE/>
        <w:autoSpaceDN/>
        <w:spacing w:line="500" w:lineRule="exact"/>
        <w:ind w:firstLine="480" w:firstLineChars="2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无指向性点声源几何发散衰减的基本公式是：</w:t>
      </w:r>
    </w:p>
    <w:p w14:paraId="2A39EFEA">
      <w:pPr>
        <w:pStyle w:val="54"/>
        <w:spacing w:line="500" w:lineRule="exact"/>
        <w:ind w:firstLine="198"/>
        <w:jc w:val="center"/>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position w:val="-30"/>
          <w:sz w:val="24"/>
          <w:szCs w:val="24"/>
          <w:highlight w:val="none"/>
        </w:rPr>
        <w:pict>
          <v:shape id="Object 1033" o:spid="_x0000_s1174" o:spt="75" type="#_x0000_t75" style="position:absolute;left:0pt;margin-left:57.2pt;margin-top:1.65pt;height:37.05pt;width:130.9pt;z-index:251674624;mso-width-relative:page;mso-height-relative:page;" o:ole="t" filled="f" o:preferrelative="t" stroked="f" coordsize="21600,21600">
            <v:path/>
            <v:fill on="f" focussize="0,0"/>
            <v:stroke on="f" joinstyle="miter"/>
            <v:imagedata r:id="rId90" o:title=""/>
            <o:lock v:ext="edit" aspectratio="t"/>
          </v:shape>
          <o:OLEObject Type="Embed" ProgID="Equation.3" ShapeID="Object 1033" DrawAspect="Content" ObjectID="_1468075732" r:id="rId89">
            <o:LockedField>false</o:LockedField>
          </o:OLEObject>
        </w:pict>
      </w:r>
    </w:p>
    <w:p w14:paraId="73339E6F">
      <w:pPr>
        <w:spacing w:line="500" w:lineRule="exact"/>
        <w:ind w:firstLine="200"/>
        <w:textAlignment w:val="center"/>
        <w:rPr>
          <w:rFonts w:hint="default" w:ascii="Times New Roman" w:hAnsi="Times New Roman" w:eastAsia="宋体" w:cs="Times New Roman"/>
          <w:color w:val="auto"/>
          <w:sz w:val="24"/>
          <w:szCs w:val="24"/>
          <w:highlight w:val="none"/>
        </w:rPr>
      </w:pPr>
    </w:p>
    <w:p w14:paraId="39EC3C99">
      <w:pPr>
        <w:widowControl w:val="0"/>
        <w:kinsoku/>
        <w:autoSpaceDE/>
        <w:autoSpaceDN/>
        <w:spacing w:line="500" w:lineRule="exact"/>
        <w:ind w:firstLine="480" w:firstLineChars="2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 xml:space="preserve">式中  </w:t>
      </w:r>
      <w:r>
        <w:rPr>
          <w:rFonts w:hint="default" w:ascii="Times New Roman" w:hAnsi="Times New Roman" w:eastAsia="宋体" w:cs="Times New Roman"/>
          <w:i/>
          <w:color w:val="auto"/>
          <w:sz w:val="24"/>
          <w:szCs w:val="24"/>
          <w:highlight w:val="none"/>
        </w:rPr>
        <w:t>L</w:t>
      </w:r>
      <w:r>
        <w:rPr>
          <w:rFonts w:hint="default" w:ascii="Times New Roman" w:hAnsi="Times New Roman" w:eastAsia="宋体" w:cs="Times New Roman"/>
          <w:color w:val="auto"/>
          <w:sz w:val="24"/>
          <w:szCs w:val="24"/>
          <w:highlight w:val="none"/>
          <w:vertAlign w:val="subscript"/>
        </w:rPr>
        <w:t>p</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i/>
          <w:color w:val="auto"/>
          <w:sz w:val="24"/>
          <w:szCs w:val="24"/>
          <w:highlight w:val="none"/>
        </w:rPr>
        <w:t>r</w:t>
      </w:r>
      <w:r>
        <w:rPr>
          <w:rFonts w:hint="default" w:ascii="Times New Roman" w:hAnsi="Times New Roman" w:eastAsia="宋体" w:cs="Times New Roman"/>
          <w:color w:val="auto"/>
          <w:sz w:val="24"/>
          <w:szCs w:val="24"/>
          <w:highlight w:val="none"/>
        </w:rPr>
        <w:t>)—预测点处声压级，dB；</w:t>
      </w:r>
    </w:p>
    <w:p w14:paraId="67A6571B">
      <w:pPr>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L</w:t>
      </w:r>
      <w:r>
        <w:rPr>
          <w:rFonts w:hint="default" w:ascii="Times New Roman" w:hAnsi="Times New Roman" w:eastAsia="宋体" w:cs="Times New Roman"/>
          <w:color w:val="auto"/>
          <w:sz w:val="24"/>
          <w:szCs w:val="24"/>
          <w:highlight w:val="none"/>
          <w:vertAlign w:val="subscript"/>
        </w:rPr>
        <w:t>p</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i/>
          <w:color w:val="auto"/>
          <w:sz w:val="24"/>
          <w:szCs w:val="24"/>
          <w:highlight w:val="none"/>
        </w:rPr>
        <w:t>r</w:t>
      </w:r>
      <w:r>
        <w:rPr>
          <w:rFonts w:hint="default" w:ascii="Times New Roman" w:hAnsi="Times New Roman" w:eastAsia="宋体" w:cs="Times New Roman"/>
          <w:i/>
          <w:color w:val="auto"/>
          <w:sz w:val="24"/>
          <w:szCs w:val="24"/>
          <w:highlight w:val="none"/>
          <w:vertAlign w:val="subscript"/>
        </w:rPr>
        <w:t>0</w:t>
      </w:r>
      <w:r>
        <w:rPr>
          <w:rFonts w:hint="default" w:ascii="Times New Roman" w:hAnsi="Times New Roman" w:eastAsia="宋体" w:cs="Times New Roman"/>
          <w:color w:val="auto"/>
          <w:sz w:val="24"/>
          <w:szCs w:val="24"/>
          <w:highlight w:val="none"/>
        </w:rPr>
        <w:t>)—参考位置</w:t>
      </w:r>
      <w:r>
        <w:rPr>
          <w:rFonts w:hint="default" w:ascii="Times New Roman" w:hAnsi="Times New Roman" w:eastAsia="宋体" w:cs="Times New Roman"/>
          <w:i/>
          <w:color w:val="auto"/>
          <w:sz w:val="24"/>
          <w:szCs w:val="24"/>
          <w:highlight w:val="none"/>
        </w:rPr>
        <w:t>r</w:t>
      </w:r>
      <w:r>
        <w:rPr>
          <w:rFonts w:hint="default" w:ascii="Times New Roman" w:hAnsi="Times New Roman" w:eastAsia="宋体" w:cs="Times New Roman"/>
          <w:color w:val="auto"/>
          <w:sz w:val="24"/>
          <w:szCs w:val="24"/>
          <w:highlight w:val="none"/>
          <w:vertAlign w:val="subscript"/>
        </w:rPr>
        <w:t>0</w:t>
      </w:r>
      <w:r>
        <w:rPr>
          <w:rFonts w:hint="default" w:ascii="Times New Roman" w:hAnsi="Times New Roman" w:eastAsia="宋体" w:cs="Times New Roman"/>
          <w:color w:val="auto"/>
          <w:sz w:val="24"/>
          <w:szCs w:val="24"/>
          <w:highlight w:val="none"/>
        </w:rPr>
        <w:t>处的声压级，dB；</w:t>
      </w:r>
    </w:p>
    <w:p w14:paraId="7319A143">
      <w:pPr>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r</w:t>
      </w:r>
      <w:r>
        <w:rPr>
          <w:rFonts w:hint="default" w:ascii="Times New Roman" w:hAnsi="Times New Roman" w:eastAsia="宋体" w:cs="Times New Roman"/>
          <w:color w:val="auto"/>
          <w:sz w:val="24"/>
          <w:szCs w:val="24"/>
          <w:highlight w:val="none"/>
        </w:rPr>
        <w:t>—预测点距声源的距离；</w:t>
      </w:r>
    </w:p>
    <w:p w14:paraId="2C6CD7B3">
      <w:pPr>
        <w:widowControl w:val="0"/>
        <w:kinsoku/>
        <w:autoSpaceDE/>
        <w:autoSpaceDN/>
        <w:spacing w:line="500" w:lineRule="exact"/>
        <w:ind w:firstLine="1200" w:firstLineChars="500"/>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r</w:t>
      </w:r>
      <w:r>
        <w:rPr>
          <w:rFonts w:hint="default" w:ascii="Times New Roman" w:hAnsi="Times New Roman" w:eastAsia="宋体" w:cs="Times New Roman"/>
          <w:color w:val="auto"/>
          <w:sz w:val="24"/>
          <w:szCs w:val="24"/>
          <w:highlight w:val="none"/>
          <w:vertAlign w:val="subscript"/>
        </w:rPr>
        <w:t>0</w:t>
      </w:r>
      <w:r>
        <w:rPr>
          <w:rFonts w:hint="default" w:ascii="Times New Roman" w:hAnsi="Times New Roman" w:eastAsia="宋体" w:cs="Times New Roman"/>
          <w:color w:val="auto"/>
          <w:sz w:val="24"/>
          <w:szCs w:val="24"/>
          <w:highlight w:val="none"/>
        </w:rPr>
        <w:t>—参考位置距声源的距离，m。</w:t>
      </w:r>
    </w:p>
    <w:p w14:paraId="677546CF">
      <w:pPr>
        <w:pStyle w:val="18"/>
        <w:autoSpaceDE w:val="0"/>
        <w:autoSpaceDN w:val="0"/>
        <w:snapToGrid w:val="0"/>
        <w:spacing w:line="500" w:lineRule="exact"/>
        <w:ind w:firstLine="460" w:firstLineChars="192"/>
        <w:jc w:val="both"/>
        <w:textAlignment w:val="center"/>
        <w:rPr>
          <w:rFonts w:hint="default" w:ascii="Times New Roman" w:hAnsi="Times New Roman" w:cs="Times New Roman"/>
          <w:color w:val="auto"/>
          <w:szCs w:val="24"/>
          <w:highlight w:val="none"/>
        </w:rPr>
      </w:pPr>
      <w:r>
        <w:rPr>
          <w:rFonts w:hint="default" w:ascii="Times New Roman" w:hAnsi="Times New Roman" w:cs="Times New Roman"/>
          <w:color w:val="auto"/>
          <w:position w:val="-30"/>
          <w:szCs w:val="24"/>
          <w:highlight w:val="none"/>
        </w:rPr>
        <w:pict>
          <v:shape id="Object 1034" o:spid="_x0000_s1175" o:spt="75" type="#_x0000_t75" style="position:absolute;left:0pt;margin-left:59.35pt;margin-top:21.55pt;height:38.9pt;width:143.45pt;z-index:251675648;mso-width-relative:page;mso-height-relative:page;" o:ole="t" filled="f" o:preferrelative="t" stroked="f" coordsize="21600,21600">
            <v:path/>
            <v:fill on="f" focussize="0,0"/>
            <v:stroke on="f" joinstyle="miter"/>
            <v:imagedata r:id="rId92" o:title=""/>
            <o:lock v:ext="edit" aspectratio="t"/>
          </v:shape>
          <o:OLEObject Type="Embed" ProgID="Equation.3" ShapeID="Object 1034" DrawAspect="Content" ObjectID="_1468075733" r:id="rId91">
            <o:LockedField>false</o:LockedField>
          </o:OLEObject>
        </w:pict>
      </w:r>
      <w:r>
        <w:rPr>
          <w:rFonts w:hint="default" w:ascii="Times New Roman" w:hAnsi="Times New Roman" w:cs="Times New Roman"/>
          <w:color w:val="auto"/>
          <w:szCs w:val="24"/>
          <w:highlight w:val="none"/>
        </w:rPr>
        <w:t>建设项目声源在预测点产生的等效声级贡献值(</w:t>
      </w:r>
      <w:r>
        <w:rPr>
          <w:rFonts w:hint="default" w:ascii="Times New Roman" w:hAnsi="Times New Roman" w:cs="Times New Roman"/>
          <w:i/>
          <w:color w:val="auto"/>
          <w:szCs w:val="24"/>
          <w:highlight w:val="none"/>
        </w:rPr>
        <w:t>L</w:t>
      </w:r>
      <w:r>
        <w:rPr>
          <w:rFonts w:hint="default" w:ascii="Times New Roman" w:hAnsi="Times New Roman" w:cs="Times New Roman"/>
          <w:color w:val="auto"/>
          <w:szCs w:val="24"/>
          <w:highlight w:val="none"/>
          <w:vertAlign w:val="subscript"/>
        </w:rPr>
        <w:t>eqg</w:t>
      </w:r>
      <w:r>
        <w:rPr>
          <w:rFonts w:hint="default" w:ascii="Times New Roman" w:hAnsi="Times New Roman" w:cs="Times New Roman"/>
          <w:color w:val="auto"/>
          <w:szCs w:val="24"/>
          <w:highlight w:val="none"/>
        </w:rPr>
        <w:t>)计算公式：</w:t>
      </w:r>
    </w:p>
    <w:p w14:paraId="4E15B74A">
      <w:pPr>
        <w:pStyle w:val="18"/>
        <w:autoSpaceDE w:val="0"/>
        <w:autoSpaceDN w:val="0"/>
        <w:snapToGrid w:val="0"/>
        <w:spacing w:line="500" w:lineRule="exact"/>
        <w:ind w:firstLine="198"/>
        <w:jc w:val="center"/>
        <w:textAlignment w:val="center"/>
        <w:rPr>
          <w:rFonts w:hint="default" w:ascii="Times New Roman" w:hAnsi="Times New Roman" w:cs="Times New Roman"/>
          <w:color w:val="auto"/>
          <w:szCs w:val="24"/>
          <w:highlight w:val="none"/>
        </w:rPr>
      </w:pPr>
    </w:p>
    <w:p w14:paraId="5501E63D">
      <w:pPr>
        <w:pStyle w:val="18"/>
        <w:autoSpaceDE w:val="0"/>
        <w:autoSpaceDN w:val="0"/>
        <w:snapToGrid w:val="0"/>
        <w:spacing w:line="500" w:lineRule="exact"/>
        <w:ind w:firstLine="480" w:firstLineChars="200"/>
        <w:jc w:val="both"/>
        <w:textAlignment w:val="center"/>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式中：</w:t>
      </w:r>
      <w:r>
        <w:rPr>
          <w:rFonts w:hint="default" w:ascii="Times New Roman" w:hAnsi="Times New Roman" w:cs="Times New Roman"/>
          <w:i/>
          <w:color w:val="auto"/>
          <w:szCs w:val="24"/>
          <w:highlight w:val="none"/>
        </w:rPr>
        <w:t>L</w:t>
      </w:r>
      <w:r>
        <w:rPr>
          <w:rFonts w:hint="default" w:ascii="Times New Roman" w:hAnsi="Times New Roman" w:cs="Times New Roman"/>
          <w:color w:val="auto"/>
          <w:szCs w:val="24"/>
          <w:highlight w:val="none"/>
          <w:vertAlign w:val="subscript"/>
        </w:rPr>
        <w:t>eqg</w:t>
      </w:r>
      <w:r>
        <w:rPr>
          <w:rFonts w:hint="default" w:ascii="Times New Roman" w:hAnsi="Times New Roman" w:cs="Times New Roman"/>
          <w:color w:val="auto"/>
          <w:szCs w:val="24"/>
          <w:highlight w:val="none"/>
        </w:rPr>
        <w:t>—建设项目声源在预测点的等效声级贡献值，dB(A)；</w:t>
      </w:r>
    </w:p>
    <w:p w14:paraId="14240342">
      <w:pPr>
        <w:pStyle w:val="18"/>
        <w:autoSpaceDE w:val="0"/>
        <w:autoSpaceDN w:val="0"/>
        <w:snapToGrid w:val="0"/>
        <w:spacing w:line="500" w:lineRule="exact"/>
        <w:ind w:firstLine="1200" w:firstLineChars="500"/>
        <w:jc w:val="both"/>
        <w:textAlignment w:val="center"/>
        <w:rPr>
          <w:rFonts w:hint="default" w:ascii="Times New Roman" w:hAnsi="Times New Roman" w:cs="Times New Roman"/>
          <w:color w:val="auto"/>
          <w:szCs w:val="24"/>
          <w:highlight w:val="none"/>
        </w:rPr>
      </w:pPr>
      <w:r>
        <w:rPr>
          <w:rFonts w:hint="default" w:ascii="Times New Roman" w:hAnsi="Times New Roman" w:cs="Times New Roman"/>
          <w:i/>
          <w:color w:val="auto"/>
          <w:szCs w:val="24"/>
          <w:highlight w:val="none"/>
        </w:rPr>
        <w:t>L</w:t>
      </w:r>
      <w:r>
        <w:rPr>
          <w:rFonts w:hint="default" w:ascii="Times New Roman" w:hAnsi="Times New Roman" w:cs="Times New Roman"/>
          <w:color w:val="auto"/>
          <w:szCs w:val="24"/>
          <w:highlight w:val="none"/>
          <w:vertAlign w:val="subscript"/>
        </w:rPr>
        <w:t>Ai</w:t>
      </w:r>
      <w:r>
        <w:rPr>
          <w:rFonts w:hint="default" w:ascii="Times New Roman" w:hAnsi="Times New Roman" w:cs="Times New Roman"/>
          <w:color w:val="auto"/>
          <w:szCs w:val="24"/>
          <w:highlight w:val="none"/>
        </w:rPr>
        <w:t>—</w:t>
      </w:r>
      <w:r>
        <w:rPr>
          <w:rFonts w:hint="default" w:ascii="Times New Roman" w:hAnsi="Times New Roman" w:cs="Times New Roman"/>
          <w:i/>
          <w:color w:val="auto"/>
          <w:szCs w:val="24"/>
          <w:highlight w:val="none"/>
        </w:rPr>
        <w:t>i</w:t>
      </w:r>
      <w:r>
        <w:rPr>
          <w:rFonts w:hint="default" w:ascii="Times New Roman" w:hAnsi="Times New Roman" w:cs="Times New Roman"/>
          <w:color w:val="auto"/>
          <w:szCs w:val="24"/>
          <w:highlight w:val="none"/>
        </w:rPr>
        <w:t>声源在预测点产生的A声级，dB(A)；</w:t>
      </w:r>
    </w:p>
    <w:p w14:paraId="4C97CBDE">
      <w:pPr>
        <w:pStyle w:val="18"/>
        <w:autoSpaceDE w:val="0"/>
        <w:autoSpaceDN w:val="0"/>
        <w:snapToGrid w:val="0"/>
        <w:spacing w:line="500" w:lineRule="exact"/>
        <w:ind w:firstLine="1200" w:firstLineChars="500"/>
        <w:jc w:val="both"/>
        <w:textAlignment w:val="center"/>
        <w:rPr>
          <w:rFonts w:hint="default" w:ascii="Times New Roman" w:hAnsi="Times New Roman" w:cs="Times New Roman"/>
          <w:color w:val="auto"/>
          <w:szCs w:val="24"/>
          <w:highlight w:val="none"/>
        </w:rPr>
      </w:pPr>
      <w:r>
        <w:rPr>
          <w:rFonts w:hint="default" w:ascii="Times New Roman" w:hAnsi="Times New Roman" w:cs="Times New Roman"/>
          <w:i/>
          <w:color w:val="auto"/>
          <w:szCs w:val="24"/>
          <w:highlight w:val="none"/>
        </w:rPr>
        <w:t>T</w:t>
      </w:r>
      <w:r>
        <w:rPr>
          <w:rFonts w:hint="default" w:ascii="Times New Roman" w:hAnsi="Times New Roman" w:cs="Times New Roman"/>
          <w:color w:val="auto"/>
          <w:szCs w:val="24"/>
          <w:highlight w:val="none"/>
        </w:rPr>
        <w:t>—预测计算的时间段，s；</w:t>
      </w:r>
    </w:p>
    <w:p w14:paraId="5FDB3A59">
      <w:pPr>
        <w:pStyle w:val="18"/>
        <w:autoSpaceDE w:val="0"/>
        <w:autoSpaceDN w:val="0"/>
        <w:snapToGrid w:val="0"/>
        <w:spacing w:line="500" w:lineRule="exact"/>
        <w:ind w:firstLine="1200" w:firstLineChars="500"/>
        <w:jc w:val="both"/>
        <w:textAlignment w:val="center"/>
        <w:rPr>
          <w:rFonts w:hint="default" w:ascii="Times New Roman" w:hAnsi="Times New Roman" w:cs="Times New Roman"/>
          <w:color w:val="auto"/>
          <w:szCs w:val="24"/>
          <w:highlight w:val="none"/>
        </w:rPr>
      </w:pPr>
      <w:r>
        <w:rPr>
          <w:rFonts w:hint="default" w:ascii="Times New Roman" w:hAnsi="Times New Roman" w:cs="Times New Roman"/>
          <w:i/>
          <w:color w:val="auto"/>
          <w:szCs w:val="24"/>
          <w:highlight w:val="none"/>
        </w:rPr>
        <w:t>t</w:t>
      </w:r>
      <w:r>
        <w:rPr>
          <w:rFonts w:hint="default" w:ascii="Times New Roman" w:hAnsi="Times New Roman" w:cs="Times New Roman"/>
          <w:color w:val="auto"/>
          <w:szCs w:val="24"/>
          <w:highlight w:val="none"/>
          <w:vertAlign w:val="subscript"/>
        </w:rPr>
        <w:t>i</w:t>
      </w:r>
      <w:r>
        <w:rPr>
          <w:rFonts w:hint="default" w:ascii="Times New Roman" w:hAnsi="Times New Roman" w:cs="Times New Roman"/>
          <w:color w:val="auto"/>
          <w:szCs w:val="24"/>
          <w:highlight w:val="none"/>
        </w:rPr>
        <w:t>—</w:t>
      </w:r>
      <w:r>
        <w:rPr>
          <w:rFonts w:hint="default" w:ascii="Times New Roman" w:hAnsi="Times New Roman" w:cs="Times New Roman"/>
          <w:i/>
          <w:color w:val="auto"/>
          <w:szCs w:val="24"/>
          <w:highlight w:val="none"/>
        </w:rPr>
        <w:t>i</w:t>
      </w:r>
      <w:r>
        <w:rPr>
          <w:rFonts w:hint="default" w:ascii="Times New Roman" w:hAnsi="Times New Roman" w:cs="Times New Roman"/>
          <w:color w:val="auto"/>
          <w:szCs w:val="24"/>
          <w:highlight w:val="none"/>
        </w:rPr>
        <w:t>声源在T时段内的运行时间，s。</w:t>
      </w:r>
    </w:p>
    <w:p w14:paraId="166848A4">
      <w:pPr>
        <w:pStyle w:val="18"/>
        <w:autoSpaceDE w:val="0"/>
        <w:autoSpaceDN w:val="0"/>
        <w:snapToGrid w:val="0"/>
        <w:spacing w:line="500" w:lineRule="exact"/>
        <w:ind w:firstLine="460" w:firstLineChars="192"/>
        <w:jc w:val="both"/>
        <w:textAlignment w:val="center"/>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预测点的预测等效声级(L</w:t>
      </w:r>
      <w:r>
        <w:rPr>
          <w:rFonts w:hint="default" w:ascii="Times New Roman" w:hAnsi="Times New Roman" w:cs="Times New Roman"/>
          <w:color w:val="auto"/>
          <w:szCs w:val="24"/>
          <w:highlight w:val="none"/>
          <w:vertAlign w:val="subscript"/>
        </w:rPr>
        <w:t>eq</w:t>
      </w:r>
      <w:r>
        <w:rPr>
          <w:rFonts w:hint="default" w:ascii="Times New Roman" w:hAnsi="Times New Roman" w:cs="Times New Roman"/>
          <w:color w:val="auto"/>
          <w:szCs w:val="24"/>
          <w:highlight w:val="none"/>
        </w:rPr>
        <w:t xml:space="preserve">)计算公式： </w:t>
      </w:r>
    </w:p>
    <w:p w14:paraId="78C1AFB3">
      <w:pPr>
        <w:spacing w:line="500" w:lineRule="exact"/>
        <w:ind w:firstLine="200"/>
        <w:jc w:val="center"/>
        <w:textAlignment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position w:val="-10"/>
          <w:sz w:val="24"/>
          <w:szCs w:val="24"/>
          <w:highlight w:val="none"/>
        </w:rPr>
        <w:pict>
          <v:shape id="Object 1035" o:spid="_x0000_s1176" o:spt="75" type="#_x0000_t75" style="position:absolute;left:0pt;margin-left:55.45pt;margin-top:3pt;height:24.2pt;width:184.6pt;z-index:251676672;mso-width-relative:page;mso-height-relative:page;" o:ole="t" filled="f" o:preferrelative="t" stroked="f" coordsize="21600,21600">
            <v:path/>
            <v:fill on="f" focussize="0,0"/>
            <v:stroke on="f" joinstyle="miter"/>
            <v:imagedata r:id="rId94" o:title=""/>
            <o:lock v:ext="edit" aspectratio="t"/>
          </v:shape>
          <o:OLEObject Type="Embed" ProgID="Equation.3" ShapeID="Object 1035" DrawAspect="Content" ObjectID="_1468075734" r:id="rId93">
            <o:LockedField>false</o:LockedField>
          </o:OLEObject>
        </w:pict>
      </w:r>
    </w:p>
    <w:p w14:paraId="1135E4C3">
      <w:pPr>
        <w:pStyle w:val="18"/>
        <w:autoSpaceDE w:val="0"/>
        <w:autoSpaceDN w:val="0"/>
        <w:snapToGrid w:val="0"/>
        <w:spacing w:line="500" w:lineRule="exact"/>
        <w:ind w:firstLine="480" w:firstLineChars="200"/>
        <w:jc w:val="both"/>
        <w:textAlignment w:val="center"/>
        <w:rPr>
          <w:rFonts w:hint="default" w:ascii="Times New Roman" w:hAnsi="Times New Roman" w:cs="Times New Roman"/>
          <w:color w:val="auto"/>
          <w:szCs w:val="24"/>
          <w:highlight w:val="none"/>
        </w:rPr>
      </w:pPr>
      <w:r>
        <w:rPr>
          <w:rFonts w:hint="default" w:ascii="Times New Roman" w:hAnsi="Times New Roman" w:cs="Times New Roman"/>
          <w:color w:val="auto"/>
          <w:szCs w:val="24"/>
          <w:highlight w:val="none"/>
        </w:rPr>
        <w:t>式中：</w:t>
      </w:r>
      <w:r>
        <w:rPr>
          <w:rFonts w:hint="default" w:ascii="Times New Roman" w:hAnsi="Times New Roman" w:cs="Times New Roman"/>
          <w:i/>
          <w:color w:val="auto"/>
          <w:szCs w:val="24"/>
          <w:highlight w:val="none"/>
        </w:rPr>
        <w:t>L</w:t>
      </w:r>
      <w:r>
        <w:rPr>
          <w:rFonts w:hint="default" w:ascii="Times New Roman" w:hAnsi="Times New Roman" w:cs="Times New Roman"/>
          <w:color w:val="auto"/>
          <w:szCs w:val="24"/>
          <w:highlight w:val="none"/>
          <w:vertAlign w:val="subscript"/>
        </w:rPr>
        <w:t>eqg</w:t>
      </w:r>
      <w:r>
        <w:rPr>
          <w:rFonts w:hint="default" w:ascii="Times New Roman" w:hAnsi="Times New Roman" w:cs="Times New Roman"/>
          <w:color w:val="auto"/>
          <w:szCs w:val="24"/>
          <w:highlight w:val="none"/>
        </w:rPr>
        <w:t xml:space="preserve">—建设项目声源在预测点的等效声级贡献值，dB(A)； </w:t>
      </w:r>
    </w:p>
    <w:p w14:paraId="392E0A6A">
      <w:pPr>
        <w:pStyle w:val="18"/>
        <w:autoSpaceDE w:val="0"/>
        <w:autoSpaceDN w:val="0"/>
        <w:snapToGrid w:val="0"/>
        <w:spacing w:line="500" w:lineRule="exact"/>
        <w:ind w:firstLine="1200" w:firstLineChars="500"/>
        <w:jc w:val="both"/>
        <w:textAlignment w:val="center"/>
        <w:rPr>
          <w:rFonts w:hint="default" w:ascii="Times New Roman" w:hAnsi="Times New Roman" w:cs="Times New Roman"/>
          <w:color w:val="auto"/>
          <w:szCs w:val="24"/>
          <w:highlight w:val="none"/>
        </w:rPr>
      </w:pPr>
      <w:r>
        <w:rPr>
          <w:rFonts w:hint="default" w:ascii="Times New Roman" w:hAnsi="Times New Roman" w:cs="Times New Roman"/>
          <w:i/>
          <w:iCs/>
          <w:color w:val="auto"/>
          <w:szCs w:val="24"/>
          <w:highlight w:val="none"/>
        </w:rPr>
        <w:t>L</w:t>
      </w:r>
      <w:r>
        <w:rPr>
          <w:rFonts w:hint="default" w:ascii="Times New Roman" w:hAnsi="Times New Roman" w:cs="Times New Roman"/>
          <w:i/>
          <w:iCs/>
          <w:color w:val="auto"/>
          <w:szCs w:val="24"/>
          <w:highlight w:val="none"/>
          <w:vertAlign w:val="subscript"/>
        </w:rPr>
        <w:t>eqb</w:t>
      </w:r>
      <w:r>
        <w:rPr>
          <w:rFonts w:hint="default" w:ascii="Times New Roman" w:hAnsi="Times New Roman" w:cs="Times New Roman"/>
          <w:color w:val="auto"/>
          <w:szCs w:val="24"/>
          <w:highlight w:val="none"/>
        </w:rPr>
        <w:t>—预测点的背景值，dB(A)。</w:t>
      </w:r>
    </w:p>
    <w:p w14:paraId="47DE6515">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5.2.3.1</w:t>
      </w:r>
      <w:r>
        <w:rPr>
          <w:rFonts w:hint="default" w:ascii="Times New Roman" w:hAnsi="Times New Roman" w:eastAsia="宋体" w:cs="Times New Roman"/>
          <w:b/>
          <w:bCs/>
          <w:color w:val="auto"/>
          <w:spacing w:val="-1"/>
          <w:sz w:val="24"/>
          <w:szCs w:val="24"/>
          <w:highlight w:val="none"/>
          <w:lang w:val="en-US" w:eastAsia="zh-CN"/>
        </w:rPr>
        <w:t>预测结果</w:t>
      </w:r>
    </w:p>
    <w:p w14:paraId="5DB28AC8">
      <w:pPr>
        <w:keepNext w:val="0"/>
        <w:keepLines w:val="0"/>
        <w:pageBreakBefore w:val="0"/>
        <w:widowControl/>
        <w:kinsoku/>
        <w:wordWrap w:val="0"/>
        <w:overflowPunct/>
        <w:topLinePunct/>
        <w:autoSpaceDE/>
        <w:autoSpaceDN/>
        <w:bidi w:val="0"/>
        <w:adjustRightInd w:val="0"/>
        <w:snapToGrid w:val="0"/>
        <w:spacing w:before="78" w:line="360" w:lineRule="auto"/>
        <w:ind w:left="574"/>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lang w:eastAsia="zh-CN"/>
        </w:rPr>
        <w:t>厂界</w:t>
      </w:r>
      <w:r>
        <w:rPr>
          <w:rFonts w:hint="default" w:ascii="Times New Roman" w:hAnsi="Times New Roman" w:eastAsia="宋体" w:cs="Times New Roman"/>
          <w:color w:val="auto"/>
          <w:spacing w:val="-2"/>
          <w:sz w:val="24"/>
          <w:szCs w:val="24"/>
          <w:highlight w:val="none"/>
        </w:rPr>
        <w:t>噪声预测结果见表</w:t>
      </w:r>
      <w:r>
        <w:rPr>
          <w:rFonts w:hint="default" w:ascii="Times New Roman" w:hAnsi="Times New Roman" w:eastAsia="Times New Roman" w:cs="Times New Roman"/>
          <w:color w:val="auto"/>
          <w:spacing w:val="-2"/>
          <w:sz w:val="24"/>
          <w:szCs w:val="24"/>
          <w:highlight w:val="none"/>
        </w:rPr>
        <w:t>5.2-</w:t>
      </w:r>
      <w:r>
        <w:rPr>
          <w:rFonts w:hint="default" w:ascii="Times New Roman" w:hAnsi="Times New Roman" w:eastAsia="宋体" w:cs="Times New Roman"/>
          <w:color w:val="auto"/>
          <w:spacing w:val="-2"/>
          <w:sz w:val="24"/>
          <w:szCs w:val="24"/>
          <w:highlight w:val="none"/>
          <w:lang w:val="en-US" w:eastAsia="zh-CN"/>
        </w:rPr>
        <w:t>3</w:t>
      </w:r>
      <w:r>
        <w:rPr>
          <w:rFonts w:hint="default" w:ascii="Times New Roman" w:hAnsi="Times New Roman" w:eastAsia="宋体" w:cs="Times New Roman"/>
          <w:color w:val="auto"/>
          <w:spacing w:val="-2"/>
          <w:sz w:val="24"/>
          <w:szCs w:val="24"/>
          <w:highlight w:val="none"/>
        </w:rPr>
        <w:t>。</w:t>
      </w:r>
    </w:p>
    <w:p w14:paraId="0E839F1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Times New Roman" w:cs="Times New Roman"/>
          <w:b/>
          <w:bCs/>
          <w:color w:val="auto"/>
          <w:sz w:val="24"/>
          <w:szCs w:val="24"/>
          <w:highlight w:val="none"/>
          <w:shd w:val="clear" w:color="auto" w:fill="auto"/>
        </w:rPr>
      </w:pPr>
      <w:r>
        <w:rPr>
          <w:rFonts w:hint="default" w:ascii="Times New Roman" w:hAnsi="Times New Roman" w:eastAsia="宋体" w:cs="Times New Roman"/>
          <w:b/>
          <w:bCs/>
          <w:color w:val="auto"/>
          <w:spacing w:val="-1"/>
          <w:sz w:val="24"/>
          <w:szCs w:val="24"/>
          <w:highlight w:val="none"/>
          <w:shd w:val="clear" w:color="auto" w:fill="auto"/>
        </w:rPr>
        <w:t>表</w:t>
      </w:r>
      <w:r>
        <w:rPr>
          <w:rFonts w:hint="default" w:ascii="Times New Roman" w:hAnsi="Times New Roman" w:eastAsia="Times New Roman" w:cs="Times New Roman"/>
          <w:b/>
          <w:bCs/>
          <w:color w:val="auto"/>
          <w:spacing w:val="-1"/>
          <w:sz w:val="24"/>
          <w:szCs w:val="24"/>
          <w:highlight w:val="none"/>
          <w:shd w:val="clear" w:color="auto" w:fill="auto"/>
        </w:rPr>
        <w:t>5.2-</w:t>
      </w:r>
      <w:r>
        <w:rPr>
          <w:rFonts w:hint="default" w:ascii="Times New Roman" w:hAnsi="Times New Roman" w:eastAsia="宋体" w:cs="Times New Roman"/>
          <w:b/>
          <w:bCs/>
          <w:color w:val="auto"/>
          <w:spacing w:val="-1"/>
          <w:sz w:val="24"/>
          <w:szCs w:val="24"/>
          <w:highlight w:val="none"/>
          <w:shd w:val="clear" w:color="auto" w:fill="auto"/>
          <w:lang w:val="en-US" w:eastAsia="zh-CN"/>
        </w:rPr>
        <w:t>3</w:t>
      </w:r>
      <w:r>
        <w:rPr>
          <w:rFonts w:hint="default" w:ascii="Times New Roman" w:hAnsi="Times New Roman" w:eastAsia="宋体" w:cs="Times New Roman"/>
          <w:b/>
          <w:bCs/>
          <w:color w:val="auto"/>
          <w:spacing w:val="-1"/>
          <w:sz w:val="24"/>
          <w:szCs w:val="24"/>
          <w:highlight w:val="none"/>
          <w:shd w:val="clear" w:color="auto" w:fill="auto"/>
          <w:lang w:eastAsia="zh-CN"/>
        </w:rPr>
        <w:t>厂界</w:t>
      </w:r>
      <w:r>
        <w:rPr>
          <w:rFonts w:hint="default" w:ascii="Times New Roman" w:hAnsi="Times New Roman" w:eastAsia="宋体" w:cs="Times New Roman"/>
          <w:b/>
          <w:bCs/>
          <w:color w:val="auto"/>
          <w:spacing w:val="-1"/>
          <w:sz w:val="24"/>
          <w:szCs w:val="24"/>
          <w:highlight w:val="none"/>
          <w:shd w:val="clear" w:color="auto" w:fill="auto"/>
        </w:rPr>
        <w:t>噪声预测结果（贡献值）单位：</w:t>
      </w:r>
      <w:r>
        <w:rPr>
          <w:rFonts w:hint="default" w:ascii="Times New Roman" w:hAnsi="Times New Roman" w:eastAsia="Times New Roman" w:cs="Times New Roman"/>
          <w:b/>
          <w:bCs/>
          <w:color w:val="auto"/>
          <w:spacing w:val="-1"/>
          <w:sz w:val="24"/>
          <w:szCs w:val="24"/>
          <w:highlight w:val="none"/>
          <w:shd w:val="clear" w:color="auto" w:fill="auto"/>
        </w:rPr>
        <w:t>dB(A)</w:t>
      </w:r>
    </w:p>
    <w:p w14:paraId="0E998549">
      <w:pPr>
        <w:keepNext w:val="0"/>
        <w:keepLines w:val="0"/>
        <w:pageBreakBefore w:val="0"/>
        <w:kinsoku/>
        <w:wordWrap w:val="0"/>
        <w:overflowPunct/>
        <w:topLinePunct/>
        <w:autoSpaceDE/>
        <w:autoSpaceDN/>
        <w:bidi w:val="0"/>
        <w:adjustRightInd w:val="0"/>
        <w:snapToGrid w:val="0"/>
        <w:spacing w:line="18" w:lineRule="auto"/>
        <w:textAlignment w:val="baseline"/>
        <w:rPr>
          <w:rFonts w:hint="default" w:ascii="Times New Roman" w:hAnsi="Times New Roman" w:cs="Times New Roman"/>
          <w:color w:val="auto"/>
          <w:sz w:val="2"/>
          <w:highlight w:val="none"/>
        </w:rPr>
      </w:pPr>
    </w:p>
    <w:tbl>
      <w:tblPr>
        <w:tblStyle w:val="34"/>
        <w:tblW w:w="892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1078"/>
        <w:gridCol w:w="1101"/>
        <w:gridCol w:w="1142"/>
        <w:gridCol w:w="1195"/>
        <w:gridCol w:w="1088"/>
        <w:gridCol w:w="1407"/>
        <w:gridCol w:w="1244"/>
      </w:tblGrid>
      <w:tr w14:paraId="307285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jc w:val="center"/>
        </w:trPr>
        <w:tc>
          <w:tcPr>
            <w:tcW w:w="672" w:type="dxa"/>
            <w:vMerge w:val="restart"/>
            <w:tcBorders>
              <w:top w:val="single" w:color="000000" w:sz="10" w:space="0"/>
              <w:left w:val="nil"/>
            </w:tcBorders>
            <w:vAlign w:val="center"/>
          </w:tcPr>
          <w:p w14:paraId="59E74C9E">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5"/>
                <w:sz w:val="21"/>
                <w:szCs w:val="21"/>
                <w:highlight w:val="none"/>
              </w:rPr>
              <w:t>序号</w:t>
            </w:r>
          </w:p>
        </w:tc>
        <w:tc>
          <w:tcPr>
            <w:tcW w:w="1078" w:type="dxa"/>
            <w:vMerge w:val="restart"/>
            <w:tcBorders>
              <w:top w:val="single" w:color="000000" w:sz="10" w:space="0"/>
              <w:right w:val="single" w:color="auto" w:sz="4" w:space="0"/>
            </w:tcBorders>
            <w:vAlign w:val="center"/>
          </w:tcPr>
          <w:p w14:paraId="6E5A83E4">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5"/>
                <w:sz w:val="21"/>
                <w:szCs w:val="21"/>
                <w:highlight w:val="none"/>
              </w:rPr>
              <w:t>位置</w:t>
            </w:r>
          </w:p>
        </w:tc>
        <w:tc>
          <w:tcPr>
            <w:tcW w:w="2243" w:type="dxa"/>
            <w:gridSpan w:val="2"/>
            <w:tcBorders>
              <w:top w:val="single" w:color="000000" w:sz="10" w:space="0"/>
              <w:left w:val="single" w:color="auto" w:sz="4" w:space="0"/>
              <w:bottom w:val="single" w:color="auto" w:sz="4" w:space="0"/>
            </w:tcBorders>
            <w:vAlign w:val="center"/>
          </w:tcPr>
          <w:p w14:paraId="13A055DA">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5"/>
                <w:sz w:val="21"/>
                <w:szCs w:val="21"/>
                <w:highlight w:val="none"/>
              </w:rPr>
            </w:pPr>
            <w:r>
              <w:rPr>
                <w:rFonts w:hint="default" w:ascii="Times New Roman" w:hAnsi="Times New Roman" w:eastAsia="宋体" w:cs="Times New Roman"/>
                <w:color w:val="FF0000"/>
                <w:spacing w:val="10"/>
                <w:sz w:val="21"/>
                <w:szCs w:val="21"/>
                <w:highlight w:val="none"/>
                <w:lang w:bidi="en-US"/>
              </w:rPr>
              <w:t>噪声标准/dB(A)</w:t>
            </w:r>
          </w:p>
        </w:tc>
        <w:tc>
          <w:tcPr>
            <w:tcW w:w="2283" w:type="dxa"/>
            <w:gridSpan w:val="2"/>
            <w:tcBorders>
              <w:top w:val="single" w:color="000000" w:sz="10" w:space="0"/>
              <w:right w:val="single" w:color="auto" w:sz="4" w:space="0"/>
            </w:tcBorders>
            <w:vAlign w:val="center"/>
          </w:tcPr>
          <w:p w14:paraId="1F1B548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10"/>
                <w:sz w:val="21"/>
                <w:szCs w:val="21"/>
                <w:highlight w:val="none"/>
                <w:lang w:bidi="en-US"/>
              </w:rPr>
              <w:t>噪声贡献值/dB(A)</w:t>
            </w:r>
          </w:p>
        </w:tc>
        <w:tc>
          <w:tcPr>
            <w:tcW w:w="2651" w:type="dxa"/>
            <w:gridSpan w:val="2"/>
            <w:tcBorders>
              <w:top w:val="single" w:color="000000" w:sz="10" w:space="0"/>
              <w:left w:val="single" w:color="auto" w:sz="4" w:space="0"/>
              <w:right w:val="nil"/>
            </w:tcBorders>
            <w:vAlign w:val="center"/>
          </w:tcPr>
          <w:p w14:paraId="2F5A458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10"/>
                <w:sz w:val="21"/>
                <w:szCs w:val="21"/>
                <w:highlight w:val="none"/>
                <w:lang w:bidi="en-US"/>
              </w:rPr>
              <w:t>超标及达标情况</w:t>
            </w:r>
          </w:p>
        </w:tc>
      </w:tr>
      <w:tr w14:paraId="3B421D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72" w:type="dxa"/>
            <w:vMerge w:val="continue"/>
            <w:tcBorders>
              <w:left w:val="nil"/>
            </w:tcBorders>
            <w:vAlign w:val="center"/>
          </w:tcPr>
          <w:p w14:paraId="09F9916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5"/>
                <w:sz w:val="21"/>
                <w:szCs w:val="21"/>
                <w:highlight w:val="none"/>
              </w:rPr>
            </w:pPr>
          </w:p>
        </w:tc>
        <w:tc>
          <w:tcPr>
            <w:tcW w:w="1078" w:type="dxa"/>
            <w:vMerge w:val="continue"/>
            <w:tcBorders>
              <w:right w:val="single" w:color="auto" w:sz="4" w:space="0"/>
            </w:tcBorders>
            <w:vAlign w:val="center"/>
          </w:tcPr>
          <w:p w14:paraId="3FAB0D1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5"/>
                <w:sz w:val="21"/>
                <w:szCs w:val="21"/>
                <w:highlight w:val="none"/>
              </w:rPr>
            </w:pPr>
          </w:p>
        </w:tc>
        <w:tc>
          <w:tcPr>
            <w:tcW w:w="1101" w:type="dxa"/>
            <w:tcBorders>
              <w:top w:val="single" w:color="auto" w:sz="4" w:space="0"/>
              <w:left w:val="single" w:color="auto" w:sz="4" w:space="0"/>
              <w:right w:val="single" w:color="auto" w:sz="4" w:space="0"/>
            </w:tcBorders>
            <w:vAlign w:val="center"/>
          </w:tcPr>
          <w:p w14:paraId="49F247F6">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5"/>
                <w:sz w:val="21"/>
                <w:szCs w:val="21"/>
                <w:highlight w:val="none"/>
                <w:lang w:val="en-US" w:eastAsia="zh-CN"/>
              </w:rPr>
            </w:pPr>
            <w:r>
              <w:rPr>
                <w:rFonts w:hint="default" w:ascii="Times New Roman" w:hAnsi="Times New Roman" w:eastAsia="宋体" w:cs="Times New Roman"/>
                <w:color w:val="FF0000"/>
                <w:spacing w:val="-5"/>
                <w:sz w:val="21"/>
                <w:szCs w:val="21"/>
                <w:highlight w:val="none"/>
                <w:lang w:val="en-US" w:eastAsia="zh-CN"/>
              </w:rPr>
              <w:t>昼间</w:t>
            </w:r>
          </w:p>
        </w:tc>
        <w:tc>
          <w:tcPr>
            <w:tcW w:w="1142" w:type="dxa"/>
            <w:tcBorders>
              <w:top w:val="single" w:color="auto" w:sz="4" w:space="0"/>
              <w:left w:val="single" w:color="auto" w:sz="4" w:space="0"/>
            </w:tcBorders>
            <w:vAlign w:val="center"/>
          </w:tcPr>
          <w:p w14:paraId="262CBAD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5"/>
                <w:sz w:val="21"/>
                <w:szCs w:val="21"/>
                <w:highlight w:val="none"/>
                <w:lang w:val="en-US" w:eastAsia="zh-CN"/>
              </w:rPr>
            </w:pPr>
            <w:r>
              <w:rPr>
                <w:rFonts w:hint="default" w:ascii="Times New Roman" w:hAnsi="Times New Roman" w:eastAsia="宋体" w:cs="Times New Roman"/>
                <w:color w:val="FF0000"/>
                <w:spacing w:val="-5"/>
                <w:sz w:val="21"/>
                <w:szCs w:val="21"/>
                <w:highlight w:val="none"/>
                <w:lang w:val="en-US" w:eastAsia="zh-CN"/>
              </w:rPr>
              <w:t>夜间</w:t>
            </w:r>
          </w:p>
        </w:tc>
        <w:tc>
          <w:tcPr>
            <w:tcW w:w="1195" w:type="dxa"/>
            <w:tcBorders>
              <w:top w:val="single" w:color="auto" w:sz="4" w:space="0"/>
            </w:tcBorders>
            <w:vAlign w:val="center"/>
          </w:tcPr>
          <w:p w14:paraId="05770DA5">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3"/>
                <w:sz w:val="21"/>
                <w:szCs w:val="21"/>
                <w:highlight w:val="none"/>
              </w:rPr>
            </w:pPr>
            <w:r>
              <w:rPr>
                <w:rFonts w:hint="default" w:ascii="Times New Roman" w:hAnsi="Times New Roman" w:eastAsia="宋体" w:cs="Times New Roman"/>
                <w:color w:val="FF0000"/>
                <w:spacing w:val="-3"/>
                <w:sz w:val="21"/>
                <w:szCs w:val="21"/>
                <w:highlight w:val="none"/>
              </w:rPr>
              <w:t>昼间</w:t>
            </w:r>
          </w:p>
        </w:tc>
        <w:tc>
          <w:tcPr>
            <w:tcW w:w="1088" w:type="dxa"/>
            <w:tcBorders>
              <w:top w:val="single" w:color="auto" w:sz="4" w:space="0"/>
              <w:right w:val="single" w:color="auto" w:sz="4" w:space="0"/>
            </w:tcBorders>
            <w:vAlign w:val="center"/>
          </w:tcPr>
          <w:p w14:paraId="1BAD3612">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6"/>
                <w:sz w:val="21"/>
                <w:szCs w:val="21"/>
                <w:highlight w:val="none"/>
              </w:rPr>
            </w:pPr>
            <w:r>
              <w:rPr>
                <w:rFonts w:hint="default" w:ascii="Times New Roman" w:hAnsi="Times New Roman" w:eastAsia="宋体" w:cs="Times New Roman"/>
                <w:color w:val="FF0000"/>
                <w:spacing w:val="-6"/>
                <w:sz w:val="21"/>
                <w:szCs w:val="21"/>
                <w:highlight w:val="none"/>
              </w:rPr>
              <w:t>夜</w:t>
            </w:r>
            <w:r>
              <w:rPr>
                <w:rFonts w:hint="default" w:ascii="Times New Roman" w:hAnsi="Times New Roman" w:eastAsia="宋体" w:cs="Times New Roman"/>
                <w:color w:val="FF0000"/>
                <w:spacing w:val="-6"/>
                <w:sz w:val="21"/>
                <w:szCs w:val="21"/>
                <w:highlight w:val="none"/>
                <w:lang w:val="en-US" w:eastAsia="zh-CN"/>
              </w:rPr>
              <w:t>间</w:t>
            </w:r>
          </w:p>
        </w:tc>
        <w:tc>
          <w:tcPr>
            <w:tcW w:w="1407" w:type="dxa"/>
            <w:tcBorders>
              <w:top w:val="single" w:color="auto" w:sz="4" w:space="0"/>
              <w:left w:val="single" w:color="auto" w:sz="4" w:space="0"/>
              <w:right w:val="single" w:color="auto" w:sz="4" w:space="0"/>
            </w:tcBorders>
            <w:vAlign w:val="center"/>
          </w:tcPr>
          <w:p w14:paraId="231ED60F">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6"/>
                <w:sz w:val="21"/>
                <w:szCs w:val="21"/>
                <w:highlight w:val="none"/>
                <w:lang w:val="en-US" w:eastAsia="zh-CN"/>
              </w:rPr>
            </w:pPr>
            <w:r>
              <w:rPr>
                <w:rFonts w:hint="default" w:ascii="Times New Roman" w:hAnsi="Times New Roman" w:eastAsia="宋体" w:cs="Times New Roman"/>
                <w:color w:val="FF0000"/>
                <w:spacing w:val="-6"/>
                <w:sz w:val="21"/>
                <w:szCs w:val="21"/>
                <w:highlight w:val="none"/>
                <w:lang w:val="en-US" w:eastAsia="zh-CN"/>
              </w:rPr>
              <w:t>昼间</w:t>
            </w:r>
          </w:p>
        </w:tc>
        <w:tc>
          <w:tcPr>
            <w:tcW w:w="1244" w:type="dxa"/>
            <w:tcBorders>
              <w:top w:val="single" w:color="auto" w:sz="4" w:space="0"/>
              <w:left w:val="single" w:color="auto" w:sz="4" w:space="0"/>
              <w:right w:val="nil"/>
            </w:tcBorders>
            <w:vAlign w:val="center"/>
          </w:tcPr>
          <w:p w14:paraId="517654BD">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6"/>
                <w:sz w:val="21"/>
                <w:szCs w:val="21"/>
                <w:highlight w:val="none"/>
                <w:lang w:val="en-US" w:eastAsia="zh-CN"/>
              </w:rPr>
            </w:pPr>
            <w:r>
              <w:rPr>
                <w:rFonts w:hint="default" w:ascii="Times New Roman" w:hAnsi="Times New Roman" w:eastAsia="宋体" w:cs="Times New Roman"/>
                <w:color w:val="FF0000"/>
                <w:spacing w:val="-6"/>
                <w:sz w:val="21"/>
                <w:szCs w:val="21"/>
                <w:highlight w:val="none"/>
                <w:lang w:val="en-US" w:eastAsia="zh-CN"/>
              </w:rPr>
              <w:t>夜间</w:t>
            </w:r>
          </w:p>
        </w:tc>
      </w:tr>
      <w:tr w14:paraId="6CF34D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72" w:type="dxa"/>
            <w:tcBorders>
              <w:left w:val="nil"/>
            </w:tcBorders>
            <w:vAlign w:val="center"/>
          </w:tcPr>
          <w:p w14:paraId="1F4E1F1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w:t>
            </w:r>
          </w:p>
        </w:tc>
        <w:tc>
          <w:tcPr>
            <w:tcW w:w="1078" w:type="dxa"/>
            <w:tcBorders>
              <w:right w:val="single" w:color="auto" w:sz="4" w:space="0"/>
            </w:tcBorders>
            <w:vAlign w:val="center"/>
          </w:tcPr>
          <w:p w14:paraId="010903DC">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14"/>
                <w:sz w:val="21"/>
                <w:szCs w:val="21"/>
                <w:highlight w:val="none"/>
              </w:rPr>
              <w:t>东厂界外</w:t>
            </w:r>
          </w:p>
        </w:tc>
        <w:tc>
          <w:tcPr>
            <w:tcW w:w="1101" w:type="dxa"/>
            <w:tcBorders>
              <w:left w:val="single" w:color="auto" w:sz="4" w:space="0"/>
              <w:right w:val="single" w:color="auto" w:sz="4" w:space="0"/>
            </w:tcBorders>
            <w:vAlign w:val="center"/>
          </w:tcPr>
          <w:p w14:paraId="55F5C3D9">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14"/>
                <w:sz w:val="21"/>
                <w:szCs w:val="21"/>
                <w:highlight w:val="none"/>
                <w:lang w:val="en-US" w:eastAsia="zh-CN"/>
              </w:rPr>
            </w:pPr>
            <w:r>
              <w:rPr>
                <w:rFonts w:hint="default" w:ascii="Times New Roman" w:hAnsi="Times New Roman" w:cs="Times New Roman"/>
                <w:color w:val="FF0000"/>
                <w:spacing w:val="-14"/>
                <w:sz w:val="21"/>
                <w:szCs w:val="21"/>
                <w:highlight w:val="none"/>
                <w:lang w:val="en-US" w:eastAsia="zh-CN"/>
              </w:rPr>
              <w:t>55</w:t>
            </w:r>
          </w:p>
        </w:tc>
        <w:tc>
          <w:tcPr>
            <w:tcW w:w="1142" w:type="dxa"/>
            <w:tcBorders>
              <w:left w:val="single" w:color="auto" w:sz="4" w:space="0"/>
            </w:tcBorders>
            <w:vAlign w:val="center"/>
          </w:tcPr>
          <w:p w14:paraId="57B0441D">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14"/>
                <w:sz w:val="21"/>
                <w:szCs w:val="21"/>
                <w:highlight w:val="none"/>
                <w:lang w:val="en-US" w:eastAsia="zh-CN"/>
              </w:rPr>
            </w:pPr>
            <w:r>
              <w:rPr>
                <w:rFonts w:hint="default" w:ascii="Times New Roman" w:hAnsi="Times New Roman" w:cs="Times New Roman"/>
                <w:color w:val="FF0000"/>
                <w:spacing w:val="-14"/>
                <w:sz w:val="21"/>
                <w:szCs w:val="21"/>
                <w:highlight w:val="none"/>
                <w:lang w:val="en-US" w:eastAsia="zh-CN"/>
              </w:rPr>
              <w:t>45</w:t>
            </w:r>
          </w:p>
        </w:tc>
        <w:tc>
          <w:tcPr>
            <w:tcW w:w="1195" w:type="dxa"/>
            <w:vAlign w:val="center"/>
          </w:tcPr>
          <w:p w14:paraId="425DD03D">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lang w:val="en-US" w:eastAsia="zh-CN"/>
              </w:rPr>
            </w:pPr>
            <w:r>
              <w:rPr>
                <w:rFonts w:hint="eastAsia" w:ascii="Times New Roman" w:hAnsi="Times New Roman" w:eastAsia="宋体" w:cs="Times New Roman"/>
                <w:color w:val="FF0000"/>
                <w:spacing w:val="-2"/>
                <w:sz w:val="21"/>
                <w:szCs w:val="21"/>
                <w:highlight w:val="none"/>
                <w:lang w:val="en-US" w:eastAsia="zh-CN"/>
              </w:rPr>
              <w:t>29</w:t>
            </w:r>
          </w:p>
        </w:tc>
        <w:tc>
          <w:tcPr>
            <w:tcW w:w="1088" w:type="dxa"/>
            <w:tcBorders>
              <w:right w:val="single" w:color="auto" w:sz="4" w:space="0"/>
            </w:tcBorders>
            <w:vAlign w:val="center"/>
          </w:tcPr>
          <w:p w14:paraId="0A6E213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lang w:val="en-US" w:eastAsia="zh-CN"/>
              </w:rPr>
            </w:pPr>
            <w:r>
              <w:rPr>
                <w:rFonts w:hint="eastAsia" w:ascii="Times New Roman" w:hAnsi="Times New Roman" w:eastAsia="宋体" w:cs="Times New Roman"/>
                <w:color w:val="FF0000"/>
                <w:spacing w:val="-2"/>
                <w:sz w:val="21"/>
                <w:szCs w:val="21"/>
                <w:highlight w:val="none"/>
                <w:lang w:val="en-US" w:eastAsia="zh-CN"/>
              </w:rPr>
              <w:t>29</w:t>
            </w:r>
          </w:p>
        </w:tc>
        <w:tc>
          <w:tcPr>
            <w:tcW w:w="1407" w:type="dxa"/>
            <w:tcBorders>
              <w:left w:val="single" w:color="auto" w:sz="4" w:space="0"/>
              <w:right w:val="single" w:color="auto" w:sz="4" w:space="0"/>
            </w:tcBorders>
            <w:vAlign w:val="center"/>
          </w:tcPr>
          <w:p w14:paraId="1E7FE8D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2"/>
                <w:sz w:val="21"/>
                <w:szCs w:val="21"/>
                <w:highlight w:val="none"/>
              </w:rPr>
            </w:pPr>
            <w:r>
              <w:rPr>
                <w:rFonts w:hint="default" w:ascii="Times New Roman" w:hAnsi="Times New Roman" w:eastAsia="宋体" w:cs="Times New Roman"/>
                <w:color w:val="FF0000"/>
                <w:spacing w:val="10"/>
                <w:sz w:val="21"/>
                <w:szCs w:val="21"/>
                <w:highlight w:val="none"/>
                <w:lang w:bidi="en-US"/>
              </w:rPr>
              <w:t>达标</w:t>
            </w:r>
          </w:p>
        </w:tc>
        <w:tc>
          <w:tcPr>
            <w:tcW w:w="1244" w:type="dxa"/>
            <w:tcBorders>
              <w:left w:val="single" w:color="auto" w:sz="4" w:space="0"/>
              <w:right w:val="nil"/>
            </w:tcBorders>
            <w:vAlign w:val="center"/>
          </w:tcPr>
          <w:p w14:paraId="7874E06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2"/>
                <w:sz w:val="21"/>
                <w:szCs w:val="21"/>
                <w:highlight w:val="none"/>
              </w:rPr>
            </w:pPr>
            <w:r>
              <w:rPr>
                <w:rFonts w:hint="default" w:ascii="Times New Roman" w:hAnsi="Times New Roman" w:eastAsia="宋体" w:cs="Times New Roman"/>
                <w:color w:val="FF0000"/>
                <w:spacing w:val="10"/>
                <w:sz w:val="21"/>
                <w:szCs w:val="21"/>
                <w:highlight w:val="none"/>
                <w:lang w:bidi="en-US"/>
              </w:rPr>
              <w:t>达标</w:t>
            </w:r>
          </w:p>
        </w:tc>
      </w:tr>
      <w:tr w14:paraId="2A58BD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72" w:type="dxa"/>
            <w:tcBorders>
              <w:left w:val="nil"/>
            </w:tcBorders>
            <w:vAlign w:val="center"/>
          </w:tcPr>
          <w:p w14:paraId="0076F756">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w:t>
            </w:r>
          </w:p>
        </w:tc>
        <w:tc>
          <w:tcPr>
            <w:tcW w:w="1078" w:type="dxa"/>
            <w:tcBorders>
              <w:right w:val="single" w:color="auto" w:sz="4" w:space="0"/>
            </w:tcBorders>
            <w:vAlign w:val="center"/>
          </w:tcPr>
          <w:p w14:paraId="15830D50">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12"/>
                <w:sz w:val="21"/>
                <w:szCs w:val="21"/>
                <w:highlight w:val="none"/>
              </w:rPr>
              <w:t>南厂界外</w:t>
            </w:r>
          </w:p>
        </w:tc>
        <w:tc>
          <w:tcPr>
            <w:tcW w:w="1101" w:type="dxa"/>
            <w:tcBorders>
              <w:left w:val="single" w:color="auto" w:sz="4" w:space="0"/>
              <w:right w:val="single" w:color="auto" w:sz="4" w:space="0"/>
            </w:tcBorders>
            <w:vAlign w:val="center"/>
          </w:tcPr>
          <w:p w14:paraId="7A8C6650">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pacing w:val="-12"/>
                <w:sz w:val="21"/>
                <w:szCs w:val="21"/>
                <w:highlight w:val="none"/>
              </w:rPr>
            </w:pPr>
            <w:r>
              <w:rPr>
                <w:rFonts w:hint="default" w:ascii="Times New Roman" w:hAnsi="Times New Roman" w:cs="Times New Roman"/>
                <w:color w:val="FF0000"/>
                <w:spacing w:val="-14"/>
                <w:sz w:val="21"/>
                <w:szCs w:val="21"/>
                <w:highlight w:val="none"/>
                <w:lang w:val="en-US" w:eastAsia="zh-CN"/>
              </w:rPr>
              <w:t>55</w:t>
            </w:r>
          </w:p>
        </w:tc>
        <w:tc>
          <w:tcPr>
            <w:tcW w:w="1142" w:type="dxa"/>
            <w:tcBorders>
              <w:left w:val="single" w:color="auto" w:sz="4" w:space="0"/>
            </w:tcBorders>
            <w:vAlign w:val="center"/>
          </w:tcPr>
          <w:p w14:paraId="0B7D4D86">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pacing w:val="-12"/>
                <w:sz w:val="21"/>
                <w:szCs w:val="21"/>
                <w:highlight w:val="none"/>
              </w:rPr>
            </w:pPr>
            <w:r>
              <w:rPr>
                <w:rFonts w:hint="default" w:ascii="Times New Roman" w:hAnsi="Times New Roman" w:cs="Times New Roman"/>
                <w:color w:val="FF0000"/>
                <w:spacing w:val="-14"/>
                <w:sz w:val="21"/>
                <w:szCs w:val="21"/>
                <w:highlight w:val="none"/>
                <w:lang w:val="en-US" w:eastAsia="zh-CN"/>
              </w:rPr>
              <w:t>45</w:t>
            </w:r>
          </w:p>
        </w:tc>
        <w:tc>
          <w:tcPr>
            <w:tcW w:w="1195" w:type="dxa"/>
            <w:vAlign w:val="center"/>
          </w:tcPr>
          <w:p w14:paraId="07EA7B28">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2"/>
                <w:sz w:val="21"/>
                <w:szCs w:val="21"/>
                <w:highlight w:val="none"/>
              </w:rPr>
              <w:t>42</w:t>
            </w:r>
          </w:p>
        </w:tc>
        <w:tc>
          <w:tcPr>
            <w:tcW w:w="1088" w:type="dxa"/>
            <w:tcBorders>
              <w:right w:val="single" w:color="auto" w:sz="4" w:space="0"/>
            </w:tcBorders>
            <w:vAlign w:val="center"/>
          </w:tcPr>
          <w:p w14:paraId="64D6EF0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2"/>
                <w:sz w:val="21"/>
                <w:szCs w:val="21"/>
                <w:highlight w:val="none"/>
              </w:rPr>
              <w:t>42</w:t>
            </w:r>
          </w:p>
        </w:tc>
        <w:tc>
          <w:tcPr>
            <w:tcW w:w="1407" w:type="dxa"/>
            <w:tcBorders>
              <w:left w:val="single" w:color="auto" w:sz="4" w:space="0"/>
              <w:right w:val="single" w:color="auto" w:sz="4" w:space="0"/>
            </w:tcBorders>
            <w:vAlign w:val="center"/>
          </w:tcPr>
          <w:p w14:paraId="2BE46190">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2"/>
                <w:sz w:val="21"/>
                <w:szCs w:val="21"/>
                <w:highlight w:val="none"/>
              </w:rPr>
            </w:pPr>
            <w:r>
              <w:rPr>
                <w:rFonts w:hint="default" w:ascii="Times New Roman" w:hAnsi="Times New Roman" w:eastAsia="宋体" w:cs="Times New Roman"/>
                <w:color w:val="FF0000"/>
                <w:spacing w:val="10"/>
                <w:sz w:val="21"/>
                <w:szCs w:val="21"/>
                <w:highlight w:val="none"/>
                <w:lang w:bidi="en-US"/>
              </w:rPr>
              <w:t>达标</w:t>
            </w:r>
          </w:p>
        </w:tc>
        <w:tc>
          <w:tcPr>
            <w:tcW w:w="1244" w:type="dxa"/>
            <w:tcBorders>
              <w:left w:val="single" w:color="auto" w:sz="4" w:space="0"/>
              <w:right w:val="nil"/>
            </w:tcBorders>
            <w:vAlign w:val="center"/>
          </w:tcPr>
          <w:p w14:paraId="5E9EFAB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2"/>
                <w:sz w:val="21"/>
                <w:szCs w:val="21"/>
                <w:highlight w:val="none"/>
              </w:rPr>
            </w:pPr>
            <w:r>
              <w:rPr>
                <w:rFonts w:hint="default" w:ascii="Times New Roman" w:hAnsi="Times New Roman" w:eastAsia="宋体" w:cs="Times New Roman"/>
                <w:color w:val="FF0000"/>
                <w:spacing w:val="10"/>
                <w:sz w:val="21"/>
                <w:szCs w:val="21"/>
                <w:highlight w:val="none"/>
                <w:lang w:bidi="en-US"/>
              </w:rPr>
              <w:t>达标</w:t>
            </w:r>
          </w:p>
        </w:tc>
      </w:tr>
      <w:tr w14:paraId="156247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72" w:type="dxa"/>
            <w:tcBorders>
              <w:left w:val="nil"/>
            </w:tcBorders>
            <w:vAlign w:val="center"/>
          </w:tcPr>
          <w:p w14:paraId="5D521E61">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w:t>
            </w:r>
          </w:p>
        </w:tc>
        <w:tc>
          <w:tcPr>
            <w:tcW w:w="1078" w:type="dxa"/>
            <w:tcBorders>
              <w:right w:val="single" w:color="auto" w:sz="4" w:space="0"/>
            </w:tcBorders>
            <w:vAlign w:val="center"/>
          </w:tcPr>
          <w:p w14:paraId="40808181">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13"/>
                <w:sz w:val="21"/>
                <w:szCs w:val="21"/>
                <w:highlight w:val="none"/>
              </w:rPr>
              <w:t>西厂界外</w:t>
            </w:r>
          </w:p>
        </w:tc>
        <w:tc>
          <w:tcPr>
            <w:tcW w:w="1101" w:type="dxa"/>
            <w:tcBorders>
              <w:left w:val="single" w:color="auto" w:sz="4" w:space="0"/>
              <w:right w:val="single" w:color="auto" w:sz="4" w:space="0"/>
            </w:tcBorders>
            <w:vAlign w:val="center"/>
          </w:tcPr>
          <w:p w14:paraId="03581411">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pacing w:val="-13"/>
                <w:sz w:val="21"/>
                <w:szCs w:val="21"/>
                <w:highlight w:val="none"/>
              </w:rPr>
            </w:pPr>
            <w:r>
              <w:rPr>
                <w:rFonts w:hint="default" w:ascii="Times New Roman" w:hAnsi="Times New Roman" w:cs="Times New Roman"/>
                <w:color w:val="FF0000"/>
                <w:spacing w:val="-14"/>
                <w:sz w:val="21"/>
                <w:szCs w:val="21"/>
                <w:highlight w:val="none"/>
                <w:lang w:val="en-US" w:eastAsia="zh-CN"/>
              </w:rPr>
              <w:t>55</w:t>
            </w:r>
          </w:p>
        </w:tc>
        <w:tc>
          <w:tcPr>
            <w:tcW w:w="1142" w:type="dxa"/>
            <w:tcBorders>
              <w:left w:val="single" w:color="auto" w:sz="4" w:space="0"/>
            </w:tcBorders>
            <w:vAlign w:val="center"/>
          </w:tcPr>
          <w:p w14:paraId="28B4C01E">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pacing w:val="-13"/>
                <w:sz w:val="21"/>
                <w:szCs w:val="21"/>
                <w:highlight w:val="none"/>
              </w:rPr>
            </w:pPr>
            <w:r>
              <w:rPr>
                <w:rFonts w:hint="default" w:ascii="Times New Roman" w:hAnsi="Times New Roman" w:cs="Times New Roman"/>
                <w:color w:val="FF0000"/>
                <w:spacing w:val="-14"/>
                <w:sz w:val="21"/>
                <w:szCs w:val="21"/>
                <w:highlight w:val="none"/>
                <w:lang w:val="en-US" w:eastAsia="zh-CN"/>
              </w:rPr>
              <w:t>45</w:t>
            </w:r>
          </w:p>
        </w:tc>
        <w:tc>
          <w:tcPr>
            <w:tcW w:w="1195" w:type="dxa"/>
            <w:vAlign w:val="center"/>
          </w:tcPr>
          <w:p w14:paraId="556A34B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4"/>
                <w:sz w:val="21"/>
                <w:szCs w:val="21"/>
                <w:highlight w:val="none"/>
              </w:rPr>
              <w:t>38</w:t>
            </w:r>
          </w:p>
        </w:tc>
        <w:tc>
          <w:tcPr>
            <w:tcW w:w="1088" w:type="dxa"/>
            <w:tcBorders>
              <w:right w:val="single" w:color="auto" w:sz="4" w:space="0"/>
            </w:tcBorders>
            <w:vAlign w:val="center"/>
          </w:tcPr>
          <w:p w14:paraId="5E5D18FE">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4"/>
                <w:sz w:val="21"/>
                <w:szCs w:val="21"/>
                <w:highlight w:val="none"/>
              </w:rPr>
              <w:t>38</w:t>
            </w:r>
          </w:p>
        </w:tc>
        <w:tc>
          <w:tcPr>
            <w:tcW w:w="1407" w:type="dxa"/>
            <w:tcBorders>
              <w:left w:val="single" w:color="auto" w:sz="4" w:space="0"/>
              <w:right w:val="single" w:color="auto" w:sz="4" w:space="0"/>
            </w:tcBorders>
            <w:vAlign w:val="center"/>
          </w:tcPr>
          <w:p w14:paraId="70CFAA4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4"/>
                <w:sz w:val="21"/>
                <w:szCs w:val="21"/>
                <w:highlight w:val="none"/>
              </w:rPr>
            </w:pPr>
            <w:r>
              <w:rPr>
                <w:rFonts w:hint="default" w:ascii="Times New Roman" w:hAnsi="Times New Roman" w:eastAsia="宋体" w:cs="Times New Roman"/>
                <w:color w:val="FF0000"/>
                <w:spacing w:val="10"/>
                <w:sz w:val="21"/>
                <w:szCs w:val="21"/>
                <w:highlight w:val="none"/>
                <w:lang w:bidi="en-US"/>
              </w:rPr>
              <w:t>达标</w:t>
            </w:r>
          </w:p>
        </w:tc>
        <w:tc>
          <w:tcPr>
            <w:tcW w:w="1244" w:type="dxa"/>
            <w:tcBorders>
              <w:left w:val="single" w:color="auto" w:sz="4" w:space="0"/>
              <w:right w:val="nil"/>
            </w:tcBorders>
            <w:vAlign w:val="center"/>
          </w:tcPr>
          <w:p w14:paraId="0829E2DA">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4"/>
                <w:sz w:val="21"/>
                <w:szCs w:val="21"/>
                <w:highlight w:val="none"/>
              </w:rPr>
            </w:pPr>
            <w:r>
              <w:rPr>
                <w:rFonts w:hint="default" w:ascii="Times New Roman" w:hAnsi="Times New Roman" w:eastAsia="宋体" w:cs="Times New Roman"/>
                <w:color w:val="FF0000"/>
                <w:spacing w:val="10"/>
                <w:sz w:val="21"/>
                <w:szCs w:val="21"/>
                <w:highlight w:val="none"/>
                <w:lang w:bidi="en-US"/>
              </w:rPr>
              <w:t>达标</w:t>
            </w:r>
          </w:p>
        </w:tc>
      </w:tr>
      <w:tr w14:paraId="70DF2F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72" w:type="dxa"/>
            <w:tcBorders>
              <w:left w:val="nil"/>
              <w:bottom w:val="single" w:color="000000" w:sz="10" w:space="0"/>
            </w:tcBorders>
            <w:vAlign w:val="center"/>
          </w:tcPr>
          <w:p w14:paraId="7A1FEFE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w:t>
            </w:r>
          </w:p>
        </w:tc>
        <w:tc>
          <w:tcPr>
            <w:tcW w:w="1078" w:type="dxa"/>
            <w:tcBorders>
              <w:bottom w:val="single" w:color="000000" w:sz="10" w:space="0"/>
              <w:right w:val="single" w:color="auto" w:sz="4" w:space="0"/>
            </w:tcBorders>
            <w:vAlign w:val="center"/>
          </w:tcPr>
          <w:p w14:paraId="38DA61A3">
            <w:pPr>
              <w:pStyle w:val="35"/>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pacing w:val="-12"/>
                <w:sz w:val="21"/>
                <w:szCs w:val="21"/>
                <w:highlight w:val="none"/>
              </w:rPr>
              <w:t>北厂界外</w:t>
            </w:r>
          </w:p>
        </w:tc>
        <w:tc>
          <w:tcPr>
            <w:tcW w:w="1101" w:type="dxa"/>
            <w:tcBorders>
              <w:left w:val="single" w:color="auto" w:sz="4" w:space="0"/>
              <w:bottom w:val="single" w:color="000000" w:sz="10" w:space="0"/>
              <w:right w:val="single" w:color="auto" w:sz="4" w:space="0"/>
            </w:tcBorders>
            <w:vAlign w:val="center"/>
          </w:tcPr>
          <w:p w14:paraId="38FBF180">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pacing w:val="-12"/>
                <w:sz w:val="21"/>
                <w:szCs w:val="21"/>
                <w:highlight w:val="none"/>
              </w:rPr>
            </w:pPr>
            <w:r>
              <w:rPr>
                <w:rFonts w:hint="default" w:ascii="Times New Roman" w:hAnsi="Times New Roman" w:cs="Times New Roman"/>
                <w:color w:val="FF0000"/>
                <w:spacing w:val="-14"/>
                <w:sz w:val="21"/>
                <w:szCs w:val="21"/>
                <w:highlight w:val="none"/>
                <w:lang w:val="en-US" w:eastAsia="zh-CN"/>
              </w:rPr>
              <w:t>55</w:t>
            </w:r>
          </w:p>
        </w:tc>
        <w:tc>
          <w:tcPr>
            <w:tcW w:w="1142" w:type="dxa"/>
            <w:tcBorders>
              <w:left w:val="single" w:color="auto" w:sz="4" w:space="0"/>
              <w:bottom w:val="single" w:color="000000" w:sz="10" w:space="0"/>
            </w:tcBorders>
            <w:vAlign w:val="center"/>
          </w:tcPr>
          <w:p w14:paraId="555F968F">
            <w:pPr>
              <w:keepNext w:val="0"/>
              <w:keepLines w:val="0"/>
              <w:pageBreakBefore w:val="0"/>
              <w:widowControl/>
              <w:kinsoku/>
              <w:wordWrap w:val="0"/>
              <w:overflowPunct/>
              <w:topLinePunct/>
              <w:autoSpaceDE/>
              <w:autoSpaceDN/>
              <w:bidi w:val="0"/>
              <w:adjustRightInd w:val="0"/>
              <w:snapToGrid w:val="0"/>
              <w:spacing w:line="240" w:lineRule="auto"/>
              <w:ind w:left="0" w:leftChars="0"/>
              <w:jc w:val="center"/>
              <w:textAlignment w:val="baseline"/>
              <w:rPr>
                <w:rFonts w:hint="default" w:ascii="Times New Roman" w:hAnsi="Times New Roman" w:eastAsia="宋体" w:cs="Times New Roman"/>
                <w:color w:val="FF0000"/>
                <w:spacing w:val="-12"/>
                <w:sz w:val="21"/>
                <w:szCs w:val="21"/>
                <w:highlight w:val="none"/>
              </w:rPr>
            </w:pPr>
            <w:r>
              <w:rPr>
                <w:rFonts w:hint="default" w:ascii="Times New Roman" w:hAnsi="Times New Roman" w:cs="Times New Roman"/>
                <w:color w:val="FF0000"/>
                <w:spacing w:val="-14"/>
                <w:sz w:val="21"/>
                <w:szCs w:val="21"/>
                <w:highlight w:val="none"/>
                <w:lang w:val="en-US" w:eastAsia="zh-CN"/>
              </w:rPr>
              <w:t>45</w:t>
            </w:r>
          </w:p>
        </w:tc>
        <w:tc>
          <w:tcPr>
            <w:tcW w:w="1195" w:type="dxa"/>
            <w:tcBorders>
              <w:bottom w:val="single" w:color="000000" w:sz="10" w:space="0"/>
            </w:tcBorders>
            <w:vAlign w:val="center"/>
          </w:tcPr>
          <w:p w14:paraId="2563BFD3">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pacing w:val="-8"/>
                <w:sz w:val="21"/>
                <w:szCs w:val="21"/>
                <w:highlight w:val="none"/>
                <w:lang w:val="en-US" w:eastAsia="zh-CN"/>
              </w:rPr>
              <w:t>34</w:t>
            </w:r>
          </w:p>
        </w:tc>
        <w:tc>
          <w:tcPr>
            <w:tcW w:w="1088" w:type="dxa"/>
            <w:tcBorders>
              <w:bottom w:val="single" w:color="000000" w:sz="10" w:space="0"/>
              <w:right w:val="single" w:color="auto" w:sz="4" w:space="0"/>
            </w:tcBorders>
            <w:vAlign w:val="center"/>
          </w:tcPr>
          <w:p w14:paraId="6B1632F4">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34</w:t>
            </w:r>
          </w:p>
        </w:tc>
        <w:tc>
          <w:tcPr>
            <w:tcW w:w="1407" w:type="dxa"/>
            <w:tcBorders>
              <w:left w:val="single" w:color="auto" w:sz="4" w:space="0"/>
              <w:bottom w:val="single" w:color="000000" w:sz="10" w:space="0"/>
              <w:right w:val="single" w:color="auto" w:sz="4" w:space="0"/>
            </w:tcBorders>
            <w:vAlign w:val="center"/>
          </w:tcPr>
          <w:p w14:paraId="4E51B0C9">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8"/>
                <w:sz w:val="21"/>
                <w:szCs w:val="21"/>
                <w:highlight w:val="none"/>
              </w:rPr>
            </w:pPr>
            <w:r>
              <w:rPr>
                <w:rFonts w:hint="default" w:ascii="Times New Roman" w:hAnsi="Times New Roman" w:eastAsia="宋体" w:cs="Times New Roman"/>
                <w:color w:val="FF0000"/>
                <w:spacing w:val="10"/>
                <w:sz w:val="21"/>
                <w:szCs w:val="21"/>
                <w:highlight w:val="none"/>
                <w:lang w:bidi="en-US"/>
              </w:rPr>
              <w:t>达标</w:t>
            </w:r>
          </w:p>
        </w:tc>
        <w:tc>
          <w:tcPr>
            <w:tcW w:w="1244" w:type="dxa"/>
            <w:tcBorders>
              <w:left w:val="single" w:color="auto" w:sz="4" w:space="0"/>
              <w:bottom w:val="single" w:color="000000" w:sz="10" w:space="0"/>
              <w:right w:val="nil"/>
            </w:tcBorders>
            <w:vAlign w:val="center"/>
          </w:tcPr>
          <w:p w14:paraId="0DC2CBE5">
            <w:pPr>
              <w:keepNext w:val="0"/>
              <w:keepLines w:val="0"/>
              <w:pageBreakBefore w:val="0"/>
              <w:widowControl/>
              <w:kinsoku/>
              <w:wordWrap w:val="0"/>
              <w:overflowPunct/>
              <w:topLinePunct/>
              <w:autoSpaceDE/>
              <w:autoSpaceDN/>
              <w:bidi w:val="0"/>
              <w:adjustRightInd w:val="0"/>
              <w:snapToGrid w:val="0"/>
              <w:spacing w:line="240" w:lineRule="auto"/>
              <w:ind w:left="0"/>
              <w:jc w:val="center"/>
              <w:textAlignment w:val="baseline"/>
              <w:rPr>
                <w:rFonts w:hint="default" w:ascii="Times New Roman" w:hAnsi="Times New Roman" w:eastAsia="宋体" w:cs="Times New Roman"/>
                <w:color w:val="FF0000"/>
                <w:spacing w:val="-8"/>
                <w:sz w:val="21"/>
                <w:szCs w:val="21"/>
                <w:highlight w:val="none"/>
              </w:rPr>
            </w:pPr>
            <w:r>
              <w:rPr>
                <w:rFonts w:hint="default" w:ascii="Times New Roman" w:hAnsi="Times New Roman" w:eastAsia="宋体" w:cs="Times New Roman"/>
                <w:color w:val="FF0000"/>
                <w:spacing w:val="10"/>
                <w:sz w:val="21"/>
                <w:szCs w:val="21"/>
                <w:highlight w:val="none"/>
                <w:lang w:bidi="en-US"/>
              </w:rPr>
              <w:t>达标</w:t>
            </w:r>
          </w:p>
        </w:tc>
      </w:tr>
    </w:tbl>
    <w:p w14:paraId="2AD6C865">
      <w:pPr>
        <w:keepNext w:val="0"/>
        <w:keepLines w:val="0"/>
        <w:pageBreakBefore w:val="0"/>
        <w:kinsoku/>
        <w:wordWrap w:val="0"/>
        <w:overflowPunct/>
        <w:topLinePunct/>
        <w:autoSpaceDE/>
        <w:autoSpaceDN/>
        <w:bidi w:val="0"/>
        <w:adjustRightInd w:val="0"/>
        <w:snapToGrid w:val="0"/>
        <w:spacing w:before="34" w:line="360" w:lineRule="auto"/>
        <w:ind w:right="84"/>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4788535" cy="2942590"/>
            <wp:effectExtent l="0" t="0" r="12065" b="10160"/>
            <wp:docPr id="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
                    <pic:cNvPicPr>
                      <a:picLocks noChangeAspect="1"/>
                    </pic:cNvPicPr>
                  </pic:nvPicPr>
                  <pic:blipFill>
                    <a:blip r:embed="rId95"/>
                    <a:stretch>
                      <a:fillRect/>
                    </a:stretch>
                  </pic:blipFill>
                  <pic:spPr>
                    <a:xfrm>
                      <a:off x="0" y="0"/>
                      <a:ext cx="4788535" cy="2942590"/>
                    </a:xfrm>
                    <a:prstGeom prst="rect">
                      <a:avLst/>
                    </a:prstGeom>
                    <a:noFill/>
                    <a:ln>
                      <a:noFill/>
                    </a:ln>
                  </pic:spPr>
                </pic:pic>
              </a:graphicData>
            </a:graphic>
          </wp:inline>
        </w:drawing>
      </w:r>
    </w:p>
    <w:p w14:paraId="6E85C475">
      <w:pPr>
        <w:pStyle w:val="11"/>
        <w:keepNext w:val="0"/>
        <w:keepLines w:val="0"/>
        <w:pageBreakBefore w:val="0"/>
        <w:wordWrap/>
        <w:overflowPunct/>
        <w:topLinePunct w:val="0"/>
        <w:bidi w:val="0"/>
        <w:spacing w:line="360" w:lineRule="auto"/>
        <w:jc w:val="center"/>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lang w:val="en-US" w:eastAsia="zh-CN"/>
        </w:rPr>
        <w:t>图5.2-1 声环境预测结果等值线图</w:t>
      </w:r>
    </w:p>
    <w:p w14:paraId="6688A707">
      <w:pPr>
        <w:pStyle w:val="40"/>
        <w:keepNext w:val="0"/>
        <w:keepLines w:val="0"/>
        <w:pageBreakBefore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napToGrid w:val="0"/>
          <w:color w:val="FF0000"/>
          <w:kern w:val="0"/>
          <w:sz w:val="24"/>
          <w:szCs w:val="24"/>
          <w:highlight w:val="none"/>
          <w:lang w:val="en-US" w:eastAsia="en-US" w:bidi="ar-SA"/>
        </w:rPr>
      </w:pPr>
      <w:r>
        <w:rPr>
          <w:rFonts w:hint="default" w:ascii="Times New Roman" w:hAnsi="Times New Roman" w:eastAsia="宋体" w:cs="Times New Roman"/>
          <w:snapToGrid w:val="0"/>
          <w:color w:val="FF0000"/>
          <w:kern w:val="0"/>
          <w:sz w:val="24"/>
          <w:szCs w:val="24"/>
          <w:highlight w:val="none"/>
          <w:lang w:val="en-US" w:eastAsia="en-US" w:bidi="ar-SA"/>
        </w:rPr>
        <w:t>由表5-2-</w:t>
      </w:r>
      <w:r>
        <w:rPr>
          <w:rFonts w:hint="default" w:ascii="Times New Roman" w:hAnsi="Times New Roman" w:eastAsia="宋体" w:cs="Times New Roman"/>
          <w:snapToGrid w:val="0"/>
          <w:color w:val="FF0000"/>
          <w:kern w:val="0"/>
          <w:sz w:val="24"/>
          <w:szCs w:val="24"/>
          <w:highlight w:val="none"/>
          <w:lang w:val="en-US" w:eastAsia="zh-CN" w:bidi="ar-SA"/>
        </w:rPr>
        <w:t>3</w:t>
      </w:r>
      <w:r>
        <w:rPr>
          <w:rFonts w:hint="default" w:ascii="Times New Roman" w:hAnsi="Times New Roman" w:eastAsia="宋体" w:cs="Times New Roman"/>
          <w:snapToGrid w:val="0"/>
          <w:color w:val="FF0000"/>
          <w:kern w:val="0"/>
          <w:sz w:val="24"/>
          <w:szCs w:val="24"/>
          <w:highlight w:val="none"/>
          <w:lang w:val="en-US" w:eastAsia="en-US" w:bidi="ar-SA"/>
        </w:rPr>
        <w:t>可知，该养殖场区规划合理，建筑上采取隔声、吸声措施，振动较大的设备采取独立基础，设置减振器</w:t>
      </w:r>
      <w:r>
        <w:rPr>
          <w:rFonts w:hint="default" w:ascii="Times New Roman" w:hAnsi="Times New Roman" w:eastAsia="宋体" w:cs="Times New Roman"/>
          <w:snapToGrid w:val="0"/>
          <w:color w:val="FF0000"/>
          <w:kern w:val="0"/>
          <w:sz w:val="24"/>
          <w:szCs w:val="24"/>
          <w:highlight w:val="none"/>
          <w:lang w:val="en-US" w:eastAsia="zh-CN" w:bidi="ar-SA"/>
        </w:rPr>
        <w:t>；合理养殖，使牛群按时作息。</w:t>
      </w:r>
      <w:r>
        <w:rPr>
          <w:rFonts w:hint="default" w:ascii="Times New Roman" w:hAnsi="Times New Roman" w:eastAsia="宋体" w:cs="Times New Roman"/>
          <w:snapToGrid w:val="0"/>
          <w:color w:val="FF0000"/>
          <w:kern w:val="0"/>
          <w:sz w:val="24"/>
          <w:szCs w:val="24"/>
          <w:highlight w:val="none"/>
          <w:lang w:val="en-US" w:eastAsia="en-US" w:bidi="ar-SA"/>
        </w:rPr>
        <w:t>项目运行后厂界满足《工业企业厂界环境噪声排放标准》（GB12348-2008）表1中的</w:t>
      </w:r>
      <w:r>
        <w:rPr>
          <w:rFonts w:hint="default" w:ascii="Times New Roman" w:hAnsi="Times New Roman" w:eastAsia="宋体" w:cs="Times New Roman"/>
          <w:snapToGrid w:val="0"/>
          <w:color w:val="FF0000"/>
          <w:kern w:val="0"/>
          <w:sz w:val="24"/>
          <w:szCs w:val="24"/>
          <w:highlight w:val="none"/>
          <w:lang w:val="en-US" w:eastAsia="zh-CN" w:bidi="ar-SA"/>
        </w:rPr>
        <w:t>1</w:t>
      </w:r>
      <w:r>
        <w:rPr>
          <w:rFonts w:hint="default" w:ascii="Times New Roman" w:hAnsi="Times New Roman" w:eastAsia="宋体" w:cs="Times New Roman"/>
          <w:snapToGrid w:val="0"/>
          <w:color w:val="FF0000"/>
          <w:kern w:val="0"/>
          <w:sz w:val="24"/>
          <w:szCs w:val="24"/>
          <w:highlight w:val="none"/>
          <w:lang w:val="en-US" w:eastAsia="en-US" w:bidi="ar-SA"/>
        </w:rPr>
        <w:t>类功能区标准，区域声环境功能不下降。厂界外200范围内无声敏感点，距离</w:t>
      </w:r>
      <w:r>
        <w:rPr>
          <w:rFonts w:hint="default" w:ascii="Times New Roman" w:hAnsi="Times New Roman" w:eastAsia="宋体" w:cs="Times New Roman"/>
          <w:snapToGrid w:val="0"/>
          <w:color w:val="FF0000"/>
          <w:kern w:val="0"/>
          <w:sz w:val="24"/>
          <w:szCs w:val="24"/>
          <w:highlight w:val="none"/>
          <w:lang w:val="en-US" w:eastAsia="zh-CN" w:bidi="ar-SA"/>
        </w:rPr>
        <w:t>养殖场</w:t>
      </w:r>
      <w:r>
        <w:rPr>
          <w:rFonts w:hint="default" w:ascii="Times New Roman" w:hAnsi="Times New Roman" w:eastAsia="宋体" w:cs="Times New Roman"/>
          <w:snapToGrid w:val="0"/>
          <w:color w:val="FF0000"/>
          <w:kern w:val="0"/>
          <w:sz w:val="24"/>
          <w:szCs w:val="24"/>
          <w:highlight w:val="none"/>
          <w:lang w:val="en-US" w:eastAsia="en-US" w:bidi="ar-SA"/>
        </w:rPr>
        <w:t>最近的敏感点为项目</w:t>
      </w:r>
      <w:r>
        <w:rPr>
          <w:rFonts w:hint="default" w:ascii="Times New Roman" w:hAnsi="Times New Roman" w:eastAsia="宋体" w:cs="Times New Roman"/>
          <w:snapToGrid w:val="0"/>
          <w:color w:val="FF0000"/>
          <w:kern w:val="0"/>
          <w:sz w:val="24"/>
          <w:szCs w:val="24"/>
          <w:highlight w:val="none"/>
          <w:lang w:val="en-US" w:eastAsia="zh-CN" w:bidi="ar-SA"/>
        </w:rPr>
        <w:t>北</w:t>
      </w:r>
      <w:r>
        <w:rPr>
          <w:rFonts w:hint="default" w:ascii="Times New Roman" w:hAnsi="Times New Roman" w:eastAsia="宋体" w:cs="Times New Roman"/>
          <w:snapToGrid w:val="0"/>
          <w:color w:val="FF0000"/>
          <w:kern w:val="0"/>
          <w:sz w:val="24"/>
          <w:szCs w:val="24"/>
          <w:highlight w:val="none"/>
          <w:lang w:val="en-US" w:eastAsia="en-US" w:bidi="ar-SA"/>
        </w:rPr>
        <w:t>侧</w:t>
      </w:r>
      <w:r>
        <w:rPr>
          <w:rFonts w:hint="default" w:ascii="Times New Roman" w:hAnsi="Times New Roman" w:eastAsia="宋体" w:cs="Times New Roman"/>
          <w:snapToGrid w:val="0"/>
          <w:color w:val="FF0000"/>
          <w:kern w:val="0"/>
          <w:sz w:val="24"/>
          <w:szCs w:val="24"/>
          <w:highlight w:val="none"/>
          <w:lang w:val="en-US" w:eastAsia="zh-CN" w:bidi="ar-SA"/>
        </w:rPr>
        <w:t>720k</w:t>
      </w:r>
      <w:r>
        <w:rPr>
          <w:rFonts w:hint="default" w:ascii="Times New Roman" w:hAnsi="Times New Roman" w:eastAsia="宋体" w:cs="Times New Roman"/>
          <w:snapToGrid w:val="0"/>
          <w:color w:val="FF0000"/>
          <w:kern w:val="0"/>
          <w:sz w:val="24"/>
          <w:szCs w:val="24"/>
          <w:highlight w:val="none"/>
          <w:lang w:val="en-US" w:eastAsia="en-US" w:bidi="ar-SA"/>
        </w:rPr>
        <w:t>m处的</w:t>
      </w:r>
      <w:r>
        <w:rPr>
          <w:rFonts w:hint="default" w:ascii="Times New Roman" w:hAnsi="Times New Roman" w:eastAsia="宋体" w:cs="Times New Roman"/>
          <w:snapToGrid w:val="0"/>
          <w:color w:val="FF0000"/>
          <w:kern w:val="0"/>
          <w:sz w:val="24"/>
          <w:szCs w:val="24"/>
          <w:highlight w:val="none"/>
          <w:lang w:val="en-US" w:eastAsia="zh-CN" w:bidi="ar-SA"/>
        </w:rPr>
        <w:t>康家屯，</w:t>
      </w:r>
      <w:r>
        <w:rPr>
          <w:rFonts w:hint="default" w:ascii="Times New Roman" w:hAnsi="Times New Roman" w:eastAsia="宋体" w:cs="Times New Roman"/>
          <w:snapToGrid w:val="0"/>
          <w:color w:val="FF0000"/>
          <w:kern w:val="0"/>
          <w:sz w:val="24"/>
          <w:szCs w:val="24"/>
          <w:highlight w:val="none"/>
          <w:lang w:val="en-US" w:eastAsia="en-US" w:bidi="ar-SA"/>
        </w:rPr>
        <w:t>因此本项目产生噪声对周围村庄产生影响</w:t>
      </w:r>
      <w:r>
        <w:rPr>
          <w:rFonts w:hint="default" w:ascii="Times New Roman" w:hAnsi="Times New Roman" w:eastAsia="宋体" w:cs="Times New Roman"/>
          <w:snapToGrid w:val="0"/>
          <w:color w:val="FF0000"/>
          <w:kern w:val="0"/>
          <w:sz w:val="24"/>
          <w:szCs w:val="24"/>
          <w:highlight w:val="none"/>
          <w:lang w:val="en-US" w:eastAsia="zh-CN" w:bidi="ar-SA"/>
        </w:rPr>
        <w:t>较小</w:t>
      </w:r>
      <w:r>
        <w:rPr>
          <w:rFonts w:hint="default" w:ascii="Times New Roman" w:hAnsi="Times New Roman" w:eastAsia="宋体" w:cs="Times New Roman"/>
          <w:snapToGrid w:val="0"/>
          <w:color w:val="FF0000"/>
          <w:kern w:val="0"/>
          <w:sz w:val="24"/>
          <w:szCs w:val="24"/>
          <w:highlight w:val="none"/>
          <w:lang w:val="en-US" w:eastAsia="en-US" w:bidi="ar-SA"/>
        </w:rPr>
        <w:t>。</w:t>
      </w:r>
    </w:p>
    <w:p w14:paraId="2DCA462E">
      <w:pPr>
        <w:pStyle w:val="40"/>
        <w:keepNext w:val="0"/>
        <w:keepLines w:val="0"/>
        <w:pageBreakBefore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由预测结果可知，本项目运营期</w:t>
      </w:r>
      <w:r>
        <w:rPr>
          <w:rFonts w:hint="default" w:ascii="Times New Roman" w:hAnsi="Times New Roman" w:eastAsia="宋体" w:cs="Times New Roman"/>
          <w:snapToGrid w:val="0"/>
          <w:color w:val="auto"/>
          <w:kern w:val="0"/>
          <w:sz w:val="24"/>
          <w:szCs w:val="24"/>
          <w:highlight w:val="none"/>
          <w:lang w:val="en-US" w:eastAsia="zh-CN" w:bidi="ar-SA"/>
        </w:rPr>
        <w:t>厂界</w:t>
      </w:r>
      <w:r>
        <w:rPr>
          <w:rFonts w:hint="default" w:ascii="Times New Roman" w:hAnsi="Times New Roman" w:eastAsia="宋体" w:cs="Times New Roman"/>
          <w:snapToGrid w:val="0"/>
          <w:color w:val="auto"/>
          <w:kern w:val="0"/>
          <w:sz w:val="24"/>
          <w:szCs w:val="24"/>
          <w:highlight w:val="none"/>
          <w:lang w:val="en-US" w:eastAsia="en-US" w:bidi="ar-SA"/>
        </w:rPr>
        <w:t>噪声，</w:t>
      </w:r>
      <w:r>
        <w:rPr>
          <w:rFonts w:hint="default" w:ascii="Times New Roman" w:hAnsi="Times New Roman" w:eastAsia="宋体" w:cs="Times New Roman"/>
          <w:snapToGrid w:val="0"/>
          <w:color w:val="auto"/>
          <w:kern w:val="0"/>
          <w:sz w:val="24"/>
          <w:szCs w:val="24"/>
          <w:highlight w:val="none"/>
          <w:lang w:val="en-US" w:eastAsia="zh-CN" w:bidi="ar-SA"/>
        </w:rPr>
        <w:t>厂</w:t>
      </w:r>
      <w:r>
        <w:rPr>
          <w:rFonts w:hint="default" w:ascii="Times New Roman" w:hAnsi="Times New Roman" w:eastAsia="宋体" w:cs="Times New Roman"/>
          <w:snapToGrid w:val="0"/>
          <w:color w:val="auto"/>
          <w:kern w:val="0"/>
          <w:sz w:val="24"/>
          <w:szCs w:val="24"/>
          <w:highlight w:val="none"/>
          <w:lang w:val="en-US" w:eastAsia="en-US" w:bidi="ar-SA"/>
        </w:rPr>
        <w:t>界外1m处均可满足《工业企业厂界环境噪声排放标准》（GB12348-2008）</w:t>
      </w:r>
      <w:r>
        <w:rPr>
          <w:rFonts w:hint="default" w:ascii="Times New Roman" w:hAnsi="Times New Roman" w:eastAsia="宋体" w:cs="Times New Roman"/>
          <w:snapToGrid w:val="0"/>
          <w:color w:val="auto"/>
          <w:kern w:val="0"/>
          <w:sz w:val="24"/>
          <w:szCs w:val="24"/>
          <w:highlight w:val="none"/>
          <w:lang w:val="en-US" w:eastAsia="zh-CN" w:bidi="ar-SA"/>
        </w:rPr>
        <w:t>表1</w:t>
      </w:r>
      <w:r>
        <w:rPr>
          <w:rFonts w:hint="default" w:ascii="Times New Roman" w:hAnsi="Times New Roman" w:eastAsia="宋体" w:cs="Times New Roman"/>
          <w:snapToGrid w:val="0"/>
          <w:color w:val="FF0000"/>
          <w:kern w:val="0"/>
          <w:sz w:val="24"/>
          <w:szCs w:val="24"/>
          <w:highlight w:val="none"/>
          <w:lang w:val="en-US" w:eastAsia="zh-CN" w:bidi="ar-SA"/>
        </w:rPr>
        <w:t>中1</w:t>
      </w:r>
      <w:r>
        <w:rPr>
          <w:rFonts w:hint="default" w:ascii="Times New Roman" w:hAnsi="Times New Roman" w:eastAsia="宋体" w:cs="Times New Roman"/>
          <w:snapToGrid w:val="0"/>
          <w:color w:val="FF0000"/>
          <w:kern w:val="0"/>
          <w:sz w:val="24"/>
          <w:szCs w:val="24"/>
          <w:highlight w:val="none"/>
          <w:lang w:val="en-US" w:eastAsia="en-US" w:bidi="ar-SA"/>
        </w:rPr>
        <w:t>类</w:t>
      </w:r>
      <w:r>
        <w:rPr>
          <w:rFonts w:hint="default" w:ascii="Times New Roman" w:hAnsi="Times New Roman" w:eastAsia="宋体" w:cs="Times New Roman"/>
          <w:snapToGrid w:val="0"/>
          <w:color w:val="auto"/>
          <w:kern w:val="0"/>
          <w:sz w:val="24"/>
          <w:szCs w:val="24"/>
          <w:highlight w:val="none"/>
          <w:lang w:val="en-US" w:eastAsia="en-US" w:bidi="ar-SA"/>
        </w:rPr>
        <w:t>标准，由于项目</w:t>
      </w:r>
      <w:r>
        <w:rPr>
          <w:rFonts w:hint="default" w:ascii="Times New Roman" w:hAnsi="Times New Roman" w:eastAsia="宋体" w:cs="Times New Roman"/>
          <w:snapToGrid w:val="0"/>
          <w:color w:val="auto"/>
          <w:kern w:val="0"/>
          <w:sz w:val="24"/>
          <w:szCs w:val="24"/>
          <w:highlight w:val="none"/>
          <w:lang w:val="en-US" w:eastAsia="zh-CN" w:bidi="ar-SA"/>
        </w:rPr>
        <w:t>厂区</w:t>
      </w:r>
      <w:r>
        <w:rPr>
          <w:rFonts w:hint="default" w:ascii="Times New Roman" w:hAnsi="Times New Roman" w:eastAsia="宋体" w:cs="Times New Roman"/>
          <w:snapToGrid w:val="0"/>
          <w:color w:val="auto"/>
          <w:kern w:val="0"/>
          <w:sz w:val="24"/>
          <w:szCs w:val="24"/>
          <w:highlight w:val="none"/>
          <w:lang w:val="en-US" w:eastAsia="en-US" w:bidi="ar-SA"/>
        </w:rPr>
        <w:t>周边500m范围内无居民区，且噪声源对</w:t>
      </w:r>
      <w:r>
        <w:rPr>
          <w:rFonts w:hint="default" w:ascii="Times New Roman" w:hAnsi="Times New Roman" w:eastAsia="宋体" w:cs="Times New Roman"/>
          <w:snapToGrid w:val="0"/>
          <w:color w:val="auto"/>
          <w:kern w:val="0"/>
          <w:sz w:val="24"/>
          <w:szCs w:val="24"/>
          <w:highlight w:val="none"/>
          <w:lang w:val="en-US" w:eastAsia="zh-CN" w:bidi="ar-SA"/>
        </w:rPr>
        <w:t>厂界</w:t>
      </w:r>
      <w:r>
        <w:rPr>
          <w:rFonts w:hint="default" w:ascii="Times New Roman" w:hAnsi="Times New Roman" w:eastAsia="宋体" w:cs="Times New Roman"/>
          <w:snapToGrid w:val="0"/>
          <w:color w:val="auto"/>
          <w:kern w:val="0"/>
          <w:sz w:val="24"/>
          <w:szCs w:val="24"/>
          <w:highlight w:val="none"/>
          <w:lang w:val="en-US" w:eastAsia="en-US" w:bidi="ar-SA"/>
        </w:rPr>
        <w:t>声环境贡献值较小，经距离衰减，项目运营不会对声环境造成影响。</w:t>
      </w:r>
    </w:p>
    <w:p w14:paraId="5BF0F6C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91" w:name="_Toc23531"/>
      <w:r>
        <w:rPr>
          <w:rFonts w:hint="default" w:ascii="Times New Roman" w:hAnsi="Times New Roman" w:eastAsia="宋体" w:cs="Times New Roman"/>
          <w:b/>
          <w:bCs/>
          <w:color w:val="auto"/>
          <w:spacing w:val="-2"/>
          <w:sz w:val="24"/>
          <w:szCs w:val="24"/>
          <w:highlight w:val="none"/>
          <w:lang w:val="en-US" w:eastAsia="zh-CN"/>
        </w:rPr>
        <w:t>5.2.4地下水影响预测与评价</w:t>
      </w:r>
      <w:bookmarkEnd w:id="191"/>
    </w:p>
    <w:p w14:paraId="34918D8D">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1、预测范围</w:t>
      </w:r>
    </w:p>
    <w:p w14:paraId="4EF01C4F">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根据《环境影响评价技术导则 地下水环境》（HJ610-2016）的要求，本次地下水环境影响评价预测范围与地下水现状调查范围一致（边界上游1000m、下游2000m、两侧各1000m范围的矩形），预测层位为地下水的潜水含水层。</w:t>
      </w:r>
    </w:p>
    <w:p w14:paraId="6C7AE47A">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2、预测时段</w:t>
      </w:r>
    </w:p>
    <w:p w14:paraId="419C1E19">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结合地下水跟踪监测的频率（1次/季度），预测时段设定为发生</w:t>
      </w:r>
      <w:r>
        <w:rPr>
          <w:rFonts w:hint="default" w:ascii="Times New Roman" w:hAnsi="Times New Roman" w:eastAsia="宋体" w:cs="Times New Roman"/>
          <w:color w:val="auto"/>
          <w:sz w:val="24"/>
          <w:szCs w:val="24"/>
          <w:highlight w:val="none"/>
          <w:lang w:val="en-US" w:eastAsia="zh-CN"/>
        </w:rPr>
        <w:t>泄</w:t>
      </w:r>
      <w:r>
        <w:rPr>
          <w:rFonts w:hint="default" w:ascii="Times New Roman" w:hAnsi="Times New Roman" w:eastAsia="宋体" w:cs="Times New Roman"/>
          <w:color w:val="auto"/>
          <w:sz w:val="24"/>
          <w:szCs w:val="24"/>
          <w:highlight w:val="none"/>
        </w:rPr>
        <w:t>漏后的100天、365天、1000天和30a。</w:t>
      </w:r>
    </w:p>
    <w:p w14:paraId="1D3B6FA3">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b/>
          <w:color w:val="auto"/>
          <w:sz w:val="24"/>
          <w:szCs w:val="24"/>
          <w:highlight w:val="none"/>
        </w:rPr>
      </w:pPr>
      <w:r>
        <w:rPr>
          <w:rFonts w:hint="default" w:ascii="Times New Roman" w:hAnsi="Times New Roman" w:eastAsia="宋体" w:cs="Times New Roman"/>
          <w:color w:val="auto"/>
          <w:sz w:val="24"/>
          <w:szCs w:val="24"/>
          <w:highlight w:val="none"/>
        </w:rPr>
        <w:t>3、情景设置</w:t>
      </w:r>
    </w:p>
    <w:p w14:paraId="393713C6">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1）正常状况下，使用干撒式发酵床工艺，企业无养殖废水排放，生活污水进去化粪池，定期清掏，不外排；污染源从源头上可以得到控制，对于可能出现的微量跑冒滴漏，企业依据相关要求做好防渗，在可能产生滴漏的污水构筑物等区域进行防渗处理，即使有少量的污染物泄漏，也很难通过防渗层</w:t>
      </w:r>
      <w:r>
        <w:rPr>
          <w:rFonts w:hint="eastAsia" w:ascii="Times New Roman" w:hAnsi="Times New Roman" w:eastAsia="宋体" w:cs="Times New Roman"/>
          <w:color w:val="FF0000"/>
          <w:sz w:val="24"/>
          <w:szCs w:val="24"/>
          <w:highlight w:val="none"/>
          <w:lang w:val="en-US" w:eastAsia="zh-CN"/>
        </w:rPr>
        <w:t>进入</w:t>
      </w:r>
      <w:r>
        <w:rPr>
          <w:rFonts w:hint="default" w:ascii="Times New Roman" w:hAnsi="Times New Roman" w:eastAsia="宋体" w:cs="Times New Roman"/>
          <w:color w:val="FF0000"/>
          <w:sz w:val="24"/>
          <w:szCs w:val="24"/>
          <w:highlight w:val="none"/>
          <w:lang w:val="en-US" w:eastAsia="zh-CN"/>
        </w:rPr>
        <w:t>包气带。因此在正常状况下，污染物从源头和</w:t>
      </w:r>
      <w:r>
        <w:rPr>
          <w:rFonts w:hint="eastAsia" w:ascii="Times New Roman" w:hAnsi="Times New Roman" w:eastAsia="宋体" w:cs="Times New Roman"/>
          <w:color w:val="FF0000"/>
          <w:sz w:val="24"/>
          <w:szCs w:val="24"/>
          <w:highlight w:val="none"/>
          <w:lang w:val="en-US" w:eastAsia="zh-CN"/>
        </w:rPr>
        <w:t>末端</w:t>
      </w:r>
      <w:r>
        <w:rPr>
          <w:rFonts w:hint="default" w:ascii="Times New Roman" w:hAnsi="Times New Roman" w:eastAsia="宋体" w:cs="Times New Roman"/>
          <w:color w:val="FF0000"/>
          <w:sz w:val="24"/>
          <w:szCs w:val="24"/>
          <w:highlight w:val="none"/>
          <w:lang w:val="en-US" w:eastAsia="zh-CN"/>
        </w:rPr>
        <w:t>均得到控制，地面经防渗处理，没有污染地下水的通道。污染物污染地下水的可能性很小。根据《环境影响评价技术导则地下水环境》(HJ610-2016)中的 9.4.2 章节，已依据 GB16889 中的设计地下水污染防渗措施的建设项目，可不进行正常状况下的情景预测，因此本项目不再进行正常状况情景下的预测。</w:t>
      </w:r>
    </w:p>
    <w:p w14:paraId="73E93858">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（2）根据工程分析可知，本项目非正常工况下可能发生干撒式发酵床地面破损粪污泄漏，</w:t>
      </w:r>
      <w:r>
        <w:rPr>
          <w:rFonts w:hint="eastAsia" w:ascii="Times New Roman" w:hAnsi="Times New Roman" w:eastAsia="宋体" w:cs="Times New Roman"/>
          <w:color w:val="FF0000"/>
          <w:sz w:val="24"/>
          <w:szCs w:val="24"/>
          <w:highlight w:val="none"/>
          <w:lang w:val="en-US" w:eastAsia="zh-CN"/>
        </w:rPr>
        <w:t>泄漏</w:t>
      </w:r>
      <w:r>
        <w:rPr>
          <w:rFonts w:hint="default" w:ascii="Times New Roman" w:hAnsi="Times New Roman" w:eastAsia="宋体" w:cs="Times New Roman"/>
          <w:color w:val="FF0000"/>
          <w:sz w:val="24"/>
          <w:szCs w:val="24"/>
          <w:highlight w:val="none"/>
          <w:lang w:val="en-US" w:eastAsia="zh-CN"/>
        </w:rPr>
        <w:t>的污染物中主要为COD、氨氮。当干撒式发酵床地面底部因老化或腐蚀出现破损，污染物经包气带渗入地下水，对地下水产生污染影响。本次地下水水质污染模拟分析，对干撒式发酵床地面</w:t>
      </w:r>
      <w:r>
        <w:rPr>
          <w:rFonts w:hint="eastAsia" w:ascii="Times New Roman" w:hAnsi="Times New Roman" w:eastAsia="宋体" w:cs="Times New Roman"/>
          <w:color w:val="FF0000"/>
          <w:sz w:val="24"/>
          <w:szCs w:val="24"/>
          <w:highlight w:val="none"/>
          <w:lang w:val="en-US" w:eastAsia="zh-CN"/>
        </w:rPr>
        <w:t>泄漏</w:t>
      </w:r>
      <w:r>
        <w:rPr>
          <w:rFonts w:hint="default" w:ascii="Times New Roman" w:hAnsi="Times New Roman" w:eastAsia="宋体" w:cs="Times New Roman"/>
          <w:color w:val="FF0000"/>
          <w:sz w:val="24"/>
          <w:szCs w:val="24"/>
          <w:highlight w:val="none"/>
          <w:lang w:val="en-US" w:eastAsia="zh-CN"/>
        </w:rPr>
        <w:t>产生的影响进行模拟分析。本评价结合该项目工程分析及污染物的排放特征，从本项目排放的污染物中选取COD、氨氮进行模拟计算。</w:t>
      </w:r>
    </w:p>
    <w:p w14:paraId="6F1FB349">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rPr>
        <w:t>预测因子</w:t>
      </w:r>
    </w:p>
    <w:p w14:paraId="2E2DE30B">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本项目不涉及重金属，污水中主要污染物因子为COD、氨氮、TN、TP，选取标准指数较大的COD和氨氮为预测因子。</w:t>
      </w:r>
    </w:p>
    <w:p w14:paraId="316BE9A6">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rPr>
        <w:t>评价标准</w:t>
      </w:r>
    </w:p>
    <w:p w14:paraId="13EF582E">
      <w:pPr>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auto"/>
          <w:kern w:val="0"/>
          <w:sz w:val="24"/>
          <w:szCs w:val="24"/>
          <w:highlight w:val="none"/>
        </w:rPr>
        <w:t>氨氮评价标准参照《地下水质量标准》（GB/T14848-2017）Ш类标准，COD不属于《地下水质量标准》（GB/T14848-2017）水质指标的评价因子，因此COD评价标准参照《地表水环境质量标准》（GB3838-2002）</w:t>
      </w:r>
      <w:r>
        <w:rPr>
          <w:rFonts w:hint="default" w:ascii="Times New Roman" w:hAnsi="Times New Roman" w:eastAsia="宋体" w:cs="Times New Roman"/>
          <w:snapToGrid w:val="0"/>
          <w:color w:val="auto"/>
          <w:kern w:val="0"/>
          <w:sz w:val="24"/>
          <w:szCs w:val="24"/>
          <w:highlight w:val="none"/>
          <w:lang w:val="en-US" w:eastAsia="zh-CN"/>
        </w:rPr>
        <w:t>Ⅲ</w:t>
      </w:r>
      <w:r>
        <w:rPr>
          <w:rFonts w:hint="default" w:ascii="Times New Roman" w:hAnsi="Times New Roman" w:eastAsia="宋体" w:cs="Times New Roman"/>
          <w:snapToGrid w:val="0"/>
          <w:color w:val="auto"/>
          <w:kern w:val="0"/>
          <w:sz w:val="24"/>
          <w:szCs w:val="24"/>
          <w:highlight w:val="none"/>
        </w:rPr>
        <w:t>类标准。</w:t>
      </w:r>
    </w:p>
    <w:p w14:paraId="60168C24">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t>6、</w:t>
      </w:r>
      <w:r>
        <w:rPr>
          <w:rFonts w:hint="default" w:ascii="Times New Roman" w:hAnsi="Times New Roman" w:eastAsia="宋体" w:cs="Times New Roman"/>
          <w:color w:val="auto"/>
          <w:sz w:val="24"/>
          <w:szCs w:val="24"/>
          <w:highlight w:val="none"/>
        </w:rPr>
        <w:t>预测模式</w:t>
      </w:r>
    </w:p>
    <w:p w14:paraId="5C0B1A17">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①预测模型</w:t>
      </w:r>
    </w:p>
    <w:p w14:paraId="30F4DC77">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根据《环境影响评价技术导则 地下水环境》（HJ610-2016）要求，地下水环境影响评价三级评价预测方法可以选用解析法。根据本项目地下水的污染特性选用</w:t>
      </w:r>
      <w:r>
        <w:rPr>
          <w:rFonts w:hint="default" w:ascii="Times New Roman" w:hAnsi="Times New Roman" w:eastAsia="宋体" w:cs="Times New Roman"/>
          <w:color w:val="auto"/>
          <w:kern w:val="0"/>
          <w:sz w:val="24"/>
          <w:szCs w:val="24"/>
          <w:highlight w:val="none"/>
        </w:rPr>
        <w:t>“一维半无限长多孔介质柱体，一端为定浓度边界”预测模型</w:t>
      </w:r>
      <w:r>
        <w:rPr>
          <w:rFonts w:hint="default" w:ascii="Times New Roman" w:hAnsi="Times New Roman" w:eastAsia="宋体" w:cs="Times New Roman"/>
          <w:color w:val="auto"/>
          <w:sz w:val="24"/>
          <w:szCs w:val="24"/>
          <w:highlight w:val="none"/>
        </w:rPr>
        <w:t>，公式如下。</w:t>
      </w:r>
    </w:p>
    <w:p w14:paraId="001BE10D">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drawing>
          <wp:inline distT="0" distB="0" distL="0" distR="0">
            <wp:extent cx="2314575" cy="542925"/>
            <wp:effectExtent l="0" t="0" r="9525" b="952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314575" cy="542925"/>
                    </a:xfrm>
                    <a:prstGeom prst="rect">
                      <a:avLst/>
                    </a:prstGeom>
                    <a:noFill/>
                    <a:ln>
                      <a:noFill/>
                    </a:ln>
                  </pic:spPr>
                </pic:pic>
              </a:graphicData>
            </a:graphic>
          </wp:inline>
        </w:drawing>
      </w:r>
    </w:p>
    <w:p w14:paraId="5ED5E7F5">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式中：</w:t>
      </w:r>
      <w:r>
        <w:rPr>
          <w:rFonts w:hint="default" w:ascii="Times New Roman" w:hAnsi="Times New Roman" w:eastAsia="宋体" w:cs="Times New Roman"/>
          <w:i/>
          <w:color w:val="auto"/>
          <w:sz w:val="24"/>
          <w:szCs w:val="24"/>
          <w:highlight w:val="none"/>
        </w:rPr>
        <w:t>x</w:t>
      </w:r>
      <w:r>
        <w:rPr>
          <w:rFonts w:hint="default" w:ascii="Times New Roman" w:hAnsi="Times New Roman" w:eastAsia="宋体" w:cs="Times New Roman"/>
          <w:color w:val="auto"/>
          <w:sz w:val="24"/>
          <w:szCs w:val="24"/>
          <w:highlight w:val="none"/>
        </w:rPr>
        <w:t>—距注入点的距离，m；</w:t>
      </w:r>
    </w:p>
    <w:p w14:paraId="4F30947E">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t</w:t>
      </w:r>
      <w:r>
        <w:rPr>
          <w:rFonts w:hint="default" w:ascii="Times New Roman" w:hAnsi="Times New Roman" w:eastAsia="宋体" w:cs="Times New Roman"/>
          <w:color w:val="auto"/>
          <w:sz w:val="24"/>
          <w:szCs w:val="24"/>
          <w:highlight w:val="none"/>
        </w:rPr>
        <w:t>—时间，d；</w:t>
      </w:r>
    </w:p>
    <w:p w14:paraId="15BD9498">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C</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i/>
          <w:color w:val="auto"/>
          <w:sz w:val="24"/>
          <w:szCs w:val="24"/>
          <w:highlight w:val="none"/>
        </w:rPr>
        <w:t>x</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i/>
          <w:color w:val="auto"/>
          <w:sz w:val="24"/>
          <w:szCs w:val="24"/>
          <w:highlight w:val="none"/>
        </w:rPr>
        <w:t>t</w:t>
      </w:r>
      <w:r>
        <w:rPr>
          <w:rFonts w:hint="default" w:ascii="Times New Roman" w:hAnsi="Times New Roman" w:eastAsia="宋体" w:cs="Times New Roman"/>
          <w:color w:val="auto"/>
          <w:sz w:val="24"/>
          <w:szCs w:val="24"/>
          <w:highlight w:val="none"/>
        </w:rPr>
        <w:t>)—t时刻点x处的示踪剂浓度，g/L；</w:t>
      </w:r>
    </w:p>
    <w:p w14:paraId="24FA577F">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C</w:t>
      </w:r>
      <w:r>
        <w:rPr>
          <w:rFonts w:hint="default" w:ascii="Times New Roman" w:hAnsi="Times New Roman" w:eastAsia="宋体" w:cs="Times New Roman"/>
          <w:color w:val="auto"/>
          <w:sz w:val="24"/>
          <w:szCs w:val="24"/>
          <w:highlight w:val="none"/>
          <w:vertAlign w:val="subscript"/>
        </w:rPr>
        <w:t>0</w:t>
      </w:r>
      <w:r>
        <w:rPr>
          <w:rFonts w:hint="default" w:ascii="Times New Roman" w:hAnsi="Times New Roman" w:eastAsia="宋体" w:cs="Times New Roman"/>
          <w:color w:val="auto"/>
          <w:sz w:val="24"/>
          <w:szCs w:val="24"/>
          <w:highlight w:val="none"/>
        </w:rPr>
        <w:t>—注入示踪剂浓度，g/L；</w:t>
      </w:r>
    </w:p>
    <w:p w14:paraId="32FB7988">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u</w:t>
      </w:r>
      <w:r>
        <w:rPr>
          <w:rFonts w:hint="default" w:ascii="Times New Roman" w:hAnsi="Times New Roman" w:eastAsia="宋体" w:cs="Times New Roman"/>
          <w:color w:val="auto"/>
          <w:sz w:val="24"/>
          <w:szCs w:val="24"/>
          <w:highlight w:val="none"/>
        </w:rPr>
        <w:t>—水流速度，m/d；</w:t>
      </w:r>
    </w:p>
    <w:p w14:paraId="74721A70">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i/>
          <w:color w:val="auto"/>
          <w:sz w:val="24"/>
          <w:szCs w:val="24"/>
          <w:highlight w:val="none"/>
        </w:rPr>
        <w:t>D</w:t>
      </w:r>
      <w:r>
        <w:rPr>
          <w:rFonts w:hint="default" w:ascii="Times New Roman" w:hAnsi="Times New Roman" w:eastAsia="宋体" w:cs="Times New Roman"/>
          <w:color w:val="auto"/>
          <w:sz w:val="24"/>
          <w:szCs w:val="24"/>
          <w:highlight w:val="none"/>
          <w:vertAlign w:val="subscript"/>
        </w:rPr>
        <w:t>L</w:t>
      </w:r>
      <w:r>
        <w:rPr>
          <w:rFonts w:hint="default" w:ascii="Times New Roman" w:hAnsi="Times New Roman" w:eastAsia="宋体" w:cs="Times New Roman"/>
          <w:color w:val="auto"/>
          <w:sz w:val="24"/>
          <w:szCs w:val="24"/>
          <w:highlight w:val="none"/>
        </w:rPr>
        <w:t>—纵向弥散系数，m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/d；</w:t>
      </w:r>
    </w:p>
    <w:p w14:paraId="586D3831">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erfc()—余差数函数；</w:t>
      </w:r>
    </w:p>
    <w:p w14:paraId="7111933A">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②模式中参数的确定</w:t>
      </w:r>
    </w:p>
    <w:p w14:paraId="3B4E61B7">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水流速度（u）：根据达西定律u=含水层渗透系数×地下水水力坡度/有效孔隙度，本项目含水层主要由透水性较强的砂砾石组成，水力坡度为0.1～0.3</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，根据《环境影响评价技术导则 地下水环境》（HJ 610-2016）附录B，渗透系数取25m/d；</w:t>
      </w:r>
      <w:r>
        <w:rPr>
          <w:rFonts w:hint="default" w:ascii="Times New Roman" w:hAnsi="Times New Roman" w:eastAsia="宋体" w:cs="Times New Roman"/>
          <w:color w:val="0000FF"/>
          <w:sz w:val="24"/>
          <w:szCs w:val="24"/>
          <w:highlight w:val="none"/>
        </w:rPr>
        <w:t>水力坡度取平均值I=</w:t>
      </w:r>
      <w:r>
        <w:rPr>
          <w:rFonts w:hint="eastAsia" w:ascii="Times New Roman" w:hAnsi="Times New Roman" w:eastAsia="宋体" w:cs="Times New Roman"/>
          <w:color w:val="0000FF"/>
          <w:sz w:val="24"/>
          <w:szCs w:val="24"/>
          <w:highlight w:val="none"/>
          <w:lang w:val="en-US" w:eastAsia="zh-CN"/>
        </w:rPr>
        <w:t>3</w:t>
      </w:r>
      <w:r>
        <w:rPr>
          <w:rFonts w:hint="default" w:ascii="Times New Roman" w:hAnsi="Times New Roman" w:eastAsia="宋体" w:cs="Times New Roman"/>
          <w:color w:val="0000FF"/>
          <w:sz w:val="24"/>
          <w:szCs w:val="24"/>
          <w:highlight w:val="none"/>
          <w:lang w:val="en-US" w:eastAsia="zh-CN"/>
        </w:rPr>
        <w:t>‰</w:t>
      </w:r>
      <w:r>
        <w:rPr>
          <w:rFonts w:hint="default" w:ascii="Times New Roman" w:hAnsi="Times New Roman" w:eastAsia="宋体" w:cs="Times New Roman"/>
          <w:color w:val="auto"/>
          <w:sz w:val="24"/>
          <w:szCs w:val="24"/>
          <w:highlight w:val="none"/>
        </w:rPr>
        <w:t>；水流速度为0.05m/d。</w:t>
      </w:r>
    </w:p>
    <w:p w14:paraId="4C9F699D">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有效孔隙度（n）：根据《地下水》（弗里泽Freeze，R.A.)，彻里(Cherry，J.A.)，地震出版社，1987），孔隙度变化区间砾石为25%~40%，砂为25~50%，本项目区含水岩组由</w:t>
      </w:r>
      <w:bookmarkStart w:id="192" w:name="_Hlk157099269"/>
      <w:r>
        <w:rPr>
          <w:rFonts w:hint="default" w:ascii="Times New Roman" w:hAnsi="Times New Roman" w:eastAsia="宋体" w:cs="Times New Roman"/>
          <w:color w:val="auto"/>
          <w:sz w:val="24"/>
          <w:szCs w:val="24"/>
          <w:highlight w:val="none"/>
        </w:rPr>
        <w:t>中粗砂、砂砾石</w:t>
      </w:r>
      <w:bookmarkEnd w:id="192"/>
      <w:r>
        <w:rPr>
          <w:rFonts w:hint="default" w:ascii="Times New Roman" w:hAnsi="Times New Roman" w:eastAsia="宋体" w:cs="Times New Roman"/>
          <w:color w:val="auto"/>
          <w:sz w:val="24"/>
          <w:szCs w:val="24"/>
          <w:highlight w:val="none"/>
        </w:rPr>
        <w:t>组成，则本项目有效孔隙度取平均值0.3。</w:t>
      </w:r>
    </w:p>
    <w:p w14:paraId="46F8930A">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弥散系数：纵横弥散系数根据含水层岩性及渗透系数、水力坡度等因素，本项目参考《海岸工程》第17卷第3期-地下水弥散系数的测定中表3弥散系数参考表，具体见下表。</w:t>
      </w:r>
    </w:p>
    <w:p w14:paraId="492DAE6A">
      <w:pPr>
        <w:pStyle w:val="44"/>
        <w:ind w:firstLine="560"/>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表5-2-</w:t>
      </w:r>
      <w:r>
        <w:rPr>
          <w:rFonts w:hint="default" w:ascii="Times New Roman" w:hAnsi="Times New Roman" w:eastAsia="宋体" w:cs="Times New Roman"/>
          <w:b/>
          <w:bCs/>
          <w:color w:val="auto"/>
          <w:sz w:val="24"/>
          <w:szCs w:val="24"/>
          <w:highlight w:val="none"/>
          <w:lang w:val="en-US" w:eastAsia="zh-CN"/>
        </w:rPr>
        <w:t>4</w:t>
      </w:r>
      <w:r>
        <w:rPr>
          <w:rFonts w:hint="default" w:ascii="Times New Roman" w:hAnsi="Times New Roman" w:eastAsia="宋体" w:cs="Times New Roman"/>
          <w:b/>
          <w:bCs/>
          <w:color w:val="auto"/>
          <w:sz w:val="24"/>
          <w:szCs w:val="24"/>
          <w:highlight w:val="none"/>
        </w:rPr>
        <w:t>弥散系数参考表</w:t>
      </w:r>
    </w:p>
    <w:tbl>
      <w:tblPr>
        <w:tblStyle w:val="4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1988"/>
        <w:gridCol w:w="2594"/>
        <w:gridCol w:w="2807"/>
      </w:tblGrid>
      <w:tr w14:paraId="190904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67" w:type="pct"/>
            <w:vMerge w:val="restart"/>
            <w:vAlign w:val="center"/>
          </w:tcPr>
          <w:p w14:paraId="7888F2CB">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国内外经验系数</w:t>
            </w:r>
          </w:p>
        </w:tc>
        <w:tc>
          <w:tcPr>
            <w:tcW w:w="1166" w:type="pct"/>
            <w:vAlign w:val="center"/>
          </w:tcPr>
          <w:p w14:paraId="38D7513B">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含水层类型</w:t>
            </w:r>
          </w:p>
        </w:tc>
        <w:tc>
          <w:tcPr>
            <w:tcW w:w="1521" w:type="pct"/>
            <w:vAlign w:val="center"/>
          </w:tcPr>
          <w:p w14:paraId="37540519">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纵向弥散系数（m</w:t>
            </w:r>
            <w:r>
              <w:rPr>
                <w:rFonts w:hint="default" w:ascii="Times New Roman" w:hAnsi="Times New Roman" w:eastAsia="宋体" w:cs="Times New Roman"/>
                <w:color w:val="auto"/>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rPr>
              <w:t>/d）</w:t>
            </w:r>
          </w:p>
        </w:tc>
        <w:tc>
          <w:tcPr>
            <w:tcW w:w="1646" w:type="pct"/>
            <w:vAlign w:val="center"/>
          </w:tcPr>
          <w:p w14:paraId="2D54608E">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横向弥散系数（m</w:t>
            </w:r>
            <w:r>
              <w:rPr>
                <w:rFonts w:hint="default" w:ascii="Times New Roman" w:hAnsi="Times New Roman" w:eastAsia="宋体" w:cs="Times New Roman"/>
                <w:color w:val="auto"/>
                <w:sz w:val="21"/>
                <w:szCs w:val="21"/>
                <w:highlight w:val="none"/>
                <w:vertAlign w:val="superscript"/>
              </w:rPr>
              <w:t>2</w:t>
            </w:r>
            <w:r>
              <w:rPr>
                <w:rFonts w:hint="default" w:ascii="Times New Roman" w:hAnsi="Times New Roman" w:eastAsia="宋体" w:cs="Times New Roman"/>
                <w:color w:val="auto"/>
                <w:sz w:val="21"/>
                <w:szCs w:val="21"/>
                <w:highlight w:val="none"/>
              </w:rPr>
              <w:t>/d）</w:t>
            </w:r>
          </w:p>
        </w:tc>
      </w:tr>
      <w:tr w14:paraId="2DA10C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67" w:type="pct"/>
            <w:vMerge w:val="continue"/>
            <w:vAlign w:val="center"/>
          </w:tcPr>
          <w:p w14:paraId="0A013ED7">
            <w:pPr>
              <w:pStyle w:val="38"/>
              <w:rPr>
                <w:rFonts w:hint="default" w:ascii="Times New Roman" w:hAnsi="Times New Roman" w:eastAsia="宋体" w:cs="Times New Roman"/>
                <w:color w:val="auto"/>
                <w:sz w:val="21"/>
                <w:szCs w:val="21"/>
                <w:highlight w:val="none"/>
              </w:rPr>
            </w:pPr>
          </w:p>
        </w:tc>
        <w:tc>
          <w:tcPr>
            <w:tcW w:w="1166" w:type="pct"/>
            <w:vAlign w:val="center"/>
          </w:tcPr>
          <w:p w14:paraId="6CD483DC">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细砂</w:t>
            </w:r>
          </w:p>
        </w:tc>
        <w:tc>
          <w:tcPr>
            <w:tcW w:w="1521" w:type="pct"/>
            <w:vAlign w:val="center"/>
          </w:tcPr>
          <w:p w14:paraId="2FD3933F">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0.05</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0.5</w:t>
            </w:r>
          </w:p>
        </w:tc>
        <w:tc>
          <w:tcPr>
            <w:tcW w:w="1646" w:type="pct"/>
            <w:vAlign w:val="center"/>
          </w:tcPr>
          <w:p w14:paraId="62C4A955">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0.005</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0.01</w:t>
            </w:r>
          </w:p>
        </w:tc>
      </w:tr>
      <w:tr w14:paraId="55FD72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67" w:type="pct"/>
            <w:vMerge w:val="continue"/>
            <w:vAlign w:val="center"/>
          </w:tcPr>
          <w:p w14:paraId="16721629">
            <w:pPr>
              <w:pStyle w:val="38"/>
              <w:rPr>
                <w:rFonts w:hint="default" w:ascii="Times New Roman" w:hAnsi="Times New Roman" w:eastAsia="宋体" w:cs="Times New Roman"/>
                <w:color w:val="auto"/>
                <w:sz w:val="21"/>
                <w:szCs w:val="21"/>
                <w:highlight w:val="none"/>
              </w:rPr>
            </w:pPr>
          </w:p>
        </w:tc>
        <w:tc>
          <w:tcPr>
            <w:tcW w:w="1166" w:type="pct"/>
            <w:vAlign w:val="center"/>
          </w:tcPr>
          <w:p w14:paraId="31C8ED86">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中粗砂</w:t>
            </w:r>
          </w:p>
        </w:tc>
        <w:tc>
          <w:tcPr>
            <w:tcW w:w="1521" w:type="pct"/>
            <w:vAlign w:val="center"/>
          </w:tcPr>
          <w:p w14:paraId="044D043A">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0.2</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1</w:t>
            </w:r>
          </w:p>
        </w:tc>
        <w:tc>
          <w:tcPr>
            <w:tcW w:w="1646" w:type="pct"/>
            <w:vAlign w:val="center"/>
          </w:tcPr>
          <w:p w14:paraId="19A7D0AE">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0.05</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0.1</w:t>
            </w:r>
          </w:p>
        </w:tc>
      </w:tr>
      <w:tr w14:paraId="10A887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67" w:type="pct"/>
            <w:vMerge w:val="continue"/>
            <w:vAlign w:val="center"/>
          </w:tcPr>
          <w:p w14:paraId="770F8046">
            <w:pPr>
              <w:pStyle w:val="38"/>
              <w:rPr>
                <w:rFonts w:hint="default" w:ascii="Times New Roman" w:hAnsi="Times New Roman" w:eastAsia="宋体" w:cs="Times New Roman"/>
                <w:color w:val="auto"/>
                <w:sz w:val="21"/>
                <w:szCs w:val="21"/>
                <w:highlight w:val="none"/>
              </w:rPr>
            </w:pPr>
          </w:p>
        </w:tc>
        <w:tc>
          <w:tcPr>
            <w:tcW w:w="1166" w:type="pct"/>
            <w:vAlign w:val="center"/>
          </w:tcPr>
          <w:p w14:paraId="28B8F10C">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砂砾</w:t>
            </w:r>
          </w:p>
        </w:tc>
        <w:tc>
          <w:tcPr>
            <w:tcW w:w="1521" w:type="pct"/>
            <w:vAlign w:val="center"/>
          </w:tcPr>
          <w:p w14:paraId="5A041753">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5</w:t>
            </w:r>
          </w:p>
        </w:tc>
        <w:tc>
          <w:tcPr>
            <w:tcW w:w="1646" w:type="pct"/>
            <w:vAlign w:val="center"/>
          </w:tcPr>
          <w:p w14:paraId="69FFAD4E">
            <w:pPr>
              <w:pStyle w:val="38"/>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0.2</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1</w:t>
            </w:r>
          </w:p>
        </w:tc>
      </w:tr>
    </w:tbl>
    <w:p w14:paraId="17C8A4CC">
      <w:pPr>
        <w:pStyle w:val="40"/>
        <w:keepNext w:val="0"/>
        <w:keepLines w:val="0"/>
        <w:pageBreakBefore w:val="0"/>
        <w:widowControl/>
        <w:kinsoku/>
        <w:wordWrap w:val="0"/>
        <w:overflowPunct/>
        <w:topLinePunct/>
        <w:autoSpaceDE/>
        <w:autoSpaceDN/>
        <w:bidi w:val="0"/>
        <w:spacing w:line="360" w:lineRule="auto"/>
        <w:ind w:lef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本项目所处区域含水层类型主要由中粗砂、砂砾石组成，因此本项目纵向弥散系数选取为D</w:t>
      </w:r>
      <w:r>
        <w:rPr>
          <w:rFonts w:hint="default" w:ascii="Times New Roman" w:hAnsi="Times New Roman" w:eastAsia="宋体" w:cs="Times New Roman"/>
          <w:color w:val="auto"/>
          <w:sz w:val="24"/>
          <w:szCs w:val="24"/>
          <w:highlight w:val="none"/>
          <w:vertAlign w:val="subscript"/>
        </w:rPr>
        <w:t>L</w:t>
      </w:r>
      <w:r>
        <w:rPr>
          <w:rFonts w:hint="default" w:ascii="Times New Roman" w:hAnsi="Times New Roman" w:eastAsia="宋体" w:cs="Times New Roman"/>
          <w:color w:val="auto"/>
          <w:sz w:val="24"/>
          <w:szCs w:val="24"/>
          <w:highlight w:val="none"/>
        </w:rPr>
        <w:t>=0.2m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/d。</w:t>
      </w:r>
    </w:p>
    <w:p w14:paraId="2A335C9C">
      <w:pPr>
        <w:keepNext w:val="0"/>
        <w:keepLines w:val="0"/>
        <w:pageBreakBefore w:val="0"/>
        <w:widowControl/>
        <w:kinsoku/>
        <w:wordWrap w:val="0"/>
        <w:overflowPunct/>
        <w:topLinePunct/>
        <w:autoSpaceDE/>
        <w:autoSpaceDN/>
        <w:bidi w:val="0"/>
        <w:adjustRightInd w:val="0"/>
        <w:snapToGrid w:val="0"/>
        <w:spacing w:line="360" w:lineRule="auto"/>
        <w:ind w:left="0" w:firstLine="480" w:firstLineChars="200"/>
        <w:textAlignment w:val="baseline"/>
        <w:rPr>
          <w:rFonts w:hint="default" w:ascii="Times New Roman" w:hAnsi="Times New Roman" w:eastAsia="宋体" w:cs="Times New Roman"/>
          <w:b/>
          <w:bCs/>
          <w:color w:val="auto"/>
          <w:spacing w:val="-2"/>
          <w:sz w:val="24"/>
          <w:szCs w:val="24"/>
          <w:highlight w:val="none"/>
        </w:rPr>
      </w:pPr>
      <w:r>
        <w:rPr>
          <w:rFonts w:hint="default" w:ascii="Times New Roman" w:hAnsi="Times New Roman" w:eastAsia="宋体" w:cs="Times New Roman"/>
          <w:color w:val="auto"/>
          <w:sz w:val="24"/>
          <w:szCs w:val="24"/>
          <w:highlight w:val="none"/>
        </w:rPr>
        <w:t>综上，本项目所在区域</w:t>
      </w:r>
      <w:r>
        <w:rPr>
          <w:rFonts w:hint="default" w:ascii="Times New Roman" w:hAnsi="Times New Roman" w:eastAsia="宋体" w:cs="Times New Roman"/>
          <w:color w:val="auto"/>
          <w:kern w:val="0"/>
          <w:sz w:val="24"/>
          <w:szCs w:val="24"/>
          <w:highlight w:val="none"/>
        </w:rPr>
        <w:t>含水层的有效孔隙度（n）取0.3，渗透系数（K）取25m/d，</w:t>
      </w:r>
      <w:r>
        <w:rPr>
          <w:rFonts w:hint="default" w:ascii="Times New Roman" w:hAnsi="Times New Roman" w:eastAsia="宋体" w:cs="Times New Roman"/>
          <w:color w:val="0000FF"/>
          <w:kern w:val="0"/>
          <w:sz w:val="24"/>
          <w:szCs w:val="24"/>
          <w:highlight w:val="none"/>
        </w:rPr>
        <w:t>水力坡度取平均值I=</w:t>
      </w:r>
      <w:r>
        <w:rPr>
          <w:rFonts w:hint="eastAsia" w:ascii="Times New Roman" w:hAnsi="Times New Roman" w:eastAsia="宋体" w:cs="Times New Roman"/>
          <w:color w:val="0000FF"/>
          <w:sz w:val="24"/>
          <w:szCs w:val="24"/>
          <w:highlight w:val="none"/>
          <w:lang w:val="en-US" w:eastAsia="zh-CN"/>
        </w:rPr>
        <w:t>3</w:t>
      </w:r>
      <w:r>
        <w:rPr>
          <w:color w:val="0000FF"/>
          <w:kern w:val="0"/>
        </w:rPr>
        <w:t>‰</w:t>
      </w:r>
      <w:r>
        <w:rPr>
          <w:rFonts w:hint="default" w:ascii="Times New Roman" w:hAnsi="Times New Roman" w:eastAsia="宋体" w:cs="Times New Roman"/>
          <w:color w:val="auto"/>
          <w:sz w:val="24"/>
          <w:szCs w:val="24"/>
          <w:highlight w:val="none"/>
        </w:rPr>
        <w:t>，水流速度u=0.05m/d。</w:t>
      </w:r>
    </w:p>
    <w:p w14:paraId="3F5ED7DE">
      <w:pPr>
        <w:rPr>
          <w:rFonts w:hint="default" w:ascii="Times New Roman" w:hAnsi="Times New Roman" w:eastAsia="Times New Roman" w:cs="Times New Roman"/>
          <w:b/>
          <w:bCs/>
          <w:color w:val="auto"/>
          <w:spacing w:val="-2"/>
          <w:sz w:val="24"/>
          <w:szCs w:val="24"/>
          <w:highlight w:val="none"/>
        </w:rPr>
        <w:sectPr>
          <w:headerReference r:id="rId33" w:type="default"/>
          <w:footerReference r:id="rId34"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r>
        <w:rPr>
          <w:rFonts w:hint="default" w:ascii="Times New Roman" w:hAnsi="Times New Roman" w:eastAsia="Times New Roman" w:cs="Times New Roman"/>
          <w:b/>
          <w:bCs/>
          <w:color w:val="auto"/>
          <w:spacing w:val="-2"/>
          <w:sz w:val="24"/>
          <w:szCs w:val="24"/>
          <w:highlight w:val="none"/>
        </w:rPr>
        <w:br w:type="page"/>
      </w:r>
    </w:p>
    <w:p w14:paraId="0766E581">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color w:val="FF0000"/>
          <w:sz w:val="24"/>
          <w:szCs w:val="24"/>
          <w:highlight w:val="none"/>
        </w:rPr>
        <w:t>6）预测结果</w:t>
      </w:r>
    </w:p>
    <w:p w14:paraId="56DEE643">
      <w:pPr>
        <w:pStyle w:val="44"/>
        <w:rPr>
          <w:rFonts w:hint="default" w:ascii="Times New Roman" w:hAnsi="Times New Roman" w:eastAsia="宋体" w:cs="Times New Roman"/>
          <w:b/>
          <w:bCs/>
          <w:color w:val="FF0000"/>
          <w:sz w:val="24"/>
          <w:szCs w:val="24"/>
          <w:highlight w:val="none"/>
        </w:rPr>
      </w:pPr>
      <w:r>
        <w:rPr>
          <w:rFonts w:hint="default" w:ascii="Times New Roman" w:hAnsi="Times New Roman" w:eastAsia="宋体" w:cs="Times New Roman"/>
          <w:b/>
          <w:bCs/>
          <w:color w:val="FF0000"/>
          <w:sz w:val="24"/>
          <w:szCs w:val="24"/>
          <w:highlight w:val="none"/>
        </w:rPr>
        <w:t>表5-2-</w:t>
      </w:r>
      <w:r>
        <w:rPr>
          <w:rFonts w:hint="default" w:ascii="Times New Roman" w:hAnsi="Times New Roman" w:eastAsia="宋体" w:cs="Times New Roman"/>
          <w:b/>
          <w:bCs/>
          <w:color w:val="FF0000"/>
          <w:sz w:val="24"/>
          <w:szCs w:val="24"/>
          <w:highlight w:val="none"/>
          <w:lang w:val="en-US" w:eastAsia="zh-CN"/>
        </w:rPr>
        <w:t>5</w:t>
      </w:r>
      <w:r>
        <w:rPr>
          <w:rFonts w:hint="default" w:ascii="Times New Roman" w:hAnsi="Times New Roman" w:eastAsia="宋体" w:cs="Times New Roman"/>
          <w:b/>
          <w:bCs/>
          <w:color w:val="FF0000"/>
          <w:sz w:val="24"/>
          <w:szCs w:val="24"/>
          <w:highlight w:val="none"/>
        </w:rPr>
        <w:t>地下水预测计算结果</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1"/>
        <w:gridCol w:w="1235"/>
        <w:gridCol w:w="531"/>
        <w:gridCol w:w="1015"/>
        <w:gridCol w:w="606"/>
        <w:gridCol w:w="1063"/>
        <w:gridCol w:w="653"/>
        <w:gridCol w:w="1170"/>
        <w:gridCol w:w="757"/>
        <w:gridCol w:w="1063"/>
        <w:gridCol w:w="760"/>
        <w:gridCol w:w="1060"/>
        <w:gridCol w:w="630"/>
        <w:gridCol w:w="1193"/>
        <w:gridCol w:w="730"/>
        <w:gridCol w:w="1147"/>
      </w:tblGrid>
      <w:tr w14:paraId="534B5F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410" w:type="pct"/>
            <w:gridSpan w:val="8"/>
            <w:vAlign w:val="center"/>
          </w:tcPr>
          <w:p w14:paraId="3ECE39C4">
            <w:pPr>
              <w:bidi w:val="0"/>
              <w:jc w:val="center"/>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COD</w:t>
            </w:r>
          </w:p>
        </w:tc>
        <w:tc>
          <w:tcPr>
            <w:tcW w:w="2589" w:type="pct"/>
            <w:gridSpan w:val="8"/>
            <w:vAlign w:val="center"/>
          </w:tcPr>
          <w:p w14:paraId="088AE3A1">
            <w:pPr>
              <w:bidi w:val="0"/>
              <w:jc w:val="center"/>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氨氮</w:t>
            </w:r>
          </w:p>
        </w:tc>
      </w:tr>
      <w:tr w14:paraId="168354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33" w:type="pct"/>
            <w:gridSpan w:val="2"/>
            <w:shd w:val="clear" w:color="auto" w:fill="auto"/>
            <w:vAlign w:val="center"/>
          </w:tcPr>
          <w:p w14:paraId="0DA113B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100d污染物迁移结果</w:t>
            </w:r>
          </w:p>
        </w:tc>
        <w:tc>
          <w:tcPr>
            <w:tcW w:w="545" w:type="pct"/>
            <w:gridSpan w:val="2"/>
            <w:vAlign w:val="center"/>
          </w:tcPr>
          <w:p w14:paraId="777DEDA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365d污染物迁移结果</w:t>
            </w:r>
          </w:p>
        </w:tc>
        <w:tc>
          <w:tcPr>
            <w:tcW w:w="588" w:type="pct"/>
            <w:gridSpan w:val="2"/>
            <w:shd w:val="clear" w:color="auto" w:fill="auto"/>
            <w:vAlign w:val="center"/>
          </w:tcPr>
          <w:p w14:paraId="3512226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1000d污染物迁移结果</w:t>
            </w:r>
          </w:p>
        </w:tc>
        <w:tc>
          <w:tcPr>
            <w:tcW w:w="643" w:type="pct"/>
            <w:gridSpan w:val="2"/>
            <w:vAlign w:val="center"/>
          </w:tcPr>
          <w:p w14:paraId="13BE153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30a污染物迁移结果</w:t>
            </w:r>
          </w:p>
        </w:tc>
        <w:tc>
          <w:tcPr>
            <w:tcW w:w="642" w:type="pct"/>
            <w:gridSpan w:val="2"/>
            <w:shd w:val="clear" w:color="auto" w:fill="auto"/>
            <w:vAlign w:val="center"/>
          </w:tcPr>
          <w:p w14:paraId="7E3FE1D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100d污染物迁移结果</w:t>
            </w:r>
          </w:p>
        </w:tc>
        <w:tc>
          <w:tcPr>
            <w:tcW w:w="642" w:type="pct"/>
            <w:gridSpan w:val="2"/>
            <w:vAlign w:val="center"/>
          </w:tcPr>
          <w:p w14:paraId="73C834F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365d污染物迁移结果</w:t>
            </w:r>
          </w:p>
        </w:tc>
        <w:tc>
          <w:tcPr>
            <w:tcW w:w="643" w:type="pct"/>
            <w:gridSpan w:val="2"/>
            <w:shd w:val="clear" w:color="auto" w:fill="auto"/>
            <w:vAlign w:val="center"/>
          </w:tcPr>
          <w:p w14:paraId="62A5FB8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1000d污染物迁移结果</w:t>
            </w:r>
          </w:p>
        </w:tc>
        <w:tc>
          <w:tcPr>
            <w:tcW w:w="662" w:type="pct"/>
            <w:gridSpan w:val="2"/>
            <w:vAlign w:val="center"/>
          </w:tcPr>
          <w:p w14:paraId="14AEF1E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30a污染物迁移结果</w:t>
            </w:r>
          </w:p>
        </w:tc>
      </w:tr>
      <w:tr w14:paraId="3A9FA0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47442EE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距离/m</w:t>
            </w:r>
          </w:p>
        </w:tc>
        <w:tc>
          <w:tcPr>
            <w:tcW w:w="435" w:type="pct"/>
            <w:shd w:val="clear" w:color="auto" w:fill="auto"/>
            <w:vAlign w:val="center"/>
          </w:tcPr>
          <w:p w14:paraId="1DC9613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浓度/mg/L</w:t>
            </w:r>
          </w:p>
        </w:tc>
        <w:tc>
          <w:tcPr>
            <w:tcW w:w="187" w:type="pct"/>
            <w:vAlign w:val="center"/>
          </w:tcPr>
          <w:p w14:paraId="51A24A8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距离/m</w:t>
            </w:r>
          </w:p>
        </w:tc>
        <w:tc>
          <w:tcPr>
            <w:tcW w:w="358" w:type="pct"/>
            <w:vAlign w:val="center"/>
          </w:tcPr>
          <w:p w14:paraId="5A11D99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浓度/mg/L</w:t>
            </w:r>
          </w:p>
        </w:tc>
        <w:tc>
          <w:tcPr>
            <w:tcW w:w="213" w:type="pct"/>
            <w:shd w:val="clear" w:color="auto" w:fill="auto"/>
            <w:vAlign w:val="center"/>
          </w:tcPr>
          <w:p w14:paraId="79D5205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距离/m</w:t>
            </w:r>
          </w:p>
        </w:tc>
        <w:tc>
          <w:tcPr>
            <w:tcW w:w="374" w:type="pct"/>
            <w:shd w:val="clear" w:color="auto" w:fill="auto"/>
            <w:vAlign w:val="center"/>
          </w:tcPr>
          <w:p w14:paraId="0046831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浓度/mg/L</w:t>
            </w:r>
          </w:p>
        </w:tc>
        <w:tc>
          <w:tcPr>
            <w:tcW w:w="230" w:type="pct"/>
            <w:vAlign w:val="center"/>
          </w:tcPr>
          <w:p w14:paraId="2C1F1EE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距离/m</w:t>
            </w:r>
          </w:p>
        </w:tc>
        <w:tc>
          <w:tcPr>
            <w:tcW w:w="412" w:type="pct"/>
            <w:vAlign w:val="center"/>
          </w:tcPr>
          <w:p w14:paraId="40F099A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浓度/mg/L</w:t>
            </w:r>
          </w:p>
        </w:tc>
        <w:tc>
          <w:tcPr>
            <w:tcW w:w="267" w:type="pct"/>
            <w:shd w:val="clear" w:color="auto" w:fill="auto"/>
            <w:vAlign w:val="center"/>
          </w:tcPr>
          <w:p w14:paraId="69442DF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距离/m</w:t>
            </w:r>
          </w:p>
        </w:tc>
        <w:tc>
          <w:tcPr>
            <w:tcW w:w="374" w:type="pct"/>
            <w:shd w:val="clear" w:color="auto" w:fill="auto"/>
            <w:vAlign w:val="center"/>
          </w:tcPr>
          <w:p w14:paraId="77A4CF7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浓度/mg/L</w:t>
            </w:r>
          </w:p>
        </w:tc>
        <w:tc>
          <w:tcPr>
            <w:tcW w:w="268" w:type="pct"/>
            <w:vAlign w:val="center"/>
          </w:tcPr>
          <w:p w14:paraId="08B928C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距离/m</w:t>
            </w:r>
          </w:p>
        </w:tc>
        <w:tc>
          <w:tcPr>
            <w:tcW w:w="373" w:type="pct"/>
            <w:vAlign w:val="center"/>
          </w:tcPr>
          <w:p w14:paraId="425D6A6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浓度/mg/L</w:t>
            </w:r>
          </w:p>
        </w:tc>
        <w:tc>
          <w:tcPr>
            <w:tcW w:w="222" w:type="pct"/>
            <w:shd w:val="clear" w:color="auto" w:fill="auto"/>
            <w:vAlign w:val="center"/>
          </w:tcPr>
          <w:p w14:paraId="14C8AA2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距离/m</w:t>
            </w:r>
          </w:p>
        </w:tc>
        <w:tc>
          <w:tcPr>
            <w:tcW w:w="420" w:type="pct"/>
            <w:shd w:val="clear" w:color="auto" w:fill="auto"/>
            <w:vAlign w:val="center"/>
          </w:tcPr>
          <w:p w14:paraId="713513E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浓度/mg/L</w:t>
            </w:r>
          </w:p>
        </w:tc>
        <w:tc>
          <w:tcPr>
            <w:tcW w:w="257" w:type="pct"/>
            <w:vAlign w:val="center"/>
          </w:tcPr>
          <w:p w14:paraId="1C496E6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距离/m</w:t>
            </w:r>
          </w:p>
        </w:tc>
        <w:tc>
          <w:tcPr>
            <w:tcW w:w="404" w:type="pct"/>
            <w:vAlign w:val="center"/>
          </w:tcPr>
          <w:p w14:paraId="481DCF1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浓度/mg/L</w:t>
            </w:r>
          </w:p>
        </w:tc>
      </w:tr>
      <w:tr w14:paraId="11B5D1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197" w:type="pct"/>
            <w:shd w:val="clear" w:color="auto" w:fill="auto"/>
            <w:vAlign w:val="center"/>
          </w:tcPr>
          <w:p w14:paraId="18D71FC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435" w:type="pct"/>
            <w:shd w:val="clear" w:color="auto" w:fill="auto"/>
            <w:vAlign w:val="center"/>
          </w:tcPr>
          <w:p w14:paraId="0FEA8D34">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887</w:t>
            </w:r>
          </w:p>
        </w:tc>
        <w:tc>
          <w:tcPr>
            <w:tcW w:w="187" w:type="pct"/>
            <w:vAlign w:val="center"/>
          </w:tcPr>
          <w:p w14:paraId="3437C60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358" w:type="pct"/>
            <w:vAlign w:val="center"/>
          </w:tcPr>
          <w:p w14:paraId="5AB5C979">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887</w:t>
            </w:r>
          </w:p>
        </w:tc>
        <w:tc>
          <w:tcPr>
            <w:tcW w:w="213" w:type="pct"/>
            <w:shd w:val="clear" w:color="auto" w:fill="auto"/>
            <w:vAlign w:val="center"/>
          </w:tcPr>
          <w:p w14:paraId="0AFEFE4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374" w:type="pct"/>
            <w:shd w:val="clear" w:color="auto" w:fill="auto"/>
            <w:vAlign w:val="center"/>
          </w:tcPr>
          <w:p w14:paraId="736CA82D">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887</w:t>
            </w:r>
          </w:p>
        </w:tc>
        <w:tc>
          <w:tcPr>
            <w:tcW w:w="230" w:type="pct"/>
            <w:vAlign w:val="center"/>
          </w:tcPr>
          <w:p w14:paraId="2A7CB8C4">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412" w:type="pct"/>
            <w:vAlign w:val="center"/>
          </w:tcPr>
          <w:p w14:paraId="0DC8F8C5">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887</w:t>
            </w:r>
          </w:p>
        </w:tc>
        <w:tc>
          <w:tcPr>
            <w:tcW w:w="267" w:type="pct"/>
            <w:shd w:val="clear" w:color="auto" w:fill="auto"/>
            <w:vAlign w:val="center"/>
          </w:tcPr>
          <w:p w14:paraId="71FC4E9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374" w:type="pct"/>
            <w:shd w:val="clear" w:color="auto" w:fill="auto"/>
            <w:vAlign w:val="center"/>
          </w:tcPr>
          <w:p w14:paraId="775F08EF">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22.1</w:t>
            </w:r>
          </w:p>
        </w:tc>
        <w:tc>
          <w:tcPr>
            <w:tcW w:w="268" w:type="pct"/>
            <w:vAlign w:val="center"/>
          </w:tcPr>
          <w:p w14:paraId="13E6A73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373" w:type="pct"/>
            <w:vAlign w:val="center"/>
          </w:tcPr>
          <w:p w14:paraId="12A8F213">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22.1</w:t>
            </w:r>
          </w:p>
        </w:tc>
        <w:tc>
          <w:tcPr>
            <w:tcW w:w="222" w:type="pct"/>
            <w:shd w:val="clear" w:color="auto" w:fill="auto"/>
            <w:vAlign w:val="center"/>
          </w:tcPr>
          <w:p w14:paraId="765B6C4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420" w:type="pct"/>
            <w:shd w:val="clear" w:color="auto" w:fill="auto"/>
            <w:vAlign w:val="center"/>
          </w:tcPr>
          <w:p w14:paraId="2C552A5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22</w:t>
            </w:r>
            <w:r>
              <w:rPr>
                <w:rFonts w:hint="default" w:ascii="Times New Roman" w:hAnsi="Times New Roman" w:eastAsia="宋体" w:cs="Times New Roman"/>
                <w:color w:val="FF0000"/>
                <w:sz w:val="21"/>
                <w:szCs w:val="21"/>
                <w:highlight w:val="none"/>
                <w:lang w:val="en-US" w:eastAsia="zh-CN"/>
              </w:rPr>
              <w:t>.</w:t>
            </w:r>
            <w:r>
              <w:rPr>
                <w:rFonts w:hint="default" w:ascii="Times New Roman" w:hAnsi="Times New Roman" w:eastAsia="宋体" w:cs="Times New Roman"/>
                <w:color w:val="FF0000"/>
                <w:sz w:val="21"/>
                <w:szCs w:val="21"/>
                <w:highlight w:val="none"/>
              </w:rPr>
              <w:t>1</w:t>
            </w:r>
          </w:p>
        </w:tc>
        <w:tc>
          <w:tcPr>
            <w:tcW w:w="257" w:type="pct"/>
            <w:vAlign w:val="center"/>
          </w:tcPr>
          <w:p w14:paraId="5A4744D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404" w:type="pct"/>
            <w:vAlign w:val="center"/>
          </w:tcPr>
          <w:p w14:paraId="7B29E7FD">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22.1</w:t>
            </w:r>
          </w:p>
        </w:tc>
      </w:tr>
      <w:tr w14:paraId="65C993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0744D0B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w:t>
            </w:r>
          </w:p>
        </w:tc>
        <w:tc>
          <w:tcPr>
            <w:tcW w:w="435" w:type="pct"/>
            <w:shd w:val="clear" w:color="auto" w:fill="auto"/>
            <w:vAlign w:val="center"/>
          </w:tcPr>
          <w:p w14:paraId="7607CA1A">
            <w:pPr>
              <w:bidi w:val="0"/>
              <w:rPr>
                <w:rFonts w:hint="default" w:ascii="Times New Roman" w:hAnsi="Times New Roman" w:eastAsia="宋体" w:cs="Times New Roman"/>
                <w:color w:val="FF0000"/>
                <w:sz w:val="21"/>
                <w:szCs w:val="21"/>
                <w:highlight w:val="none"/>
                <w:lang w:val="en-US"/>
              </w:rPr>
            </w:pPr>
            <w:r>
              <w:rPr>
                <w:rFonts w:hint="default" w:ascii="Times New Roman" w:hAnsi="Times New Roman" w:eastAsia="宋体" w:cs="Times New Roman"/>
                <w:color w:val="FF0000"/>
                <w:sz w:val="21"/>
                <w:szCs w:val="21"/>
                <w:highlight w:val="none"/>
                <w:lang w:val="en-US" w:eastAsia="zh-CN"/>
              </w:rPr>
              <w:t>286.0127</w:t>
            </w:r>
          </w:p>
        </w:tc>
        <w:tc>
          <w:tcPr>
            <w:tcW w:w="187" w:type="pct"/>
            <w:vAlign w:val="center"/>
          </w:tcPr>
          <w:p w14:paraId="23E14E8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w:t>
            </w:r>
          </w:p>
        </w:tc>
        <w:tc>
          <w:tcPr>
            <w:tcW w:w="358" w:type="pct"/>
            <w:vAlign w:val="center"/>
          </w:tcPr>
          <w:p w14:paraId="158EF128">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772.3304</w:t>
            </w:r>
          </w:p>
        </w:tc>
        <w:tc>
          <w:tcPr>
            <w:tcW w:w="213" w:type="pct"/>
            <w:shd w:val="clear" w:color="auto" w:fill="auto"/>
            <w:vAlign w:val="center"/>
          </w:tcPr>
          <w:p w14:paraId="27C64A0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w:t>
            </w:r>
          </w:p>
        </w:tc>
        <w:tc>
          <w:tcPr>
            <w:tcW w:w="374" w:type="pct"/>
            <w:shd w:val="clear" w:color="auto" w:fill="auto"/>
            <w:vAlign w:val="center"/>
          </w:tcPr>
          <w:p w14:paraId="7D128E6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 xml:space="preserve"> 881.4083</w:t>
            </w:r>
          </w:p>
        </w:tc>
        <w:tc>
          <w:tcPr>
            <w:tcW w:w="230" w:type="pct"/>
            <w:vAlign w:val="center"/>
          </w:tcPr>
          <w:p w14:paraId="4BED4D5F">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50</w:t>
            </w:r>
          </w:p>
        </w:tc>
        <w:tc>
          <w:tcPr>
            <w:tcW w:w="412" w:type="pct"/>
            <w:vAlign w:val="center"/>
          </w:tcPr>
          <w:p w14:paraId="69BE147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887</w:t>
            </w:r>
          </w:p>
        </w:tc>
        <w:tc>
          <w:tcPr>
            <w:tcW w:w="267" w:type="pct"/>
            <w:shd w:val="clear" w:color="auto" w:fill="auto"/>
            <w:vAlign w:val="center"/>
          </w:tcPr>
          <w:p w14:paraId="3C23389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w:t>
            </w:r>
          </w:p>
        </w:tc>
        <w:tc>
          <w:tcPr>
            <w:tcW w:w="374" w:type="pct"/>
            <w:shd w:val="clear" w:color="auto" w:fill="auto"/>
            <w:vAlign w:val="center"/>
          </w:tcPr>
          <w:p w14:paraId="2E3E2D1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7.126133</w:t>
            </w:r>
          </w:p>
        </w:tc>
        <w:tc>
          <w:tcPr>
            <w:tcW w:w="268" w:type="pct"/>
            <w:vAlign w:val="center"/>
          </w:tcPr>
          <w:p w14:paraId="2255262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w:t>
            </w:r>
          </w:p>
        </w:tc>
        <w:tc>
          <w:tcPr>
            <w:tcW w:w="373" w:type="pct"/>
            <w:vAlign w:val="center"/>
          </w:tcPr>
          <w:p w14:paraId="37A54244">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19.24296</w:t>
            </w:r>
          </w:p>
        </w:tc>
        <w:tc>
          <w:tcPr>
            <w:tcW w:w="222" w:type="pct"/>
            <w:shd w:val="clear" w:color="auto" w:fill="auto"/>
            <w:vAlign w:val="center"/>
          </w:tcPr>
          <w:p w14:paraId="59EC08F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w:t>
            </w:r>
          </w:p>
        </w:tc>
        <w:tc>
          <w:tcPr>
            <w:tcW w:w="420" w:type="pct"/>
            <w:shd w:val="clear" w:color="auto" w:fill="auto"/>
            <w:vAlign w:val="center"/>
          </w:tcPr>
          <w:p w14:paraId="4F20B28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21.96068</w:t>
            </w:r>
          </w:p>
        </w:tc>
        <w:tc>
          <w:tcPr>
            <w:tcW w:w="257" w:type="pct"/>
            <w:vAlign w:val="center"/>
          </w:tcPr>
          <w:p w14:paraId="346E249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w:t>
            </w:r>
          </w:p>
        </w:tc>
        <w:tc>
          <w:tcPr>
            <w:tcW w:w="404" w:type="pct"/>
            <w:vAlign w:val="center"/>
          </w:tcPr>
          <w:p w14:paraId="007D6648">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22.1</w:t>
            </w:r>
          </w:p>
        </w:tc>
      </w:tr>
      <w:tr w14:paraId="5BF43E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013DA92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w:t>
            </w:r>
          </w:p>
        </w:tc>
        <w:tc>
          <w:tcPr>
            <w:tcW w:w="435" w:type="pct"/>
            <w:shd w:val="clear" w:color="auto" w:fill="auto"/>
            <w:vAlign w:val="center"/>
          </w:tcPr>
          <w:p w14:paraId="358FBE66">
            <w:pPr>
              <w:bidi w:val="0"/>
              <w:rPr>
                <w:rFonts w:hint="default" w:ascii="Times New Roman" w:hAnsi="Times New Roman" w:eastAsia="宋体" w:cs="Times New Roman"/>
                <w:color w:val="FF0000"/>
                <w:sz w:val="21"/>
                <w:szCs w:val="21"/>
                <w:highlight w:val="none"/>
                <w:lang w:val="en-US"/>
              </w:rPr>
            </w:pPr>
            <w:r>
              <w:rPr>
                <w:rFonts w:hint="default" w:ascii="Times New Roman" w:hAnsi="Times New Roman" w:eastAsia="宋体" w:cs="Times New Roman"/>
                <w:color w:val="FF0000"/>
                <w:sz w:val="21"/>
                <w:szCs w:val="21"/>
                <w:highlight w:val="none"/>
                <w:lang w:val="en-US" w:eastAsia="zh-CN"/>
              </w:rPr>
              <w:t>12.938</w:t>
            </w:r>
          </w:p>
        </w:tc>
        <w:tc>
          <w:tcPr>
            <w:tcW w:w="187" w:type="pct"/>
            <w:vAlign w:val="center"/>
          </w:tcPr>
          <w:p w14:paraId="6688187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w:t>
            </w:r>
          </w:p>
        </w:tc>
        <w:tc>
          <w:tcPr>
            <w:tcW w:w="358" w:type="pct"/>
            <w:vAlign w:val="center"/>
          </w:tcPr>
          <w:p w14:paraId="0E2032A7">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494.3069</w:t>
            </w:r>
          </w:p>
        </w:tc>
        <w:tc>
          <w:tcPr>
            <w:tcW w:w="213" w:type="pct"/>
            <w:shd w:val="clear" w:color="auto" w:fill="auto"/>
            <w:vAlign w:val="center"/>
          </w:tcPr>
          <w:p w14:paraId="0443EFD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w:t>
            </w:r>
          </w:p>
        </w:tc>
        <w:tc>
          <w:tcPr>
            <w:tcW w:w="374" w:type="pct"/>
            <w:shd w:val="clear" w:color="auto" w:fill="auto"/>
            <w:vAlign w:val="center"/>
          </w:tcPr>
          <w:p w14:paraId="3D549CF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858.3717</w:t>
            </w:r>
          </w:p>
        </w:tc>
        <w:tc>
          <w:tcPr>
            <w:tcW w:w="230" w:type="pct"/>
            <w:vAlign w:val="center"/>
          </w:tcPr>
          <w:p w14:paraId="721585DE">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100</w:t>
            </w:r>
          </w:p>
        </w:tc>
        <w:tc>
          <w:tcPr>
            <w:tcW w:w="412" w:type="pct"/>
            <w:vAlign w:val="center"/>
          </w:tcPr>
          <w:p w14:paraId="3EBD77F4">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887</w:t>
            </w:r>
          </w:p>
        </w:tc>
        <w:tc>
          <w:tcPr>
            <w:tcW w:w="267" w:type="pct"/>
            <w:shd w:val="clear" w:color="auto" w:fill="auto"/>
            <w:vAlign w:val="center"/>
          </w:tcPr>
          <w:p w14:paraId="05AFB17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w:t>
            </w:r>
          </w:p>
        </w:tc>
        <w:tc>
          <w:tcPr>
            <w:tcW w:w="374" w:type="pct"/>
            <w:shd w:val="clear" w:color="auto" w:fill="auto"/>
            <w:vAlign w:val="center"/>
          </w:tcPr>
          <w:p w14:paraId="40381CA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0.322356</w:t>
            </w:r>
          </w:p>
        </w:tc>
        <w:tc>
          <w:tcPr>
            <w:tcW w:w="268" w:type="pct"/>
            <w:vAlign w:val="center"/>
          </w:tcPr>
          <w:p w14:paraId="43B077F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w:t>
            </w:r>
          </w:p>
        </w:tc>
        <w:tc>
          <w:tcPr>
            <w:tcW w:w="373" w:type="pct"/>
            <w:vAlign w:val="center"/>
          </w:tcPr>
          <w:p w14:paraId="63F6AF7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12.31588</w:t>
            </w:r>
          </w:p>
        </w:tc>
        <w:tc>
          <w:tcPr>
            <w:tcW w:w="222" w:type="pct"/>
            <w:shd w:val="clear" w:color="auto" w:fill="auto"/>
            <w:vAlign w:val="center"/>
          </w:tcPr>
          <w:p w14:paraId="09B5802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w:t>
            </w:r>
          </w:p>
        </w:tc>
        <w:tc>
          <w:tcPr>
            <w:tcW w:w="420" w:type="pct"/>
            <w:shd w:val="clear" w:color="auto" w:fill="auto"/>
            <w:vAlign w:val="center"/>
          </w:tcPr>
          <w:p w14:paraId="13024CE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21.38671</w:t>
            </w:r>
          </w:p>
        </w:tc>
        <w:tc>
          <w:tcPr>
            <w:tcW w:w="257" w:type="pct"/>
            <w:vAlign w:val="center"/>
          </w:tcPr>
          <w:p w14:paraId="5A4D39F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w:t>
            </w:r>
          </w:p>
        </w:tc>
        <w:tc>
          <w:tcPr>
            <w:tcW w:w="404" w:type="pct"/>
            <w:vAlign w:val="center"/>
          </w:tcPr>
          <w:p w14:paraId="5FB5C931">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22.1</w:t>
            </w:r>
          </w:p>
        </w:tc>
      </w:tr>
      <w:tr w14:paraId="3F2A56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440BF5C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w:t>
            </w:r>
          </w:p>
        </w:tc>
        <w:tc>
          <w:tcPr>
            <w:tcW w:w="435" w:type="pct"/>
            <w:shd w:val="clear" w:color="auto" w:fill="auto"/>
            <w:vAlign w:val="center"/>
          </w:tcPr>
          <w:p w14:paraId="19E18C45">
            <w:pPr>
              <w:bidi w:val="0"/>
              <w:rPr>
                <w:rFonts w:hint="default" w:ascii="Times New Roman" w:hAnsi="Times New Roman" w:eastAsia="宋体" w:cs="Times New Roman"/>
                <w:color w:val="FF0000"/>
                <w:sz w:val="21"/>
                <w:szCs w:val="21"/>
                <w:highlight w:val="none"/>
                <w:lang w:val="en-US"/>
              </w:rPr>
            </w:pPr>
            <w:r>
              <w:rPr>
                <w:rFonts w:hint="default" w:ascii="Times New Roman" w:hAnsi="Times New Roman" w:eastAsia="宋体" w:cs="Times New Roman"/>
                <w:color w:val="FF0000"/>
                <w:sz w:val="21"/>
                <w:szCs w:val="21"/>
                <w:highlight w:val="none"/>
                <w:lang w:val="en-US" w:eastAsia="zh-CN"/>
              </w:rPr>
              <w:t>0.05942976</w:t>
            </w:r>
          </w:p>
        </w:tc>
        <w:tc>
          <w:tcPr>
            <w:tcW w:w="187" w:type="pct"/>
            <w:vAlign w:val="center"/>
          </w:tcPr>
          <w:p w14:paraId="7CCF01E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w:t>
            </w:r>
          </w:p>
        </w:tc>
        <w:tc>
          <w:tcPr>
            <w:tcW w:w="358" w:type="pct"/>
            <w:vAlign w:val="center"/>
          </w:tcPr>
          <w:p w14:paraId="2C8864F7">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199.0208</w:t>
            </w:r>
          </w:p>
        </w:tc>
        <w:tc>
          <w:tcPr>
            <w:tcW w:w="213" w:type="pct"/>
            <w:shd w:val="clear" w:color="auto" w:fill="auto"/>
            <w:vAlign w:val="center"/>
          </w:tcPr>
          <w:p w14:paraId="0796292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w:t>
            </w:r>
          </w:p>
        </w:tc>
        <w:tc>
          <w:tcPr>
            <w:tcW w:w="374" w:type="pct"/>
            <w:shd w:val="clear" w:color="auto" w:fill="auto"/>
            <w:vAlign w:val="center"/>
          </w:tcPr>
          <w:p w14:paraId="26B68E3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7</w:t>
            </w:r>
            <w:r>
              <w:rPr>
                <w:rFonts w:hint="default" w:ascii="Times New Roman" w:hAnsi="Times New Roman" w:eastAsia="宋体" w:cs="Times New Roman"/>
                <w:color w:val="FF0000"/>
                <w:sz w:val="21"/>
                <w:szCs w:val="21"/>
                <w:highlight w:val="none"/>
              </w:rPr>
              <w:t>97.0887</w:t>
            </w:r>
          </w:p>
        </w:tc>
        <w:tc>
          <w:tcPr>
            <w:tcW w:w="230" w:type="pct"/>
            <w:vAlign w:val="center"/>
          </w:tcPr>
          <w:p w14:paraId="4479EEC1">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190</w:t>
            </w:r>
          </w:p>
        </w:tc>
        <w:tc>
          <w:tcPr>
            <w:tcW w:w="412" w:type="pct"/>
            <w:vAlign w:val="center"/>
          </w:tcPr>
          <w:p w14:paraId="14C92CBF">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887</w:t>
            </w:r>
          </w:p>
        </w:tc>
        <w:tc>
          <w:tcPr>
            <w:tcW w:w="267" w:type="pct"/>
            <w:shd w:val="clear" w:color="auto" w:fill="auto"/>
            <w:vAlign w:val="center"/>
          </w:tcPr>
          <w:p w14:paraId="04C64B9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w:t>
            </w:r>
          </w:p>
        </w:tc>
        <w:tc>
          <w:tcPr>
            <w:tcW w:w="374" w:type="pct"/>
            <w:shd w:val="clear" w:color="auto" w:fill="auto"/>
            <w:vAlign w:val="center"/>
          </w:tcPr>
          <w:p w14:paraId="464DCBA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0.001480719</w:t>
            </w:r>
          </w:p>
        </w:tc>
        <w:tc>
          <w:tcPr>
            <w:tcW w:w="268" w:type="pct"/>
            <w:vAlign w:val="center"/>
          </w:tcPr>
          <w:p w14:paraId="318A6E3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w:t>
            </w:r>
          </w:p>
        </w:tc>
        <w:tc>
          <w:tcPr>
            <w:tcW w:w="373" w:type="pct"/>
            <w:vAlign w:val="center"/>
          </w:tcPr>
          <w:p w14:paraId="26B2A4F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4.958692</w:t>
            </w:r>
          </w:p>
        </w:tc>
        <w:tc>
          <w:tcPr>
            <w:tcW w:w="222" w:type="pct"/>
            <w:shd w:val="clear" w:color="auto" w:fill="auto"/>
            <w:vAlign w:val="center"/>
          </w:tcPr>
          <w:p w14:paraId="2E7097E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w:t>
            </w:r>
          </w:p>
        </w:tc>
        <w:tc>
          <w:tcPr>
            <w:tcW w:w="420" w:type="pct"/>
            <w:shd w:val="clear" w:color="auto" w:fill="auto"/>
            <w:vAlign w:val="center"/>
          </w:tcPr>
          <w:p w14:paraId="307FC3B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19.85982</w:t>
            </w:r>
          </w:p>
        </w:tc>
        <w:tc>
          <w:tcPr>
            <w:tcW w:w="257" w:type="pct"/>
            <w:vAlign w:val="center"/>
          </w:tcPr>
          <w:p w14:paraId="3084450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190</w:t>
            </w:r>
          </w:p>
        </w:tc>
        <w:tc>
          <w:tcPr>
            <w:tcW w:w="404" w:type="pct"/>
            <w:vAlign w:val="center"/>
          </w:tcPr>
          <w:p w14:paraId="5D591FE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22.1</w:t>
            </w:r>
          </w:p>
        </w:tc>
      </w:tr>
      <w:tr w14:paraId="644C01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563DE9A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40</w:t>
            </w:r>
          </w:p>
        </w:tc>
        <w:tc>
          <w:tcPr>
            <w:tcW w:w="435" w:type="pct"/>
            <w:shd w:val="clear" w:color="auto" w:fill="auto"/>
            <w:vAlign w:val="center"/>
          </w:tcPr>
          <w:p w14:paraId="203A1E37">
            <w:pPr>
              <w:bidi w:val="0"/>
              <w:rPr>
                <w:rFonts w:hint="default" w:ascii="Times New Roman" w:hAnsi="Times New Roman" w:eastAsia="宋体" w:cs="Times New Roman"/>
                <w:color w:val="FF0000"/>
                <w:sz w:val="21"/>
                <w:szCs w:val="21"/>
                <w:highlight w:val="none"/>
                <w:lang w:val="en-US"/>
              </w:rPr>
            </w:pPr>
            <w:r>
              <w:rPr>
                <w:rFonts w:hint="default" w:ascii="Times New Roman" w:hAnsi="Times New Roman" w:eastAsia="宋体" w:cs="Times New Roman"/>
                <w:color w:val="FF0000"/>
                <w:sz w:val="21"/>
                <w:szCs w:val="21"/>
                <w:highlight w:val="none"/>
                <w:lang w:val="en-US" w:eastAsia="zh-CN"/>
              </w:rPr>
              <w:t>2.57843E-05</w:t>
            </w:r>
          </w:p>
        </w:tc>
        <w:tc>
          <w:tcPr>
            <w:tcW w:w="187" w:type="pct"/>
            <w:vAlign w:val="center"/>
          </w:tcPr>
          <w:p w14:paraId="70A5D65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40</w:t>
            </w:r>
          </w:p>
        </w:tc>
        <w:tc>
          <w:tcPr>
            <w:tcW w:w="358" w:type="pct"/>
            <w:vAlign w:val="center"/>
          </w:tcPr>
          <w:p w14:paraId="251C571E">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45.85299</w:t>
            </w:r>
          </w:p>
        </w:tc>
        <w:tc>
          <w:tcPr>
            <w:tcW w:w="213" w:type="pct"/>
            <w:shd w:val="clear" w:color="auto" w:fill="auto"/>
            <w:vAlign w:val="center"/>
          </w:tcPr>
          <w:p w14:paraId="4B46E47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40</w:t>
            </w:r>
          </w:p>
        </w:tc>
        <w:tc>
          <w:tcPr>
            <w:tcW w:w="374" w:type="pct"/>
            <w:shd w:val="clear" w:color="auto" w:fill="auto"/>
            <w:vAlign w:val="center"/>
          </w:tcPr>
          <w:p w14:paraId="79B705B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 xml:space="preserve"> 679.7703</w:t>
            </w:r>
          </w:p>
        </w:tc>
        <w:tc>
          <w:tcPr>
            <w:tcW w:w="230" w:type="pct"/>
            <w:shd w:val="clear" w:color="auto" w:fill="auto"/>
            <w:vAlign w:val="center"/>
          </w:tcPr>
          <w:p w14:paraId="7D631392">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rPr>
              <w:t>210</w:t>
            </w:r>
          </w:p>
        </w:tc>
        <w:tc>
          <w:tcPr>
            <w:tcW w:w="412" w:type="pct"/>
            <w:vAlign w:val="center"/>
          </w:tcPr>
          <w:p w14:paraId="5CF2BD00">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886.9999</w:t>
            </w:r>
          </w:p>
        </w:tc>
        <w:tc>
          <w:tcPr>
            <w:tcW w:w="267" w:type="pct"/>
            <w:shd w:val="clear" w:color="auto" w:fill="auto"/>
            <w:vAlign w:val="center"/>
          </w:tcPr>
          <w:p w14:paraId="674997A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40</w:t>
            </w:r>
          </w:p>
        </w:tc>
        <w:tc>
          <w:tcPr>
            <w:tcW w:w="374" w:type="pct"/>
            <w:shd w:val="clear" w:color="auto" w:fill="auto"/>
            <w:vAlign w:val="center"/>
          </w:tcPr>
          <w:p w14:paraId="0D4C5FD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6.424273E-07</w:t>
            </w:r>
          </w:p>
        </w:tc>
        <w:tc>
          <w:tcPr>
            <w:tcW w:w="268" w:type="pct"/>
            <w:vAlign w:val="center"/>
          </w:tcPr>
          <w:p w14:paraId="4605004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40</w:t>
            </w:r>
          </w:p>
        </w:tc>
        <w:tc>
          <w:tcPr>
            <w:tcW w:w="373" w:type="pct"/>
            <w:vAlign w:val="center"/>
          </w:tcPr>
          <w:p w14:paraId="48E8DA2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1.142448</w:t>
            </w:r>
          </w:p>
        </w:tc>
        <w:tc>
          <w:tcPr>
            <w:tcW w:w="222" w:type="pct"/>
            <w:shd w:val="clear" w:color="auto" w:fill="auto"/>
            <w:vAlign w:val="center"/>
          </w:tcPr>
          <w:p w14:paraId="280681C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40</w:t>
            </w:r>
          </w:p>
        </w:tc>
        <w:tc>
          <w:tcPr>
            <w:tcW w:w="420" w:type="pct"/>
            <w:shd w:val="clear" w:color="auto" w:fill="auto"/>
            <w:vAlign w:val="center"/>
          </w:tcPr>
          <w:p w14:paraId="1CAEA20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16.93678</w:t>
            </w:r>
          </w:p>
        </w:tc>
        <w:tc>
          <w:tcPr>
            <w:tcW w:w="257" w:type="pct"/>
            <w:vAlign w:val="center"/>
          </w:tcPr>
          <w:p w14:paraId="728B2A2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210</w:t>
            </w:r>
          </w:p>
        </w:tc>
        <w:tc>
          <w:tcPr>
            <w:tcW w:w="404" w:type="pct"/>
            <w:vAlign w:val="center"/>
          </w:tcPr>
          <w:p w14:paraId="5FDE0AA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22.1</w:t>
            </w:r>
          </w:p>
        </w:tc>
      </w:tr>
      <w:tr w14:paraId="29505A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52E5AB9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w:t>
            </w:r>
          </w:p>
        </w:tc>
        <w:tc>
          <w:tcPr>
            <w:tcW w:w="435" w:type="pct"/>
            <w:shd w:val="clear" w:color="auto" w:fill="auto"/>
            <w:vAlign w:val="center"/>
          </w:tcPr>
          <w:p w14:paraId="4FF38582">
            <w:pPr>
              <w:bidi w:val="0"/>
              <w:rPr>
                <w:rFonts w:hint="default" w:ascii="Times New Roman" w:hAnsi="Times New Roman" w:eastAsia="宋体" w:cs="Times New Roman"/>
                <w:color w:val="FF0000"/>
                <w:sz w:val="21"/>
                <w:szCs w:val="21"/>
                <w:highlight w:val="none"/>
                <w:lang w:val="en-US"/>
              </w:rPr>
            </w:pPr>
            <w:r>
              <w:rPr>
                <w:rFonts w:hint="default" w:ascii="Times New Roman" w:hAnsi="Times New Roman" w:eastAsia="宋体" w:cs="Times New Roman"/>
                <w:color w:val="FF0000"/>
                <w:sz w:val="21"/>
                <w:szCs w:val="21"/>
                <w:highlight w:val="none"/>
                <w:lang w:val="en-US" w:eastAsia="zh-CN"/>
              </w:rPr>
              <w:t>5.387172E-10</w:t>
            </w:r>
          </w:p>
        </w:tc>
        <w:tc>
          <w:tcPr>
            <w:tcW w:w="187" w:type="pct"/>
            <w:vAlign w:val="center"/>
          </w:tcPr>
          <w:p w14:paraId="4C55B00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w:t>
            </w:r>
          </w:p>
        </w:tc>
        <w:tc>
          <w:tcPr>
            <w:tcW w:w="358" w:type="pct"/>
            <w:vAlign w:val="center"/>
          </w:tcPr>
          <w:p w14:paraId="0E4EFAA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5.745661</w:t>
            </w:r>
          </w:p>
        </w:tc>
        <w:tc>
          <w:tcPr>
            <w:tcW w:w="213" w:type="pct"/>
            <w:shd w:val="clear" w:color="auto" w:fill="auto"/>
            <w:vAlign w:val="center"/>
          </w:tcPr>
          <w:p w14:paraId="06F280A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w:t>
            </w:r>
          </w:p>
        </w:tc>
        <w:tc>
          <w:tcPr>
            <w:tcW w:w="374" w:type="pct"/>
            <w:shd w:val="clear" w:color="auto" w:fill="auto"/>
            <w:vAlign w:val="center"/>
          </w:tcPr>
          <w:p w14:paraId="203F6CE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511.8354</w:t>
            </w:r>
          </w:p>
        </w:tc>
        <w:tc>
          <w:tcPr>
            <w:tcW w:w="230" w:type="pct"/>
            <w:shd w:val="clear" w:color="auto" w:fill="auto"/>
            <w:vAlign w:val="center"/>
          </w:tcPr>
          <w:p w14:paraId="3C419DA7">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rPr>
              <w:t>300</w:t>
            </w:r>
          </w:p>
        </w:tc>
        <w:tc>
          <w:tcPr>
            <w:tcW w:w="412" w:type="pct"/>
            <w:vAlign w:val="center"/>
          </w:tcPr>
          <w:p w14:paraId="3C49F14D">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886.9183</w:t>
            </w:r>
          </w:p>
        </w:tc>
        <w:tc>
          <w:tcPr>
            <w:tcW w:w="267" w:type="pct"/>
            <w:shd w:val="clear" w:color="auto" w:fill="auto"/>
            <w:vAlign w:val="center"/>
          </w:tcPr>
          <w:p w14:paraId="7BBAE47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w:t>
            </w:r>
          </w:p>
        </w:tc>
        <w:tc>
          <w:tcPr>
            <w:tcW w:w="374" w:type="pct"/>
            <w:shd w:val="clear" w:color="auto" w:fill="auto"/>
            <w:vAlign w:val="center"/>
          </w:tcPr>
          <w:p w14:paraId="4BDAE29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1.342238E-11</w:t>
            </w:r>
          </w:p>
        </w:tc>
        <w:tc>
          <w:tcPr>
            <w:tcW w:w="268" w:type="pct"/>
            <w:vAlign w:val="center"/>
          </w:tcPr>
          <w:p w14:paraId="2732F04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w:t>
            </w:r>
          </w:p>
        </w:tc>
        <w:tc>
          <w:tcPr>
            <w:tcW w:w="373" w:type="pct"/>
            <w:vAlign w:val="center"/>
          </w:tcPr>
          <w:p w14:paraId="68399E1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0.1431557</w:t>
            </w:r>
          </w:p>
        </w:tc>
        <w:tc>
          <w:tcPr>
            <w:tcW w:w="222" w:type="pct"/>
            <w:shd w:val="clear" w:color="auto" w:fill="auto"/>
            <w:vAlign w:val="center"/>
          </w:tcPr>
          <w:p w14:paraId="0572328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w:t>
            </w:r>
          </w:p>
        </w:tc>
        <w:tc>
          <w:tcPr>
            <w:tcW w:w="420" w:type="pct"/>
            <w:shd w:val="clear" w:color="auto" w:fill="auto"/>
            <w:vAlign w:val="center"/>
          </w:tcPr>
          <w:p w14:paraId="0908D63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12.75261</w:t>
            </w:r>
          </w:p>
        </w:tc>
        <w:tc>
          <w:tcPr>
            <w:tcW w:w="257" w:type="pct"/>
            <w:vAlign w:val="center"/>
          </w:tcPr>
          <w:p w14:paraId="330E8A7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300</w:t>
            </w:r>
          </w:p>
        </w:tc>
        <w:tc>
          <w:tcPr>
            <w:tcW w:w="404" w:type="pct"/>
            <w:vAlign w:val="center"/>
          </w:tcPr>
          <w:p w14:paraId="4FE1ED10">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22.09796</w:t>
            </w:r>
          </w:p>
        </w:tc>
      </w:tr>
      <w:tr w14:paraId="18DD73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0AB64CB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60</w:t>
            </w:r>
          </w:p>
        </w:tc>
        <w:tc>
          <w:tcPr>
            <w:tcW w:w="435" w:type="pct"/>
            <w:shd w:val="clear" w:color="auto" w:fill="auto"/>
            <w:vAlign w:val="center"/>
          </w:tcPr>
          <w:p w14:paraId="0EAA07F0">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2BFF348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60</w:t>
            </w:r>
          </w:p>
        </w:tc>
        <w:tc>
          <w:tcPr>
            <w:tcW w:w="358" w:type="pct"/>
            <w:vAlign w:val="center"/>
          </w:tcPr>
          <w:p w14:paraId="788F6E5E">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0.3810675</w:t>
            </w:r>
          </w:p>
        </w:tc>
        <w:tc>
          <w:tcPr>
            <w:tcW w:w="213" w:type="pct"/>
            <w:shd w:val="clear" w:color="auto" w:fill="auto"/>
            <w:vAlign w:val="center"/>
          </w:tcPr>
          <w:p w14:paraId="3189FCF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60</w:t>
            </w:r>
          </w:p>
        </w:tc>
        <w:tc>
          <w:tcPr>
            <w:tcW w:w="374" w:type="pct"/>
            <w:shd w:val="clear" w:color="auto" w:fill="auto"/>
            <w:vAlign w:val="center"/>
          </w:tcPr>
          <w:p w14:paraId="15BB650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328.8711</w:t>
            </w:r>
          </w:p>
        </w:tc>
        <w:tc>
          <w:tcPr>
            <w:tcW w:w="230" w:type="pct"/>
            <w:shd w:val="clear" w:color="auto" w:fill="auto"/>
            <w:vAlign w:val="center"/>
          </w:tcPr>
          <w:p w14:paraId="511FA5B1">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rPr>
              <w:t>400</w:t>
            </w:r>
          </w:p>
        </w:tc>
        <w:tc>
          <w:tcPr>
            <w:tcW w:w="412" w:type="pct"/>
            <w:vAlign w:val="center"/>
          </w:tcPr>
          <w:p w14:paraId="46246392">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875.5432</w:t>
            </w:r>
          </w:p>
        </w:tc>
        <w:tc>
          <w:tcPr>
            <w:tcW w:w="267" w:type="pct"/>
            <w:shd w:val="clear" w:color="auto" w:fill="auto"/>
            <w:vAlign w:val="center"/>
          </w:tcPr>
          <w:p w14:paraId="7D0CC3E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60</w:t>
            </w:r>
          </w:p>
        </w:tc>
        <w:tc>
          <w:tcPr>
            <w:tcW w:w="374" w:type="pct"/>
            <w:shd w:val="clear" w:color="auto" w:fill="auto"/>
            <w:vAlign w:val="center"/>
          </w:tcPr>
          <w:p w14:paraId="6DC5973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5048034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60</w:t>
            </w:r>
          </w:p>
        </w:tc>
        <w:tc>
          <w:tcPr>
            <w:tcW w:w="373" w:type="pct"/>
            <w:vAlign w:val="center"/>
          </w:tcPr>
          <w:p w14:paraId="75B1DDC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0.009494466</w:t>
            </w:r>
          </w:p>
        </w:tc>
        <w:tc>
          <w:tcPr>
            <w:tcW w:w="222" w:type="pct"/>
            <w:shd w:val="clear" w:color="auto" w:fill="auto"/>
            <w:vAlign w:val="center"/>
          </w:tcPr>
          <w:p w14:paraId="4397181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60</w:t>
            </w:r>
          </w:p>
        </w:tc>
        <w:tc>
          <w:tcPr>
            <w:tcW w:w="420" w:type="pct"/>
            <w:shd w:val="clear" w:color="auto" w:fill="auto"/>
            <w:vAlign w:val="center"/>
          </w:tcPr>
          <w:p w14:paraId="1683950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8.19397</w:t>
            </w:r>
          </w:p>
        </w:tc>
        <w:tc>
          <w:tcPr>
            <w:tcW w:w="257" w:type="pct"/>
            <w:vAlign w:val="center"/>
          </w:tcPr>
          <w:p w14:paraId="50F803C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400</w:t>
            </w:r>
          </w:p>
        </w:tc>
        <w:tc>
          <w:tcPr>
            <w:tcW w:w="404" w:type="pct"/>
            <w:vAlign w:val="center"/>
          </w:tcPr>
          <w:p w14:paraId="55B4EC6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21.81455</w:t>
            </w:r>
          </w:p>
        </w:tc>
      </w:tr>
      <w:tr w14:paraId="10A1E3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02AB61E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70</w:t>
            </w:r>
          </w:p>
        </w:tc>
        <w:tc>
          <w:tcPr>
            <w:tcW w:w="435" w:type="pct"/>
            <w:shd w:val="clear" w:color="auto" w:fill="auto"/>
            <w:vAlign w:val="center"/>
          </w:tcPr>
          <w:p w14:paraId="03D8B624">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2BD02BE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70</w:t>
            </w:r>
          </w:p>
        </w:tc>
        <w:tc>
          <w:tcPr>
            <w:tcW w:w="358" w:type="pct"/>
            <w:vAlign w:val="center"/>
          </w:tcPr>
          <w:p w14:paraId="6C31A09D">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0.01353989</w:t>
            </w:r>
          </w:p>
        </w:tc>
        <w:tc>
          <w:tcPr>
            <w:tcW w:w="213" w:type="pct"/>
            <w:shd w:val="clear" w:color="auto" w:fill="auto"/>
            <w:vAlign w:val="center"/>
          </w:tcPr>
          <w:p w14:paraId="46EB983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70</w:t>
            </w:r>
          </w:p>
        </w:tc>
        <w:tc>
          <w:tcPr>
            <w:tcW w:w="374" w:type="pct"/>
            <w:shd w:val="clear" w:color="auto" w:fill="auto"/>
            <w:vAlign w:val="center"/>
          </w:tcPr>
          <w:p w14:paraId="573B4AE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175.7029</w:t>
            </w:r>
          </w:p>
        </w:tc>
        <w:tc>
          <w:tcPr>
            <w:tcW w:w="230" w:type="pct"/>
            <w:shd w:val="clear" w:color="auto" w:fill="auto"/>
            <w:vAlign w:val="center"/>
          </w:tcPr>
          <w:p w14:paraId="18B44580">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rPr>
              <w:t>500</w:t>
            </w:r>
          </w:p>
        </w:tc>
        <w:tc>
          <w:tcPr>
            <w:tcW w:w="412" w:type="pct"/>
            <w:vAlign w:val="center"/>
          </w:tcPr>
          <w:p w14:paraId="56DAF5F9">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667.2563</w:t>
            </w:r>
          </w:p>
        </w:tc>
        <w:tc>
          <w:tcPr>
            <w:tcW w:w="267" w:type="pct"/>
            <w:shd w:val="clear" w:color="auto" w:fill="auto"/>
            <w:vAlign w:val="center"/>
          </w:tcPr>
          <w:p w14:paraId="291B2D5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70</w:t>
            </w:r>
          </w:p>
        </w:tc>
        <w:tc>
          <w:tcPr>
            <w:tcW w:w="374" w:type="pct"/>
            <w:shd w:val="clear" w:color="auto" w:fill="auto"/>
            <w:vAlign w:val="center"/>
          </w:tcPr>
          <w:p w14:paraId="12A670C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1641D29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70</w:t>
            </w:r>
          </w:p>
        </w:tc>
        <w:tc>
          <w:tcPr>
            <w:tcW w:w="373" w:type="pct"/>
            <w:vAlign w:val="center"/>
          </w:tcPr>
          <w:p w14:paraId="7638E98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0.0003373523</w:t>
            </w:r>
          </w:p>
        </w:tc>
        <w:tc>
          <w:tcPr>
            <w:tcW w:w="222" w:type="pct"/>
            <w:shd w:val="clear" w:color="auto" w:fill="auto"/>
            <w:vAlign w:val="center"/>
          </w:tcPr>
          <w:p w14:paraId="0064F2B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70</w:t>
            </w:r>
          </w:p>
        </w:tc>
        <w:tc>
          <w:tcPr>
            <w:tcW w:w="420" w:type="pct"/>
            <w:shd w:val="clear" w:color="auto" w:fill="auto"/>
            <w:vAlign w:val="center"/>
          </w:tcPr>
          <w:p w14:paraId="3BBFE8F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4.377716</w:t>
            </w:r>
          </w:p>
        </w:tc>
        <w:tc>
          <w:tcPr>
            <w:tcW w:w="257" w:type="pct"/>
            <w:vAlign w:val="center"/>
          </w:tcPr>
          <w:p w14:paraId="4C5A069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500</w:t>
            </w:r>
          </w:p>
        </w:tc>
        <w:tc>
          <w:tcPr>
            <w:tcW w:w="404" w:type="pct"/>
            <w:vAlign w:val="center"/>
          </w:tcPr>
          <w:p w14:paraId="34BB4DB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16.87414</w:t>
            </w:r>
          </w:p>
        </w:tc>
      </w:tr>
      <w:tr w14:paraId="4FC20E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2D9B435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80</w:t>
            </w:r>
          </w:p>
        </w:tc>
        <w:tc>
          <w:tcPr>
            <w:tcW w:w="435" w:type="pct"/>
            <w:shd w:val="clear" w:color="auto" w:fill="auto"/>
            <w:vAlign w:val="center"/>
          </w:tcPr>
          <w:p w14:paraId="387440EB">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5EEB540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80</w:t>
            </w:r>
          </w:p>
        </w:tc>
        <w:tc>
          <w:tcPr>
            <w:tcW w:w="358" w:type="pct"/>
            <w:vAlign w:val="center"/>
          </w:tcPr>
          <w:p w14:paraId="05049161">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0.0002383307</w:t>
            </w:r>
          </w:p>
        </w:tc>
        <w:tc>
          <w:tcPr>
            <w:tcW w:w="213" w:type="pct"/>
            <w:shd w:val="clear" w:color="auto" w:fill="auto"/>
            <w:vAlign w:val="center"/>
          </w:tcPr>
          <w:p w14:paraId="1B49E61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80</w:t>
            </w:r>
          </w:p>
        </w:tc>
        <w:tc>
          <w:tcPr>
            <w:tcW w:w="374" w:type="pct"/>
            <w:shd w:val="clear" w:color="auto" w:fill="auto"/>
            <w:vAlign w:val="center"/>
          </w:tcPr>
          <w:p w14:paraId="7D0DE95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76.62572</w:t>
            </w:r>
          </w:p>
        </w:tc>
        <w:tc>
          <w:tcPr>
            <w:tcW w:w="230" w:type="pct"/>
            <w:shd w:val="clear" w:color="auto" w:fill="auto"/>
            <w:vAlign w:val="center"/>
          </w:tcPr>
          <w:p w14:paraId="19BE4DCF">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600</w:t>
            </w:r>
          </w:p>
        </w:tc>
        <w:tc>
          <w:tcPr>
            <w:tcW w:w="412" w:type="pct"/>
            <w:vAlign w:val="center"/>
          </w:tcPr>
          <w:p w14:paraId="34BBBA84">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189.6491</w:t>
            </w:r>
          </w:p>
        </w:tc>
        <w:tc>
          <w:tcPr>
            <w:tcW w:w="267" w:type="pct"/>
            <w:shd w:val="clear" w:color="auto" w:fill="auto"/>
            <w:vAlign w:val="center"/>
          </w:tcPr>
          <w:p w14:paraId="20EF3C4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80</w:t>
            </w:r>
          </w:p>
        </w:tc>
        <w:tc>
          <w:tcPr>
            <w:tcW w:w="374" w:type="pct"/>
            <w:shd w:val="clear" w:color="auto" w:fill="auto"/>
            <w:vAlign w:val="center"/>
          </w:tcPr>
          <w:p w14:paraId="14E795C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136AD3E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80</w:t>
            </w:r>
          </w:p>
        </w:tc>
        <w:tc>
          <w:tcPr>
            <w:tcW w:w="373" w:type="pct"/>
            <w:vAlign w:val="center"/>
          </w:tcPr>
          <w:p w14:paraId="04503D7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5.938116E-06</w:t>
            </w:r>
          </w:p>
        </w:tc>
        <w:tc>
          <w:tcPr>
            <w:tcW w:w="222" w:type="pct"/>
            <w:shd w:val="clear" w:color="auto" w:fill="auto"/>
            <w:vAlign w:val="center"/>
          </w:tcPr>
          <w:p w14:paraId="1553552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80</w:t>
            </w:r>
          </w:p>
        </w:tc>
        <w:tc>
          <w:tcPr>
            <w:tcW w:w="420" w:type="pct"/>
            <w:shd w:val="clear" w:color="auto" w:fill="auto"/>
            <w:vAlign w:val="center"/>
          </w:tcPr>
          <w:p w14:paraId="38F5845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1.909164</w:t>
            </w:r>
          </w:p>
        </w:tc>
        <w:tc>
          <w:tcPr>
            <w:tcW w:w="257" w:type="pct"/>
            <w:vAlign w:val="center"/>
          </w:tcPr>
          <w:p w14:paraId="3DE3D88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600</w:t>
            </w:r>
          </w:p>
        </w:tc>
        <w:tc>
          <w:tcPr>
            <w:tcW w:w="404" w:type="pct"/>
            <w:vAlign w:val="center"/>
          </w:tcPr>
          <w:p w14:paraId="68F6665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 xml:space="preserve"> 4.725192</w:t>
            </w:r>
          </w:p>
        </w:tc>
      </w:tr>
      <w:tr w14:paraId="64D027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62A9688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90</w:t>
            </w:r>
          </w:p>
        </w:tc>
        <w:tc>
          <w:tcPr>
            <w:tcW w:w="435" w:type="pct"/>
            <w:shd w:val="clear" w:color="auto" w:fill="auto"/>
            <w:vAlign w:val="center"/>
          </w:tcPr>
          <w:p w14:paraId="181B83CC">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729BD58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90</w:t>
            </w:r>
          </w:p>
        </w:tc>
        <w:tc>
          <w:tcPr>
            <w:tcW w:w="358" w:type="pct"/>
            <w:vAlign w:val="center"/>
          </w:tcPr>
          <w:p w14:paraId="5F5C0452">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1.283412E-06</w:t>
            </w:r>
          </w:p>
        </w:tc>
        <w:tc>
          <w:tcPr>
            <w:tcW w:w="213" w:type="pct"/>
            <w:shd w:val="clear" w:color="auto" w:fill="auto"/>
            <w:vAlign w:val="center"/>
          </w:tcPr>
          <w:p w14:paraId="681E9AE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90</w:t>
            </w:r>
          </w:p>
        </w:tc>
        <w:tc>
          <w:tcPr>
            <w:tcW w:w="374" w:type="pct"/>
            <w:shd w:val="clear" w:color="auto" w:fill="auto"/>
            <w:vAlign w:val="center"/>
          </w:tcPr>
          <w:p w14:paraId="792A477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26.93253</w:t>
            </w:r>
          </w:p>
        </w:tc>
        <w:tc>
          <w:tcPr>
            <w:tcW w:w="230" w:type="pct"/>
            <w:shd w:val="clear" w:color="auto" w:fill="auto"/>
            <w:vAlign w:val="center"/>
          </w:tcPr>
          <w:p w14:paraId="6604AA79">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650</w:t>
            </w:r>
          </w:p>
        </w:tc>
        <w:tc>
          <w:tcPr>
            <w:tcW w:w="412" w:type="pct"/>
            <w:vAlign w:val="center"/>
          </w:tcPr>
          <w:p w14:paraId="5C0CC2BD">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53.85739</w:t>
            </w:r>
          </w:p>
        </w:tc>
        <w:tc>
          <w:tcPr>
            <w:tcW w:w="267" w:type="pct"/>
            <w:shd w:val="clear" w:color="auto" w:fill="auto"/>
            <w:vAlign w:val="center"/>
          </w:tcPr>
          <w:p w14:paraId="7097C43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90</w:t>
            </w:r>
          </w:p>
        </w:tc>
        <w:tc>
          <w:tcPr>
            <w:tcW w:w="374" w:type="pct"/>
            <w:shd w:val="clear" w:color="auto" w:fill="auto"/>
            <w:vAlign w:val="center"/>
          </w:tcPr>
          <w:p w14:paraId="09507AD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6F84FE0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90</w:t>
            </w:r>
          </w:p>
        </w:tc>
        <w:tc>
          <w:tcPr>
            <w:tcW w:w="373" w:type="pct"/>
            <w:vAlign w:val="center"/>
          </w:tcPr>
          <w:p w14:paraId="5C12BC7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3.197679E-08</w:t>
            </w:r>
          </w:p>
        </w:tc>
        <w:tc>
          <w:tcPr>
            <w:tcW w:w="222" w:type="pct"/>
            <w:shd w:val="clear" w:color="auto" w:fill="auto"/>
            <w:vAlign w:val="center"/>
          </w:tcPr>
          <w:p w14:paraId="55D524B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90</w:t>
            </w:r>
          </w:p>
        </w:tc>
        <w:tc>
          <w:tcPr>
            <w:tcW w:w="420" w:type="pct"/>
            <w:shd w:val="clear" w:color="auto" w:fill="auto"/>
            <w:vAlign w:val="center"/>
          </w:tcPr>
          <w:p w14:paraId="6CEEEB4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0.6710361</w:t>
            </w:r>
          </w:p>
        </w:tc>
        <w:tc>
          <w:tcPr>
            <w:tcW w:w="257" w:type="pct"/>
            <w:vAlign w:val="center"/>
          </w:tcPr>
          <w:p w14:paraId="24C5F33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650</w:t>
            </w:r>
          </w:p>
        </w:tc>
        <w:tc>
          <w:tcPr>
            <w:tcW w:w="404" w:type="pct"/>
            <w:vAlign w:val="center"/>
          </w:tcPr>
          <w:p w14:paraId="591063C3">
            <w:pPr>
              <w:bidi w:val="0"/>
              <w:rPr>
                <w:rFonts w:hint="default" w:ascii="Times New Roman" w:hAnsi="Times New Roman" w:eastAsia="宋体" w:cs="Times New Roman"/>
                <w:color w:val="FF0000"/>
                <w:sz w:val="21"/>
                <w:szCs w:val="21"/>
                <w:highlight w:val="none"/>
              </w:rPr>
            </w:pPr>
            <w:r>
              <w:rPr>
                <w:rFonts w:hint="default" w:ascii="Times New Roman" w:hAnsi="Times New Roman" w:cs="Times New Roman"/>
                <w:color w:val="FF0000"/>
                <w:highlight w:val="none"/>
              </w:rPr>
              <w:t xml:space="preserve"> </w:t>
            </w:r>
            <w:r>
              <w:rPr>
                <w:rFonts w:hint="default" w:ascii="Times New Roman" w:hAnsi="Times New Roman" w:eastAsia="宋体" w:cs="Times New Roman"/>
                <w:color w:val="FF0000"/>
                <w:sz w:val="21"/>
                <w:szCs w:val="21"/>
                <w:highlight w:val="none"/>
                <w:lang w:eastAsia="zh-CN"/>
              </w:rPr>
              <w:t>1.341881</w:t>
            </w:r>
          </w:p>
        </w:tc>
      </w:tr>
      <w:tr w14:paraId="6141F1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2085568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w:t>
            </w:r>
          </w:p>
        </w:tc>
        <w:tc>
          <w:tcPr>
            <w:tcW w:w="435" w:type="pct"/>
            <w:shd w:val="clear" w:color="auto" w:fill="auto"/>
            <w:vAlign w:val="center"/>
          </w:tcPr>
          <w:p w14:paraId="3655D316">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158FBC8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w:t>
            </w:r>
          </w:p>
        </w:tc>
        <w:tc>
          <w:tcPr>
            <w:tcW w:w="358" w:type="pct"/>
            <w:vAlign w:val="center"/>
          </w:tcPr>
          <w:p w14:paraId="463F353E">
            <w:pPr>
              <w:bidi w:val="0"/>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5.918405E-09</w:t>
            </w:r>
          </w:p>
        </w:tc>
        <w:tc>
          <w:tcPr>
            <w:tcW w:w="213" w:type="pct"/>
            <w:shd w:val="clear" w:color="auto" w:fill="auto"/>
            <w:vAlign w:val="center"/>
          </w:tcPr>
          <w:p w14:paraId="01EA74F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w:t>
            </w:r>
          </w:p>
        </w:tc>
        <w:tc>
          <w:tcPr>
            <w:tcW w:w="374" w:type="pct"/>
            <w:shd w:val="clear" w:color="auto" w:fill="auto"/>
            <w:vAlign w:val="center"/>
          </w:tcPr>
          <w:p w14:paraId="1A95578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7.702593</w:t>
            </w:r>
          </w:p>
        </w:tc>
        <w:tc>
          <w:tcPr>
            <w:tcW w:w="230" w:type="pct"/>
            <w:shd w:val="clear" w:color="auto" w:fill="auto"/>
            <w:vAlign w:val="center"/>
          </w:tcPr>
          <w:p w14:paraId="6E4CD527">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700</w:t>
            </w:r>
          </w:p>
        </w:tc>
        <w:tc>
          <w:tcPr>
            <w:tcW w:w="412" w:type="pct"/>
            <w:vAlign w:val="center"/>
          </w:tcPr>
          <w:p w14:paraId="149A1F99">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9.405578</w:t>
            </w:r>
          </w:p>
        </w:tc>
        <w:tc>
          <w:tcPr>
            <w:tcW w:w="267" w:type="pct"/>
            <w:shd w:val="clear" w:color="auto" w:fill="auto"/>
            <w:vAlign w:val="center"/>
          </w:tcPr>
          <w:p w14:paraId="77BAEFB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w:t>
            </w:r>
          </w:p>
        </w:tc>
        <w:tc>
          <w:tcPr>
            <w:tcW w:w="374" w:type="pct"/>
            <w:shd w:val="clear" w:color="auto" w:fill="auto"/>
            <w:vAlign w:val="center"/>
          </w:tcPr>
          <w:p w14:paraId="598C50F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770A36B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w:t>
            </w:r>
          </w:p>
        </w:tc>
        <w:tc>
          <w:tcPr>
            <w:tcW w:w="373" w:type="pct"/>
            <w:vAlign w:val="center"/>
          </w:tcPr>
          <w:p w14:paraId="5DE3074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1.474597E-10</w:t>
            </w:r>
          </w:p>
        </w:tc>
        <w:tc>
          <w:tcPr>
            <w:tcW w:w="222" w:type="pct"/>
            <w:shd w:val="clear" w:color="auto" w:fill="auto"/>
            <w:vAlign w:val="center"/>
          </w:tcPr>
          <w:p w14:paraId="699A997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w:t>
            </w:r>
          </w:p>
        </w:tc>
        <w:tc>
          <w:tcPr>
            <w:tcW w:w="420" w:type="pct"/>
            <w:shd w:val="clear" w:color="auto" w:fill="auto"/>
            <w:vAlign w:val="center"/>
          </w:tcPr>
          <w:p w14:paraId="6AFD407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0.1919135</w:t>
            </w:r>
          </w:p>
        </w:tc>
        <w:tc>
          <w:tcPr>
            <w:tcW w:w="257" w:type="pct"/>
            <w:vAlign w:val="center"/>
          </w:tcPr>
          <w:p w14:paraId="109E185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700</w:t>
            </w:r>
          </w:p>
        </w:tc>
        <w:tc>
          <w:tcPr>
            <w:tcW w:w="404" w:type="pct"/>
            <w:vAlign w:val="center"/>
          </w:tcPr>
          <w:p w14:paraId="1C1809F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0.2343442</w:t>
            </w:r>
          </w:p>
        </w:tc>
      </w:tr>
      <w:tr w14:paraId="7CF3F3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39D07BB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110</w:t>
            </w:r>
          </w:p>
        </w:tc>
        <w:tc>
          <w:tcPr>
            <w:tcW w:w="435" w:type="pct"/>
            <w:shd w:val="clear" w:color="auto" w:fill="auto"/>
            <w:vAlign w:val="center"/>
          </w:tcPr>
          <w:p w14:paraId="0E26EB0F">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06144E2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110</w:t>
            </w:r>
          </w:p>
        </w:tc>
        <w:tc>
          <w:tcPr>
            <w:tcW w:w="358" w:type="pct"/>
            <w:vAlign w:val="center"/>
          </w:tcPr>
          <w:p w14:paraId="5408093C">
            <w:pPr>
              <w:bidi w:val="0"/>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1.486999E-11</w:t>
            </w:r>
          </w:p>
        </w:tc>
        <w:tc>
          <w:tcPr>
            <w:tcW w:w="213" w:type="pct"/>
            <w:shd w:val="clear" w:color="auto" w:fill="auto"/>
            <w:vAlign w:val="center"/>
          </w:tcPr>
          <w:p w14:paraId="53572A6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110</w:t>
            </w:r>
          </w:p>
        </w:tc>
        <w:tc>
          <w:tcPr>
            <w:tcW w:w="374" w:type="pct"/>
            <w:shd w:val="clear" w:color="auto" w:fill="auto"/>
            <w:vAlign w:val="center"/>
          </w:tcPr>
          <w:p w14:paraId="5203531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0.2063813</w:t>
            </w:r>
          </w:p>
        </w:tc>
        <w:tc>
          <w:tcPr>
            <w:tcW w:w="230" w:type="pct"/>
            <w:shd w:val="clear" w:color="auto" w:fill="auto"/>
            <w:vAlign w:val="center"/>
          </w:tcPr>
          <w:p w14:paraId="64977BBC">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750</w:t>
            </w:r>
          </w:p>
        </w:tc>
        <w:tc>
          <w:tcPr>
            <w:tcW w:w="412" w:type="pct"/>
            <w:vAlign w:val="center"/>
          </w:tcPr>
          <w:p w14:paraId="2272C818">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0.982464</w:t>
            </w:r>
          </w:p>
        </w:tc>
        <w:tc>
          <w:tcPr>
            <w:tcW w:w="267" w:type="pct"/>
            <w:shd w:val="clear" w:color="auto" w:fill="auto"/>
            <w:vAlign w:val="center"/>
          </w:tcPr>
          <w:p w14:paraId="287310A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110</w:t>
            </w:r>
          </w:p>
        </w:tc>
        <w:tc>
          <w:tcPr>
            <w:tcW w:w="374" w:type="pct"/>
            <w:shd w:val="clear" w:color="auto" w:fill="auto"/>
            <w:vAlign w:val="center"/>
          </w:tcPr>
          <w:p w14:paraId="615342B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5232609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110</w:t>
            </w:r>
          </w:p>
        </w:tc>
        <w:tc>
          <w:tcPr>
            <w:tcW w:w="373" w:type="pct"/>
            <w:vAlign w:val="center"/>
          </w:tcPr>
          <w:p w14:paraId="71B01DA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3.704925E-13</w:t>
            </w:r>
          </w:p>
        </w:tc>
        <w:tc>
          <w:tcPr>
            <w:tcW w:w="222" w:type="pct"/>
            <w:shd w:val="clear" w:color="auto" w:fill="auto"/>
            <w:vAlign w:val="center"/>
          </w:tcPr>
          <w:p w14:paraId="0C6D79B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110</w:t>
            </w:r>
          </w:p>
        </w:tc>
        <w:tc>
          <w:tcPr>
            <w:tcW w:w="420" w:type="pct"/>
            <w:shd w:val="clear" w:color="auto" w:fill="auto"/>
            <w:vAlign w:val="center"/>
          </w:tcPr>
          <w:p w14:paraId="5EE40FD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 xml:space="preserve"> 0.04274802</w:t>
            </w:r>
          </w:p>
        </w:tc>
        <w:tc>
          <w:tcPr>
            <w:tcW w:w="257" w:type="pct"/>
            <w:vAlign w:val="center"/>
          </w:tcPr>
          <w:p w14:paraId="6E3F9BB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750</w:t>
            </w:r>
          </w:p>
        </w:tc>
        <w:tc>
          <w:tcPr>
            <w:tcW w:w="404" w:type="pct"/>
            <w:vAlign w:val="center"/>
          </w:tcPr>
          <w:p w14:paraId="1944BC2E">
            <w:pPr>
              <w:bidi w:val="0"/>
              <w:rPr>
                <w:rFonts w:hint="default" w:ascii="Times New Roman" w:hAnsi="Times New Roman" w:eastAsia="宋体" w:cs="Times New Roman"/>
                <w:color w:val="FF0000"/>
                <w:sz w:val="21"/>
                <w:szCs w:val="21"/>
                <w:highlight w:val="none"/>
              </w:rPr>
            </w:pPr>
            <w:r>
              <w:rPr>
                <w:rFonts w:hint="default" w:ascii="Times New Roman" w:hAnsi="Times New Roman" w:cs="Times New Roman"/>
                <w:color w:val="FF0000"/>
                <w:highlight w:val="none"/>
              </w:rPr>
              <w:t>0.02447853</w:t>
            </w:r>
          </w:p>
        </w:tc>
      </w:tr>
      <w:tr w14:paraId="3BAA99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35CA7CF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120</w:t>
            </w:r>
          </w:p>
        </w:tc>
        <w:tc>
          <w:tcPr>
            <w:tcW w:w="435" w:type="pct"/>
            <w:shd w:val="clear" w:color="auto" w:fill="auto"/>
            <w:vAlign w:val="center"/>
          </w:tcPr>
          <w:p w14:paraId="3429B47A">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3EFD797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120</w:t>
            </w:r>
          </w:p>
        </w:tc>
        <w:tc>
          <w:tcPr>
            <w:tcW w:w="358" w:type="pct"/>
            <w:vAlign w:val="center"/>
          </w:tcPr>
          <w:p w14:paraId="1D2ADA6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100A408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120</w:t>
            </w:r>
          </w:p>
        </w:tc>
        <w:tc>
          <w:tcPr>
            <w:tcW w:w="374" w:type="pct"/>
            <w:shd w:val="clear" w:color="auto" w:fill="auto"/>
            <w:vAlign w:val="center"/>
          </w:tcPr>
          <w:p w14:paraId="745AF02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0.2063813</w:t>
            </w:r>
          </w:p>
        </w:tc>
        <w:tc>
          <w:tcPr>
            <w:tcW w:w="230" w:type="pct"/>
            <w:shd w:val="clear" w:color="auto" w:fill="auto"/>
            <w:vAlign w:val="center"/>
          </w:tcPr>
          <w:p w14:paraId="5FBB27CF">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rPr>
              <w:t>800</w:t>
            </w:r>
          </w:p>
        </w:tc>
        <w:tc>
          <w:tcPr>
            <w:tcW w:w="412" w:type="pct"/>
            <w:vAlign w:val="center"/>
          </w:tcPr>
          <w:p w14:paraId="29F319ED">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0.06035409</w:t>
            </w:r>
          </w:p>
        </w:tc>
        <w:tc>
          <w:tcPr>
            <w:tcW w:w="267" w:type="pct"/>
            <w:shd w:val="clear" w:color="auto" w:fill="auto"/>
            <w:vAlign w:val="center"/>
          </w:tcPr>
          <w:p w14:paraId="6E3657E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120</w:t>
            </w:r>
          </w:p>
        </w:tc>
        <w:tc>
          <w:tcPr>
            <w:tcW w:w="374" w:type="pct"/>
            <w:shd w:val="clear" w:color="auto" w:fill="auto"/>
            <w:vAlign w:val="center"/>
          </w:tcPr>
          <w:p w14:paraId="35D6818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0134A8D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120</w:t>
            </w:r>
          </w:p>
        </w:tc>
        <w:tc>
          <w:tcPr>
            <w:tcW w:w="373" w:type="pct"/>
            <w:vAlign w:val="center"/>
          </w:tcPr>
          <w:p w14:paraId="5C3EC0F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6E7D6A5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120</w:t>
            </w:r>
          </w:p>
        </w:tc>
        <w:tc>
          <w:tcPr>
            <w:tcW w:w="420" w:type="pct"/>
            <w:shd w:val="clear" w:color="auto" w:fill="auto"/>
            <w:vAlign w:val="center"/>
          </w:tcPr>
          <w:p w14:paraId="5C649FA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0.005142083</w:t>
            </w:r>
          </w:p>
        </w:tc>
        <w:tc>
          <w:tcPr>
            <w:tcW w:w="257" w:type="pct"/>
            <w:vAlign w:val="center"/>
          </w:tcPr>
          <w:p w14:paraId="1B4CED9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800</w:t>
            </w:r>
          </w:p>
        </w:tc>
        <w:tc>
          <w:tcPr>
            <w:tcW w:w="404" w:type="pct"/>
            <w:vAlign w:val="center"/>
          </w:tcPr>
          <w:p w14:paraId="71433DE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0.001503749</w:t>
            </w:r>
          </w:p>
        </w:tc>
      </w:tr>
      <w:tr w14:paraId="4D344C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1ACC50E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130</w:t>
            </w:r>
          </w:p>
        </w:tc>
        <w:tc>
          <w:tcPr>
            <w:tcW w:w="435" w:type="pct"/>
            <w:shd w:val="clear" w:color="auto" w:fill="auto"/>
            <w:vAlign w:val="center"/>
          </w:tcPr>
          <w:p w14:paraId="2B4855C8">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110FA56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130</w:t>
            </w:r>
          </w:p>
        </w:tc>
        <w:tc>
          <w:tcPr>
            <w:tcW w:w="358" w:type="pct"/>
            <w:vAlign w:val="center"/>
          </w:tcPr>
          <w:p w14:paraId="2049792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3DB87B2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130</w:t>
            </w:r>
          </w:p>
        </w:tc>
        <w:tc>
          <w:tcPr>
            <w:tcW w:w="374" w:type="pct"/>
            <w:shd w:val="clear" w:color="auto" w:fill="auto"/>
            <w:vAlign w:val="center"/>
          </w:tcPr>
          <w:p w14:paraId="69590EF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0.02810552</w:t>
            </w:r>
          </w:p>
        </w:tc>
        <w:tc>
          <w:tcPr>
            <w:tcW w:w="230" w:type="pct"/>
            <w:shd w:val="clear" w:color="auto" w:fill="auto"/>
            <w:vAlign w:val="center"/>
          </w:tcPr>
          <w:p w14:paraId="189FC903">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850</w:t>
            </w:r>
          </w:p>
        </w:tc>
        <w:tc>
          <w:tcPr>
            <w:tcW w:w="412" w:type="pct"/>
            <w:vAlign w:val="center"/>
          </w:tcPr>
          <w:p w14:paraId="44EF432B">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0.002157397</w:t>
            </w:r>
          </w:p>
        </w:tc>
        <w:tc>
          <w:tcPr>
            <w:tcW w:w="267" w:type="pct"/>
            <w:shd w:val="clear" w:color="auto" w:fill="auto"/>
            <w:vAlign w:val="center"/>
          </w:tcPr>
          <w:p w14:paraId="29F0A29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130</w:t>
            </w:r>
          </w:p>
        </w:tc>
        <w:tc>
          <w:tcPr>
            <w:tcW w:w="374" w:type="pct"/>
            <w:shd w:val="clear" w:color="auto" w:fill="auto"/>
            <w:vAlign w:val="center"/>
          </w:tcPr>
          <w:p w14:paraId="0F9B1A4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4C4C0D4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130</w:t>
            </w:r>
          </w:p>
        </w:tc>
        <w:tc>
          <w:tcPr>
            <w:tcW w:w="373" w:type="pct"/>
            <w:vAlign w:val="center"/>
          </w:tcPr>
          <w:p w14:paraId="1CA7385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562819C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130</w:t>
            </w:r>
          </w:p>
        </w:tc>
        <w:tc>
          <w:tcPr>
            <w:tcW w:w="420" w:type="pct"/>
            <w:shd w:val="clear" w:color="auto" w:fill="auto"/>
            <w:vAlign w:val="center"/>
          </w:tcPr>
          <w:p w14:paraId="5B718A0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0.0007002616</w:t>
            </w:r>
          </w:p>
        </w:tc>
        <w:tc>
          <w:tcPr>
            <w:tcW w:w="257" w:type="pct"/>
            <w:vAlign w:val="center"/>
          </w:tcPr>
          <w:p w14:paraId="2DCA461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850</w:t>
            </w:r>
          </w:p>
        </w:tc>
        <w:tc>
          <w:tcPr>
            <w:tcW w:w="404" w:type="pct"/>
            <w:vAlign w:val="center"/>
          </w:tcPr>
          <w:p w14:paraId="43EF44E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5.375251E-05</w:t>
            </w:r>
          </w:p>
        </w:tc>
      </w:tr>
      <w:tr w14:paraId="7F6E38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6A5D513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140</w:t>
            </w:r>
          </w:p>
        </w:tc>
        <w:tc>
          <w:tcPr>
            <w:tcW w:w="435" w:type="pct"/>
            <w:shd w:val="clear" w:color="auto" w:fill="auto"/>
            <w:vAlign w:val="center"/>
          </w:tcPr>
          <w:p w14:paraId="1902A140">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14F0D30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140</w:t>
            </w:r>
          </w:p>
        </w:tc>
        <w:tc>
          <w:tcPr>
            <w:tcW w:w="358" w:type="pct"/>
            <w:vAlign w:val="center"/>
          </w:tcPr>
          <w:p w14:paraId="75DD08B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3BA4256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140</w:t>
            </w:r>
          </w:p>
        </w:tc>
        <w:tc>
          <w:tcPr>
            <w:tcW w:w="374" w:type="pct"/>
            <w:shd w:val="clear" w:color="auto" w:fill="auto"/>
            <w:vAlign w:val="center"/>
          </w:tcPr>
          <w:p w14:paraId="233BC0D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 xml:space="preserve"> 0.003016514</w:t>
            </w:r>
          </w:p>
        </w:tc>
        <w:tc>
          <w:tcPr>
            <w:tcW w:w="230" w:type="pct"/>
            <w:shd w:val="clear" w:color="auto" w:fill="auto"/>
            <w:vAlign w:val="center"/>
          </w:tcPr>
          <w:p w14:paraId="46623C45">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900</w:t>
            </w:r>
          </w:p>
        </w:tc>
        <w:tc>
          <w:tcPr>
            <w:tcW w:w="412" w:type="pct"/>
            <w:vAlign w:val="center"/>
          </w:tcPr>
          <w:p w14:paraId="41AEEB13">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4.455913E-05</w:t>
            </w:r>
          </w:p>
        </w:tc>
        <w:tc>
          <w:tcPr>
            <w:tcW w:w="267" w:type="pct"/>
            <w:shd w:val="clear" w:color="auto" w:fill="auto"/>
            <w:vAlign w:val="center"/>
          </w:tcPr>
          <w:p w14:paraId="6E7D00B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140</w:t>
            </w:r>
          </w:p>
        </w:tc>
        <w:tc>
          <w:tcPr>
            <w:tcW w:w="374" w:type="pct"/>
            <w:shd w:val="clear" w:color="auto" w:fill="auto"/>
            <w:vAlign w:val="center"/>
          </w:tcPr>
          <w:p w14:paraId="4C91F50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1672DBF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140</w:t>
            </w:r>
          </w:p>
        </w:tc>
        <w:tc>
          <w:tcPr>
            <w:tcW w:w="373" w:type="pct"/>
            <w:vAlign w:val="center"/>
          </w:tcPr>
          <w:p w14:paraId="4F6CC62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1AFAADF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140</w:t>
            </w:r>
          </w:p>
        </w:tc>
        <w:tc>
          <w:tcPr>
            <w:tcW w:w="420" w:type="pct"/>
            <w:shd w:val="clear" w:color="auto" w:fill="auto"/>
            <w:vAlign w:val="center"/>
          </w:tcPr>
          <w:p w14:paraId="1DEFE65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7.515778E-05</w:t>
            </w:r>
          </w:p>
        </w:tc>
        <w:tc>
          <w:tcPr>
            <w:tcW w:w="257" w:type="pct"/>
            <w:vAlign w:val="center"/>
          </w:tcPr>
          <w:p w14:paraId="1764981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900</w:t>
            </w:r>
          </w:p>
        </w:tc>
        <w:tc>
          <w:tcPr>
            <w:tcW w:w="404" w:type="pct"/>
            <w:vAlign w:val="center"/>
          </w:tcPr>
          <w:p w14:paraId="092C315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1.110211E-06</w:t>
            </w:r>
          </w:p>
        </w:tc>
      </w:tr>
      <w:tr w14:paraId="7A0B06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428C2B7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150</w:t>
            </w:r>
          </w:p>
        </w:tc>
        <w:tc>
          <w:tcPr>
            <w:tcW w:w="435" w:type="pct"/>
            <w:shd w:val="clear" w:color="auto" w:fill="auto"/>
            <w:vAlign w:val="center"/>
          </w:tcPr>
          <w:p w14:paraId="166BE52C">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44438F4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150</w:t>
            </w:r>
          </w:p>
        </w:tc>
        <w:tc>
          <w:tcPr>
            <w:tcW w:w="358" w:type="pct"/>
            <w:vAlign w:val="center"/>
          </w:tcPr>
          <w:p w14:paraId="6EDC0C1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0AC8361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150</w:t>
            </w:r>
          </w:p>
        </w:tc>
        <w:tc>
          <w:tcPr>
            <w:tcW w:w="374" w:type="pct"/>
            <w:shd w:val="clear" w:color="auto" w:fill="auto"/>
            <w:vAlign w:val="center"/>
          </w:tcPr>
          <w:p w14:paraId="3DCF7CC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 xml:space="preserve"> 0.0002546622</w:t>
            </w:r>
          </w:p>
        </w:tc>
        <w:tc>
          <w:tcPr>
            <w:tcW w:w="230" w:type="pct"/>
            <w:shd w:val="clear" w:color="auto" w:fill="auto"/>
            <w:vAlign w:val="center"/>
          </w:tcPr>
          <w:p w14:paraId="5BF38EA6">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910</w:t>
            </w:r>
          </w:p>
        </w:tc>
        <w:tc>
          <w:tcPr>
            <w:tcW w:w="412" w:type="pct"/>
            <w:vAlign w:val="center"/>
          </w:tcPr>
          <w:p w14:paraId="29B46FC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1.919354E-05</w:t>
            </w:r>
          </w:p>
        </w:tc>
        <w:tc>
          <w:tcPr>
            <w:tcW w:w="267" w:type="pct"/>
            <w:shd w:val="clear" w:color="auto" w:fill="auto"/>
            <w:vAlign w:val="center"/>
          </w:tcPr>
          <w:p w14:paraId="0A30768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150</w:t>
            </w:r>
          </w:p>
        </w:tc>
        <w:tc>
          <w:tcPr>
            <w:tcW w:w="374" w:type="pct"/>
            <w:shd w:val="clear" w:color="auto" w:fill="auto"/>
            <w:vAlign w:val="center"/>
          </w:tcPr>
          <w:p w14:paraId="004058C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3F9AE9E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150</w:t>
            </w:r>
          </w:p>
        </w:tc>
        <w:tc>
          <w:tcPr>
            <w:tcW w:w="373" w:type="pct"/>
            <w:vAlign w:val="center"/>
          </w:tcPr>
          <w:p w14:paraId="350BA5A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1ADDAC2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150</w:t>
            </w:r>
          </w:p>
        </w:tc>
        <w:tc>
          <w:tcPr>
            <w:tcW w:w="420" w:type="pct"/>
            <w:shd w:val="clear" w:color="auto" w:fill="auto"/>
            <w:vAlign w:val="center"/>
          </w:tcPr>
          <w:p w14:paraId="4522943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6.345023E-06</w:t>
            </w:r>
          </w:p>
        </w:tc>
        <w:tc>
          <w:tcPr>
            <w:tcW w:w="257" w:type="pct"/>
            <w:vAlign w:val="center"/>
          </w:tcPr>
          <w:p w14:paraId="5A9CA3F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910</w:t>
            </w:r>
          </w:p>
        </w:tc>
        <w:tc>
          <w:tcPr>
            <w:tcW w:w="404" w:type="pct"/>
            <w:vAlign w:val="center"/>
          </w:tcPr>
          <w:p w14:paraId="464C594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4.782156E-07</w:t>
            </w:r>
          </w:p>
        </w:tc>
      </w:tr>
      <w:tr w14:paraId="731FEA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13FA2FA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160</w:t>
            </w:r>
          </w:p>
        </w:tc>
        <w:tc>
          <w:tcPr>
            <w:tcW w:w="435" w:type="pct"/>
            <w:shd w:val="clear" w:color="auto" w:fill="auto"/>
            <w:vAlign w:val="center"/>
          </w:tcPr>
          <w:p w14:paraId="00028152">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7B27D8F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160</w:t>
            </w:r>
          </w:p>
        </w:tc>
        <w:tc>
          <w:tcPr>
            <w:tcW w:w="358" w:type="pct"/>
            <w:vAlign w:val="center"/>
          </w:tcPr>
          <w:p w14:paraId="42BC569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4E5225F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160</w:t>
            </w:r>
          </w:p>
        </w:tc>
        <w:tc>
          <w:tcPr>
            <w:tcW w:w="374" w:type="pct"/>
            <w:shd w:val="clear" w:color="auto" w:fill="auto"/>
            <w:vAlign w:val="center"/>
          </w:tcPr>
          <w:p w14:paraId="4088138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1.688529E-05</w:t>
            </w:r>
          </w:p>
        </w:tc>
        <w:tc>
          <w:tcPr>
            <w:tcW w:w="230" w:type="pct"/>
            <w:shd w:val="clear" w:color="auto" w:fill="auto"/>
            <w:vAlign w:val="center"/>
          </w:tcPr>
          <w:p w14:paraId="3F6314B7">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920</w:t>
            </w:r>
          </w:p>
        </w:tc>
        <w:tc>
          <w:tcPr>
            <w:tcW w:w="412" w:type="pct"/>
            <w:vAlign w:val="center"/>
          </w:tcPr>
          <w:p w14:paraId="571E7A0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8.086218E-06</w:t>
            </w:r>
          </w:p>
        </w:tc>
        <w:tc>
          <w:tcPr>
            <w:tcW w:w="267" w:type="pct"/>
            <w:shd w:val="clear" w:color="auto" w:fill="auto"/>
            <w:vAlign w:val="center"/>
          </w:tcPr>
          <w:p w14:paraId="473D798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160</w:t>
            </w:r>
          </w:p>
        </w:tc>
        <w:tc>
          <w:tcPr>
            <w:tcW w:w="374" w:type="pct"/>
            <w:shd w:val="clear" w:color="auto" w:fill="auto"/>
            <w:vAlign w:val="center"/>
          </w:tcPr>
          <w:p w14:paraId="1C6BEEF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73BC033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160</w:t>
            </w:r>
          </w:p>
        </w:tc>
        <w:tc>
          <w:tcPr>
            <w:tcW w:w="373" w:type="pct"/>
            <w:vAlign w:val="center"/>
          </w:tcPr>
          <w:p w14:paraId="0ED3AA9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6943845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160</w:t>
            </w:r>
          </w:p>
        </w:tc>
        <w:tc>
          <w:tcPr>
            <w:tcW w:w="420" w:type="pct"/>
            <w:shd w:val="clear" w:color="auto" w:fill="auto"/>
            <w:vAlign w:val="center"/>
          </w:tcPr>
          <w:p w14:paraId="5E3A087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4.207046E-07</w:t>
            </w:r>
          </w:p>
        </w:tc>
        <w:tc>
          <w:tcPr>
            <w:tcW w:w="257" w:type="pct"/>
            <w:vAlign w:val="center"/>
          </w:tcPr>
          <w:p w14:paraId="7364139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920</w:t>
            </w:r>
          </w:p>
        </w:tc>
        <w:tc>
          <w:tcPr>
            <w:tcW w:w="404" w:type="pct"/>
            <w:vAlign w:val="center"/>
          </w:tcPr>
          <w:p w14:paraId="6150C84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2.014717E-07</w:t>
            </w:r>
          </w:p>
        </w:tc>
      </w:tr>
      <w:tr w14:paraId="61277F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2A6BEFF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170</w:t>
            </w:r>
          </w:p>
        </w:tc>
        <w:tc>
          <w:tcPr>
            <w:tcW w:w="435" w:type="pct"/>
            <w:shd w:val="clear" w:color="auto" w:fill="auto"/>
            <w:vAlign w:val="center"/>
          </w:tcPr>
          <w:p w14:paraId="09E119D1">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1BA826E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170</w:t>
            </w:r>
          </w:p>
        </w:tc>
        <w:tc>
          <w:tcPr>
            <w:tcW w:w="358" w:type="pct"/>
            <w:vAlign w:val="center"/>
          </w:tcPr>
          <w:p w14:paraId="1CE9BD7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4E17667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170</w:t>
            </w:r>
          </w:p>
        </w:tc>
        <w:tc>
          <w:tcPr>
            <w:tcW w:w="374" w:type="pct"/>
            <w:shd w:val="clear" w:color="auto" w:fill="auto"/>
            <w:vAlign w:val="center"/>
          </w:tcPr>
          <w:p w14:paraId="72C3897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8.782386E-07</w:t>
            </w:r>
          </w:p>
        </w:tc>
        <w:tc>
          <w:tcPr>
            <w:tcW w:w="230" w:type="pct"/>
            <w:shd w:val="clear" w:color="auto" w:fill="auto"/>
            <w:vAlign w:val="center"/>
          </w:tcPr>
          <w:p w14:paraId="527DCC69">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930</w:t>
            </w:r>
          </w:p>
        </w:tc>
        <w:tc>
          <w:tcPr>
            <w:tcW w:w="412" w:type="pct"/>
            <w:vAlign w:val="center"/>
          </w:tcPr>
          <w:p w14:paraId="3F17AFE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3.331925E-06</w:t>
            </w:r>
          </w:p>
        </w:tc>
        <w:tc>
          <w:tcPr>
            <w:tcW w:w="267" w:type="pct"/>
            <w:shd w:val="clear" w:color="auto" w:fill="auto"/>
            <w:vAlign w:val="center"/>
          </w:tcPr>
          <w:p w14:paraId="0AC365D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170</w:t>
            </w:r>
          </w:p>
        </w:tc>
        <w:tc>
          <w:tcPr>
            <w:tcW w:w="374" w:type="pct"/>
            <w:shd w:val="clear" w:color="auto" w:fill="auto"/>
            <w:vAlign w:val="center"/>
          </w:tcPr>
          <w:p w14:paraId="0526C2C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3B0BCFD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170</w:t>
            </w:r>
          </w:p>
        </w:tc>
        <w:tc>
          <w:tcPr>
            <w:tcW w:w="373" w:type="pct"/>
            <w:vAlign w:val="center"/>
          </w:tcPr>
          <w:p w14:paraId="4F31731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371979E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170</w:t>
            </w:r>
          </w:p>
        </w:tc>
        <w:tc>
          <w:tcPr>
            <w:tcW w:w="420" w:type="pct"/>
            <w:shd w:val="clear" w:color="auto" w:fill="auto"/>
            <w:vAlign w:val="center"/>
          </w:tcPr>
          <w:p w14:paraId="6767258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2.188171E-08</w:t>
            </w:r>
          </w:p>
        </w:tc>
        <w:tc>
          <w:tcPr>
            <w:tcW w:w="257" w:type="pct"/>
            <w:vAlign w:val="center"/>
          </w:tcPr>
          <w:p w14:paraId="7B17A13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930</w:t>
            </w:r>
          </w:p>
        </w:tc>
        <w:tc>
          <w:tcPr>
            <w:tcW w:w="404" w:type="pct"/>
            <w:vAlign w:val="center"/>
          </w:tcPr>
          <w:p w14:paraId="5491319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8.30164E-08</w:t>
            </w:r>
          </w:p>
        </w:tc>
      </w:tr>
      <w:tr w14:paraId="5B7BF7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7" w:type="pct"/>
            <w:shd w:val="clear" w:color="auto" w:fill="auto"/>
            <w:vAlign w:val="center"/>
          </w:tcPr>
          <w:p w14:paraId="4352A2E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180</w:t>
            </w:r>
          </w:p>
        </w:tc>
        <w:tc>
          <w:tcPr>
            <w:tcW w:w="435" w:type="pct"/>
            <w:shd w:val="clear" w:color="auto" w:fill="auto"/>
            <w:vAlign w:val="center"/>
          </w:tcPr>
          <w:p w14:paraId="544005C7">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372A944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180</w:t>
            </w:r>
          </w:p>
        </w:tc>
        <w:tc>
          <w:tcPr>
            <w:tcW w:w="358" w:type="pct"/>
            <w:vAlign w:val="center"/>
          </w:tcPr>
          <w:p w14:paraId="77878B0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25EEB6C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180</w:t>
            </w:r>
          </w:p>
        </w:tc>
        <w:tc>
          <w:tcPr>
            <w:tcW w:w="374" w:type="pct"/>
            <w:shd w:val="clear" w:color="auto" w:fill="auto"/>
            <w:vAlign w:val="center"/>
          </w:tcPr>
          <w:p w14:paraId="51E70C1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3.579749E-08</w:t>
            </w:r>
          </w:p>
        </w:tc>
        <w:tc>
          <w:tcPr>
            <w:tcW w:w="230" w:type="pct"/>
            <w:shd w:val="clear" w:color="auto" w:fill="auto"/>
            <w:vAlign w:val="center"/>
          </w:tcPr>
          <w:p w14:paraId="27C6DA38">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940</w:t>
            </w:r>
          </w:p>
        </w:tc>
        <w:tc>
          <w:tcPr>
            <w:tcW w:w="412" w:type="pct"/>
            <w:vAlign w:val="center"/>
          </w:tcPr>
          <w:p w14:paraId="12AE5B5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1.342742E-06</w:t>
            </w:r>
          </w:p>
        </w:tc>
        <w:tc>
          <w:tcPr>
            <w:tcW w:w="267" w:type="pct"/>
            <w:shd w:val="clear" w:color="auto" w:fill="auto"/>
            <w:vAlign w:val="center"/>
          </w:tcPr>
          <w:p w14:paraId="45F370B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180</w:t>
            </w:r>
          </w:p>
        </w:tc>
        <w:tc>
          <w:tcPr>
            <w:tcW w:w="374" w:type="pct"/>
            <w:shd w:val="clear" w:color="auto" w:fill="auto"/>
            <w:vAlign w:val="center"/>
          </w:tcPr>
          <w:p w14:paraId="2737572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11180C2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180</w:t>
            </w:r>
          </w:p>
        </w:tc>
        <w:tc>
          <w:tcPr>
            <w:tcW w:w="373" w:type="pct"/>
            <w:vAlign w:val="center"/>
          </w:tcPr>
          <w:p w14:paraId="6296ED7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5321AC8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180</w:t>
            </w:r>
          </w:p>
        </w:tc>
        <w:tc>
          <w:tcPr>
            <w:tcW w:w="420" w:type="pct"/>
            <w:shd w:val="clear" w:color="auto" w:fill="auto"/>
            <w:vAlign w:val="center"/>
          </w:tcPr>
          <w:p w14:paraId="4DE481E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8.919105E-10</w:t>
            </w:r>
          </w:p>
        </w:tc>
        <w:tc>
          <w:tcPr>
            <w:tcW w:w="257" w:type="pct"/>
            <w:vAlign w:val="center"/>
          </w:tcPr>
          <w:p w14:paraId="525819A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940</w:t>
            </w:r>
          </w:p>
        </w:tc>
        <w:tc>
          <w:tcPr>
            <w:tcW w:w="404" w:type="pct"/>
            <w:vAlign w:val="center"/>
          </w:tcPr>
          <w:p w14:paraId="18DC6E3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3.345501E-08</w:t>
            </w:r>
          </w:p>
        </w:tc>
      </w:tr>
      <w:tr w14:paraId="553E3D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3DD1436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190</w:t>
            </w:r>
          </w:p>
        </w:tc>
        <w:tc>
          <w:tcPr>
            <w:tcW w:w="435" w:type="pct"/>
            <w:shd w:val="clear" w:color="auto" w:fill="auto"/>
            <w:vAlign w:val="center"/>
          </w:tcPr>
          <w:p w14:paraId="2013C8F2">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3210AF6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190</w:t>
            </w:r>
          </w:p>
        </w:tc>
        <w:tc>
          <w:tcPr>
            <w:tcW w:w="358" w:type="pct"/>
            <w:vAlign w:val="center"/>
          </w:tcPr>
          <w:p w14:paraId="4526B55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79070AF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190</w:t>
            </w:r>
          </w:p>
        </w:tc>
        <w:tc>
          <w:tcPr>
            <w:tcW w:w="374" w:type="pct"/>
            <w:shd w:val="clear" w:color="auto" w:fill="auto"/>
            <w:vAlign w:val="center"/>
          </w:tcPr>
          <w:p w14:paraId="1E3D83F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1.142577E-09</w:t>
            </w:r>
          </w:p>
        </w:tc>
        <w:tc>
          <w:tcPr>
            <w:tcW w:w="230" w:type="pct"/>
            <w:shd w:val="clear" w:color="auto" w:fill="auto"/>
            <w:vAlign w:val="center"/>
          </w:tcPr>
          <w:p w14:paraId="38FBB474">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950</w:t>
            </w:r>
          </w:p>
        </w:tc>
        <w:tc>
          <w:tcPr>
            <w:tcW w:w="412" w:type="pct"/>
            <w:vAlign w:val="center"/>
          </w:tcPr>
          <w:p w14:paraId="2B46A24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5.292079E-07</w:t>
            </w:r>
          </w:p>
        </w:tc>
        <w:tc>
          <w:tcPr>
            <w:tcW w:w="267" w:type="pct"/>
            <w:shd w:val="clear" w:color="auto" w:fill="auto"/>
            <w:vAlign w:val="center"/>
          </w:tcPr>
          <w:p w14:paraId="4FCD4DD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190</w:t>
            </w:r>
          </w:p>
        </w:tc>
        <w:tc>
          <w:tcPr>
            <w:tcW w:w="374" w:type="pct"/>
            <w:shd w:val="clear" w:color="auto" w:fill="auto"/>
            <w:vAlign w:val="center"/>
          </w:tcPr>
          <w:p w14:paraId="12304A9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61A929C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190</w:t>
            </w:r>
          </w:p>
        </w:tc>
        <w:tc>
          <w:tcPr>
            <w:tcW w:w="373" w:type="pct"/>
            <w:vAlign w:val="center"/>
          </w:tcPr>
          <w:p w14:paraId="31B4FC0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07367E7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190</w:t>
            </w:r>
          </w:p>
        </w:tc>
        <w:tc>
          <w:tcPr>
            <w:tcW w:w="420" w:type="pct"/>
            <w:shd w:val="clear" w:color="auto" w:fill="auto"/>
            <w:vAlign w:val="center"/>
          </w:tcPr>
          <w:p w14:paraId="509EDC8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2.846781E-11</w:t>
            </w:r>
          </w:p>
        </w:tc>
        <w:tc>
          <w:tcPr>
            <w:tcW w:w="257" w:type="pct"/>
            <w:vAlign w:val="center"/>
          </w:tcPr>
          <w:p w14:paraId="797FB29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950</w:t>
            </w:r>
          </w:p>
        </w:tc>
        <w:tc>
          <w:tcPr>
            <w:tcW w:w="404" w:type="pct"/>
            <w:vAlign w:val="center"/>
          </w:tcPr>
          <w:p w14:paraId="32F3FD0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1.318545E-08</w:t>
            </w:r>
          </w:p>
        </w:tc>
      </w:tr>
      <w:tr w14:paraId="29C84E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4FBBB0B8">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200</w:t>
            </w:r>
          </w:p>
        </w:tc>
        <w:tc>
          <w:tcPr>
            <w:tcW w:w="435" w:type="pct"/>
            <w:shd w:val="clear" w:color="auto" w:fill="auto"/>
            <w:vAlign w:val="center"/>
          </w:tcPr>
          <w:p w14:paraId="6E77503E">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724E4CB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200</w:t>
            </w:r>
          </w:p>
        </w:tc>
        <w:tc>
          <w:tcPr>
            <w:tcW w:w="358" w:type="pct"/>
            <w:vAlign w:val="center"/>
          </w:tcPr>
          <w:p w14:paraId="40E1DB6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33ABC16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200</w:t>
            </w:r>
          </w:p>
        </w:tc>
        <w:tc>
          <w:tcPr>
            <w:tcW w:w="374" w:type="pct"/>
            <w:shd w:val="clear" w:color="auto" w:fill="auto"/>
            <w:vAlign w:val="center"/>
          </w:tcPr>
          <w:p w14:paraId="5F289B2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3.047856E-11</w:t>
            </w:r>
          </w:p>
        </w:tc>
        <w:tc>
          <w:tcPr>
            <w:tcW w:w="230" w:type="pct"/>
            <w:shd w:val="clear" w:color="auto" w:fill="auto"/>
            <w:vAlign w:val="center"/>
          </w:tcPr>
          <w:p w14:paraId="33D64E70">
            <w:pPr>
              <w:bidi w:val="0"/>
              <w:rPr>
                <w:rFonts w:hint="default" w:ascii="Times New Roman" w:hAnsi="Times New Roman" w:eastAsia="宋体" w:cs="Times New Roman"/>
                <w:snapToGrid w:val="0"/>
                <w:color w:val="FF0000"/>
                <w:kern w:val="0"/>
                <w:sz w:val="21"/>
                <w:szCs w:val="21"/>
                <w:highlight w:val="none"/>
                <w:lang w:val="en-US" w:eastAsia="zh-CN" w:bidi="ar-SA"/>
              </w:rPr>
            </w:pPr>
            <w:r>
              <w:rPr>
                <w:rFonts w:hint="default" w:ascii="Times New Roman" w:hAnsi="Times New Roman" w:eastAsia="宋体" w:cs="Times New Roman"/>
                <w:color w:val="FF0000"/>
                <w:sz w:val="21"/>
                <w:szCs w:val="21"/>
                <w:highlight w:val="none"/>
              </w:rPr>
              <w:t>960</w:t>
            </w:r>
          </w:p>
        </w:tc>
        <w:tc>
          <w:tcPr>
            <w:tcW w:w="412" w:type="pct"/>
            <w:vAlign w:val="center"/>
          </w:tcPr>
          <w:p w14:paraId="3F8BFBE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2.039793E-07</w:t>
            </w:r>
          </w:p>
        </w:tc>
        <w:tc>
          <w:tcPr>
            <w:tcW w:w="267" w:type="pct"/>
            <w:shd w:val="clear" w:color="auto" w:fill="auto"/>
            <w:vAlign w:val="center"/>
          </w:tcPr>
          <w:p w14:paraId="784B7EE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200</w:t>
            </w:r>
          </w:p>
        </w:tc>
        <w:tc>
          <w:tcPr>
            <w:tcW w:w="374" w:type="pct"/>
            <w:shd w:val="clear" w:color="auto" w:fill="auto"/>
            <w:vAlign w:val="center"/>
          </w:tcPr>
          <w:p w14:paraId="034FF6F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2DC1A78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200</w:t>
            </w:r>
          </w:p>
        </w:tc>
        <w:tc>
          <w:tcPr>
            <w:tcW w:w="373" w:type="pct"/>
            <w:vAlign w:val="center"/>
          </w:tcPr>
          <w:p w14:paraId="7944214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45BCDB8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200</w:t>
            </w:r>
          </w:p>
        </w:tc>
        <w:tc>
          <w:tcPr>
            <w:tcW w:w="420" w:type="pct"/>
            <w:shd w:val="clear" w:color="auto" w:fill="auto"/>
            <w:vAlign w:val="center"/>
          </w:tcPr>
          <w:p w14:paraId="793FDD1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7.59387E-13</w:t>
            </w:r>
          </w:p>
        </w:tc>
        <w:tc>
          <w:tcPr>
            <w:tcW w:w="257" w:type="pct"/>
            <w:vAlign w:val="center"/>
          </w:tcPr>
          <w:p w14:paraId="22114A3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960</w:t>
            </w:r>
          </w:p>
        </w:tc>
        <w:tc>
          <w:tcPr>
            <w:tcW w:w="404" w:type="pct"/>
            <w:vAlign w:val="center"/>
          </w:tcPr>
          <w:p w14:paraId="0C58127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5.082235E-09</w:t>
            </w:r>
          </w:p>
        </w:tc>
      </w:tr>
      <w:tr w14:paraId="2EA81D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04716E6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210</w:t>
            </w:r>
          </w:p>
        </w:tc>
        <w:tc>
          <w:tcPr>
            <w:tcW w:w="435" w:type="pct"/>
            <w:shd w:val="clear" w:color="auto" w:fill="auto"/>
            <w:vAlign w:val="center"/>
          </w:tcPr>
          <w:p w14:paraId="0EA4BA90">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6095DDA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210</w:t>
            </w:r>
          </w:p>
        </w:tc>
        <w:tc>
          <w:tcPr>
            <w:tcW w:w="358" w:type="pct"/>
            <w:vAlign w:val="center"/>
          </w:tcPr>
          <w:p w14:paraId="7066655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234A30C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210</w:t>
            </w:r>
          </w:p>
        </w:tc>
        <w:tc>
          <w:tcPr>
            <w:tcW w:w="374" w:type="pct"/>
            <w:shd w:val="clear" w:color="auto" w:fill="auto"/>
            <w:vAlign w:val="center"/>
          </w:tcPr>
          <w:p w14:paraId="703E972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5.908607E-13</w:t>
            </w:r>
          </w:p>
        </w:tc>
        <w:tc>
          <w:tcPr>
            <w:tcW w:w="230" w:type="pct"/>
            <w:shd w:val="clear" w:color="auto" w:fill="auto"/>
            <w:vAlign w:val="center"/>
          </w:tcPr>
          <w:p w14:paraId="2C3A01AC">
            <w:pPr>
              <w:bidi w:val="0"/>
              <w:rPr>
                <w:rFonts w:hint="default" w:ascii="Times New Roman" w:hAnsi="Times New Roman" w:eastAsia="宋体" w:cs="Times New Roman"/>
                <w:snapToGrid w:val="0"/>
                <w:color w:val="FF0000"/>
                <w:kern w:val="0"/>
                <w:sz w:val="21"/>
                <w:szCs w:val="21"/>
                <w:highlight w:val="none"/>
                <w:lang w:val="en-US" w:eastAsia="en-US" w:bidi="ar-SA"/>
              </w:rPr>
            </w:pPr>
            <w:r>
              <w:rPr>
                <w:rFonts w:hint="default" w:ascii="Times New Roman" w:hAnsi="Times New Roman" w:eastAsia="宋体" w:cs="Times New Roman"/>
                <w:color w:val="FF0000"/>
                <w:sz w:val="21"/>
                <w:szCs w:val="21"/>
                <w:highlight w:val="none"/>
              </w:rPr>
              <w:t>1000</w:t>
            </w:r>
          </w:p>
        </w:tc>
        <w:tc>
          <w:tcPr>
            <w:tcW w:w="412" w:type="pct"/>
            <w:vAlign w:val="center"/>
          </w:tcPr>
          <w:p w14:paraId="485EEE0A">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67" w:type="pct"/>
            <w:shd w:val="clear" w:color="auto" w:fill="auto"/>
            <w:vAlign w:val="center"/>
          </w:tcPr>
          <w:p w14:paraId="7CDEC53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210</w:t>
            </w:r>
          </w:p>
        </w:tc>
        <w:tc>
          <w:tcPr>
            <w:tcW w:w="374" w:type="pct"/>
            <w:shd w:val="clear" w:color="auto" w:fill="auto"/>
            <w:vAlign w:val="center"/>
          </w:tcPr>
          <w:p w14:paraId="0940585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048A1CF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210</w:t>
            </w:r>
          </w:p>
        </w:tc>
        <w:tc>
          <w:tcPr>
            <w:tcW w:w="373" w:type="pct"/>
            <w:vAlign w:val="center"/>
          </w:tcPr>
          <w:p w14:paraId="4184C50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1D8887D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210</w:t>
            </w:r>
          </w:p>
        </w:tc>
        <w:tc>
          <w:tcPr>
            <w:tcW w:w="420" w:type="pct"/>
            <w:shd w:val="clear" w:color="auto" w:fill="auto"/>
            <w:vAlign w:val="center"/>
          </w:tcPr>
          <w:p w14:paraId="19CF660C">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1.472156E-14</w:t>
            </w:r>
          </w:p>
        </w:tc>
        <w:tc>
          <w:tcPr>
            <w:tcW w:w="257" w:type="pct"/>
            <w:vAlign w:val="center"/>
          </w:tcPr>
          <w:p w14:paraId="448A9D4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1000</w:t>
            </w:r>
          </w:p>
        </w:tc>
        <w:tc>
          <w:tcPr>
            <w:tcW w:w="404" w:type="pct"/>
            <w:vAlign w:val="center"/>
          </w:tcPr>
          <w:p w14:paraId="14C041C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8.973525E-11</w:t>
            </w:r>
          </w:p>
        </w:tc>
      </w:tr>
      <w:tr w14:paraId="7F6570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027BBA8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220</w:t>
            </w:r>
          </w:p>
        </w:tc>
        <w:tc>
          <w:tcPr>
            <w:tcW w:w="435" w:type="pct"/>
            <w:shd w:val="clear" w:color="auto" w:fill="auto"/>
            <w:vAlign w:val="center"/>
          </w:tcPr>
          <w:p w14:paraId="5FB0826C">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118842D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220</w:t>
            </w:r>
          </w:p>
        </w:tc>
        <w:tc>
          <w:tcPr>
            <w:tcW w:w="358" w:type="pct"/>
            <w:vAlign w:val="center"/>
          </w:tcPr>
          <w:p w14:paraId="337978F7">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5622786A">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220</w:t>
            </w:r>
          </w:p>
        </w:tc>
        <w:tc>
          <w:tcPr>
            <w:tcW w:w="374" w:type="pct"/>
            <w:shd w:val="clear" w:color="auto" w:fill="auto"/>
            <w:vAlign w:val="center"/>
          </w:tcPr>
          <w:p w14:paraId="03726ECD">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30" w:type="pct"/>
            <w:shd w:val="clear" w:color="auto" w:fill="auto"/>
            <w:vAlign w:val="center"/>
          </w:tcPr>
          <w:p w14:paraId="58115E5A">
            <w:pPr>
              <w:bidi w:val="0"/>
              <w:rPr>
                <w:rFonts w:hint="default" w:ascii="Times New Roman" w:hAnsi="Times New Roman" w:eastAsia="宋体" w:cs="Times New Roman"/>
                <w:snapToGrid w:val="0"/>
                <w:color w:val="FF0000"/>
                <w:kern w:val="0"/>
                <w:sz w:val="21"/>
                <w:szCs w:val="21"/>
                <w:highlight w:val="none"/>
                <w:lang w:val="en-US" w:eastAsia="en-US" w:bidi="ar-SA"/>
              </w:rPr>
            </w:pPr>
            <w:r>
              <w:rPr>
                <w:rFonts w:hint="default" w:ascii="Times New Roman" w:hAnsi="Times New Roman" w:eastAsia="宋体" w:cs="Times New Roman"/>
                <w:color w:val="FF0000"/>
                <w:sz w:val="21"/>
                <w:szCs w:val="21"/>
                <w:highlight w:val="none"/>
              </w:rPr>
              <w:t>1200</w:t>
            </w:r>
          </w:p>
        </w:tc>
        <w:tc>
          <w:tcPr>
            <w:tcW w:w="412" w:type="pct"/>
            <w:vAlign w:val="center"/>
          </w:tcPr>
          <w:p w14:paraId="2D5D7F29">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67" w:type="pct"/>
            <w:shd w:val="clear" w:color="auto" w:fill="auto"/>
            <w:vAlign w:val="center"/>
          </w:tcPr>
          <w:p w14:paraId="76E400E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220</w:t>
            </w:r>
          </w:p>
        </w:tc>
        <w:tc>
          <w:tcPr>
            <w:tcW w:w="374" w:type="pct"/>
            <w:shd w:val="clear" w:color="auto" w:fill="auto"/>
            <w:vAlign w:val="center"/>
          </w:tcPr>
          <w:p w14:paraId="2403F39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46A5A95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220</w:t>
            </w:r>
          </w:p>
        </w:tc>
        <w:tc>
          <w:tcPr>
            <w:tcW w:w="373" w:type="pct"/>
            <w:vAlign w:val="center"/>
          </w:tcPr>
          <w:p w14:paraId="5C5F8B75">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5876019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220</w:t>
            </w:r>
          </w:p>
        </w:tc>
        <w:tc>
          <w:tcPr>
            <w:tcW w:w="420" w:type="pct"/>
            <w:shd w:val="clear" w:color="auto" w:fill="auto"/>
            <w:vAlign w:val="center"/>
          </w:tcPr>
          <w:p w14:paraId="4226C708">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57" w:type="pct"/>
            <w:vAlign w:val="center"/>
          </w:tcPr>
          <w:p w14:paraId="64AE4FF3">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1200</w:t>
            </w:r>
          </w:p>
        </w:tc>
        <w:tc>
          <w:tcPr>
            <w:tcW w:w="404" w:type="pct"/>
            <w:vAlign w:val="center"/>
          </w:tcPr>
          <w:p w14:paraId="0E3E1983">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r>
      <w:tr w14:paraId="59D763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718E953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230</w:t>
            </w:r>
          </w:p>
        </w:tc>
        <w:tc>
          <w:tcPr>
            <w:tcW w:w="435" w:type="pct"/>
            <w:shd w:val="clear" w:color="auto" w:fill="auto"/>
            <w:vAlign w:val="center"/>
          </w:tcPr>
          <w:p w14:paraId="06004C42">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547A46A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230</w:t>
            </w:r>
          </w:p>
        </w:tc>
        <w:tc>
          <w:tcPr>
            <w:tcW w:w="358" w:type="pct"/>
            <w:vAlign w:val="center"/>
          </w:tcPr>
          <w:p w14:paraId="71F499B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4FB97AF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230</w:t>
            </w:r>
          </w:p>
        </w:tc>
        <w:tc>
          <w:tcPr>
            <w:tcW w:w="374" w:type="pct"/>
            <w:shd w:val="clear" w:color="auto" w:fill="auto"/>
            <w:vAlign w:val="center"/>
          </w:tcPr>
          <w:p w14:paraId="19AF10DA">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30" w:type="pct"/>
            <w:shd w:val="clear" w:color="auto" w:fill="auto"/>
            <w:vAlign w:val="center"/>
          </w:tcPr>
          <w:p w14:paraId="6C263ABB">
            <w:pPr>
              <w:bidi w:val="0"/>
              <w:rPr>
                <w:rFonts w:hint="default" w:ascii="Times New Roman" w:hAnsi="Times New Roman" w:eastAsia="宋体" w:cs="Times New Roman"/>
                <w:snapToGrid w:val="0"/>
                <w:color w:val="FF0000"/>
                <w:kern w:val="0"/>
                <w:sz w:val="21"/>
                <w:szCs w:val="21"/>
                <w:highlight w:val="none"/>
                <w:lang w:val="en-US" w:eastAsia="en-US" w:bidi="ar-SA"/>
              </w:rPr>
            </w:pPr>
            <w:r>
              <w:rPr>
                <w:rFonts w:hint="default" w:ascii="Times New Roman" w:hAnsi="Times New Roman" w:eastAsia="宋体" w:cs="Times New Roman"/>
                <w:color w:val="FF0000"/>
                <w:sz w:val="21"/>
                <w:szCs w:val="21"/>
                <w:highlight w:val="none"/>
              </w:rPr>
              <w:t>1500</w:t>
            </w:r>
          </w:p>
        </w:tc>
        <w:tc>
          <w:tcPr>
            <w:tcW w:w="412" w:type="pct"/>
            <w:vAlign w:val="center"/>
          </w:tcPr>
          <w:p w14:paraId="11A81957">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67" w:type="pct"/>
            <w:shd w:val="clear" w:color="auto" w:fill="auto"/>
            <w:vAlign w:val="center"/>
          </w:tcPr>
          <w:p w14:paraId="78E0C664">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230</w:t>
            </w:r>
          </w:p>
        </w:tc>
        <w:tc>
          <w:tcPr>
            <w:tcW w:w="374" w:type="pct"/>
            <w:shd w:val="clear" w:color="auto" w:fill="auto"/>
            <w:vAlign w:val="center"/>
          </w:tcPr>
          <w:p w14:paraId="6227D579">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2D35799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230</w:t>
            </w:r>
          </w:p>
        </w:tc>
        <w:tc>
          <w:tcPr>
            <w:tcW w:w="373" w:type="pct"/>
            <w:vAlign w:val="center"/>
          </w:tcPr>
          <w:p w14:paraId="77859E1E">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5C0FDB0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230</w:t>
            </w:r>
          </w:p>
        </w:tc>
        <w:tc>
          <w:tcPr>
            <w:tcW w:w="420" w:type="pct"/>
            <w:shd w:val="clear" w:color="auto" w:fill="auto"/>
            <w:vAlign w:val="center"/>
          </w:tcPr>
          <w:p w14:paraId="6753B985">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57" w:type="pct"/>
            <w:vAlign w:val="center"/>
          </w:tcPr>
          <w:p w14:paraId="120112D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1500</w:t>
            </w:r>
          </w:p>
        </w:tc>
        <w:tc>
          <w:tcPr>
            <w:tcW w:w="404" w:type="pct"/>
            <w:vAlign w:val="center"/>
          </w:tcPr>
          <w:p w14:paraId="4E3B73D4">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r>
      <w:tr w14:paraId="40A933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197" w:type="pct"/>
            <w:shd w:val="clear" w:color="auto" w:fill="auto"/>
            <w:vAlign w:val="center"/>
          </w:tcPr>
          <w:p w14:paraId="3717F7F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240</w:t>
            </w:r>
          </w:p>
        </w:tc>
        <w:tc>
          <w:tcPr>
            <w:tcW w:w="435" w:type="pct"/>
            <w:shd w:val="clear" w:color="auto" w:fill="auto"/>
            <w:vAlign w:val="center"/>
          </w:tcPr>
          <w:p w14:paraId="2D9135FF">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187" w:type="pct"/>
            <w:vAlign w:val="center"/>
          </w:tcPr>
          <w:p w14:paraId="36D13B0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240</w:t>
            </w:r>
          </w:p>
        </w:tc>
        <w:tc>
          <w:tcPr>
            <w:tcW w:w="358" w:type="pct"/>
            <w:vAlign w:val="center"/>
          </w:tcPr>
          <w:p w14:paraId="13D12DCB">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0</w:t>
            </w:r>
          </w:p>
        </w:tc>
        <w:tc>
          <w:tcPr>
            <w:tcW w:w="213" w:type="pct"/>
            <w:shd w:val="clear" w:color="auto" w:fill="auto"/>
            <w:vAlign w:val="center"/>
          </w:tcPr>
          <w:p w14:paraId="5AD68076">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240</w:t>
            </w:r>
          </w:p>
        </w:tc>
        <w:tc>
          <w:tcPr>
            <w:tcW w:w="374" w:type="pct"/>
            <w:shd w:val="clear" w:color="auto" w:fill="auto"/>
            <w:vAlign w:val="center"/>
          </w:tcPr>
          <w:p w14:paraId="720B2626">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30" w:type="pct"/>
            <w:shd w:val="clear" w:color="auto" w:fill="auto"/>
            <w:vAlign w:val="center"/>
          </w:tcPr>
          <w:p w14:paraId="30C3869A">
            <w:pPr>
              <w:bidi w:val="0"/>
              <w:rPr>
                <w:rFonts w:hint="default" w:ascii="Times New Roman" w:hAnsi="Times New Roman" w:eastAsia="宋体" w:cs="Times New Roman"/>
                <w:snapToGrid w:val="0"/>
                <w:color w:val="FF0000"/>
                <w:kern w:val="0"/>
                <w:sz w:val="21"/>
                <w:szCs w:val="21"/>
                <w:highlight w:val="none"/>
                <w:lang w:val="en-US" w:eastAsia="en-US" w:bidi="ar-SA"/>
              </w:rPr>
            </w:pPr>
            <w:r>
              <w:rPr>
                <w:rFonts w:hint="default" w:ascii="Times New Roman" w:hAnsi="Times New Roman" w:eastAsia="宋体" w:cs="Times New Roman"/>
                <w:color w:val="FF0000"/>
                <w:sz w:val="21"/>
                <w:szCs w:val="21"/>
                <w:highlight w:val="none"/>
              </w:rPr>
              <w:t>1800</w:t>
            </w:r>
          </w:p>
        </w:tc>
        <w:tc>
          <w:tcPr>
            <w:tcW w:w="412" w:type="pct"/>
            <w:vAlign w:val="center"/>
          </w:tcPr>
          <w:p w14:paraId="580F9317">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67" w:type="pct"/>
            <w:shd w:val="clear" w:color="auto" w:fill="auto"/>
            <w:vAlign w:val="center"/>
          </w:tcPr>
          <w:p w14:paraId="688ACEB1">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240</w:t>
            </w:r>
          </w:p>
        </w:tc>
        <w:tc>
          <w:tcPr>
            <w:tcW w:w="374" w:type="pct"/>
            <w:shd w:val="clear" w:color="auto" w:fill="auto"/>
            <w:vAlign w:val="center"/>
          </w:tcPr>
          <w:p w14:paraId="3028476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68" w:type="pct"/>
            <w:vAlign w:val="center"/>
          </w:tcPr>
          <w:p w14:paraId="1446F702">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240</w:t>
            </w:r>
          </w:p>
        </w:tc>
        <w:tc>
          <w:tcPr>
            <w:tcW w:w="373" w:type="pct"/>
            <w:vAlign w:val="center"/>
          </w:tcPr>
          <w:p w14:paraId="017EC5FF">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0</w:t>
            </w:r>
          </w:p>
        </w:tc>
        <w:tc>
          <w:tcPr>
            <w:tcW w:w="222" w:type="pct"/>
            <w:shd w:val="clear" w:color="auto" w:fill="auto"/>
            <w:vAlign w:val="center"/>
          </w:tcPr>
          <w:p w14:paraId="777E78F0">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240</w:t>
            </w:r>
          </w:p>
        </w:tc>
        <w:tc>
          <w:tcPr>
            <w:tcW w:w="420" w:type="pct"/>
            <w:shd w:val="clear" w:color="auto" w:fill="auto"/>
            <w:vAlign w:val="center"/>
          </w:tcPr>
          <w:p w14:paraId="49F27CF5">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c>
          <w:tcPr>
            <w:tcW w:w="257" w:type="pct"/>
            <w:vAlign w:val="center"/>
          </w:tcPr>
          <w:p w14:paraId="76B0AC6D">
            <w:pPr>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1800</w:t>
            </w:r>
          </w:p>
        </w:tc>
        <w:tc>
          <w:tcPr>
            <w:tcW w:w="404" w:type="pct"/>
            <w:vAlign w:val="center"/>
          </w:tcPr>
          <w:p w14:paraId="72D3C13D">
            <w:pPr>
              <w:bidi w:val="0"/>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0</w:t>
            </w:r>
          </w:p>
        </w:tc>
      </w:tr>
      <w:tr w14:paraId="775DA6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97" w:type="pct"/>
            <w:shd w:val="clear" w:color="auto" w:fill="auto"/>
            <w:vAlign w:val="center"/>
          </w:tcPr>
          <w:p w14:paraId="3637F5D0">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250</w:t>
            </w:r>
          </w:p>
        </w:tc>
        <w:tc>
          <w:tcPr>
            <w:tcW w:w="435" w:type="pct"/>
            <w:shd w:val="clear" w:color="auto" w:fill="auto"/>
            <w:vAlign w:val="center"/>
          </w:tcPr>
          <w:p w14:paraId="1BDDF372">
            <w:pPr>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w:t>
            </w:r>
          </w:p>
        </w:tc>
        <w:tc>
          <w:tcPr>
            <w:tcW w:w="187" w:type="pct"/>
            <w:vAlign w:val="center"/>
          </w:tcPr>
          <w:p w14:paraId="2CD12FD0">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250</w:t>
            </w:r>
          </w:p>
        </w:tc>
        <w:tc>
          <w:tcPr>
            <w:tcW w:w="358" w:type="pct"/>
            <w:vAlign w:val="center"/>
          </w:tcPr>
          <w:p w14:paraId="7023F868">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0</w:t>
            </w:r>
          </w:p>
        </w:tc>
        <w:tc>
          <w:tcPr>
            <w:tcW w:w="213" w:type="pct"/>
            <w:shd w:val="clear" w:color="auto" w:fill="auto"/>
            <w:vAlign w:val="center"/>
          </w:tcPr>
          <w:p w14:paraId="2EFD9050">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250</w:t>
            </w:r>
          </w:p>
        </w:tc>
        <w:tc>
          <w:tcPr>
            <w:tcW w:w="374" w:type="pct"/>
            <w:shd w:val="clear" w:color="auto" w:fill="auto"/>
            <w:vAlign w:val="center"/>
          </w:tcPr>
          <w:p w14:paraId="50962182">
            <w:pPr>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w:t>
            </w:r>
          </w:p>
        </w:tc>
        <w:tc>
          <w:tcPr>
            <w:tcW w:w="230" w:type="pct"/>
            <w:shd w:val="clear" w:color="auto" w:fill="auto"/>
            <w:vAlign w:val="center"/>
          </w:tcPr>
          <w:p w14:paraId="2A9046E7">
            <w:pPr>
              <w:bidi w:val="0"/>
              <w:rPr>
                <w:rFonts w:hint="default" w:ascii="Times New Roman" w:hAnsi="Times New Roman" w:eastAsia="宋体" w:cs="Times New Roman"/>
                <w:snapToGrid w:val="0"/>
                <w:color w:val="auto"/>
                <w:kern w:val="0"/>
                <w:sz w:val="21"/>
                <w:szCs w:val="21"/>
                <w:highlight w:val="none"/>
                <w:lang w:val="en-US" w:eastAsia="en-US" w:bidi="ar-SA"/>
              </w:rPr>
            </w:pPr>
            <w:r>
              <w:rPr>
                <w:rFonts w:hint="default" w:ascii="Times New Roman" w:hAnsi="Times New Roman" w:eastAsia="宋体" w:cs="Times New Roman"/>
                <w:color w:val="auto"/>
                <w:sz w:val="21"/>
                <w:szCs w:val="21"/>
                <w:highlight w:val="none"/>
              </w:rPr>
              <w:t>2000</w:t>
            </w:r>
          </w:p>
        </w:tc>
        <w:tc>
          <w:tcPr>
            <w:tcW w:w="412" w:type="pct"/>
            <w:vAlign w:val="center"/>
          </w:tcPr>
          <w:p w14:paraId="7BFCDB1D">
            <w:pPr>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w:t>
            </w:r>
          </w:p>
        </w:tc>
        <w:tc>
          <w:tcPr>
            <w:tcW w:w="267" w:type="pct"/>
            <w:shd w:val="clear" w:color="auto" w:fill="auto"/>
            <w:vAlign w:val="center"/>
          </w:tcPr>
          <w:p w14:paraId="2E6EE784">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250</w:t>
            </w:r>
          </w:p>
        </w:tc>
        <w:tc>
          <w:tcPr>
            <w:tcW w:w="374" w:type="pct"/>
            <w:shd w:val="clear" w:color="auto" w:fill="auto"/>
            <w:vAlign w:val="center"/>
          </w:tcPr>
          <w:p w14:paraId="6FB46FB8">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w:t>
            </w:r>
          </w:p>
        </w:tc>
        <w:tc>
          <w:tcPr>
            <w:tcW w:w="268" w:type="pct"/>
            <w:vAlign w:val="center"/>
          </w:tcPr>
          <w:p w14:paraId="782ECB98">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250</w:t>
            </w:r>
          </w:p>
        </w:tc>
        <w:tc>
          <w:tcPr>
            <w:tcW w:w="373" w:type="pct"/>
            <w:vAlign w:val="center"/>
          </w:tcPr>
          <w:p w14:paraId="364579D6">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w:t>
            </w:r>
          </w:p>
        </w:tc>
        <w:tc>
          <w:tcPr>
            <w:tcW w:w="222" w:type="pct"/>
            <w:shd w:val="clear" w:color="auto" w:fill="auto"/>
            <w:vAlign w:val="center"/>
          </w:tcPr>
          <w:p w14:paraId="225FC4B6">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250</w:t>
            </w:r>
          </w:p>
        </w:tc>
        <w:tc>
          <w:tcPr>
            <w:tcW w:w="420" w:type="pct"/>
            <w:shd w:val="clear" w:color="auto" w:fill="auto"/>
            <w:vAlign w:val="center"/>
          </w:tcPr>
          <w:p w14:paraId="4F0A35E9">
            <w:pPr>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w:t>
            </w:r>
          </w:p>
        </w:tc>
        <w:tc>
          <w:tcPr>
            <w:tcW w:w="257" w:type="pct"/>
            <w:vAlign w:val="center"/>
          </w:tcPr>
          <w:p w14:paraId="55C30389">
            <w:pPr>
              <w:bidi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2000</w:t>
            </w:r>
          </w:p>
        </w:tc>
        <w:tc>
          <w:tcPr>
            <w:tcW w:w="404" w:type="pct"/>
            <w:vAlign w:val="center"/>
          </w:tcPr>
          <w:p w14:paraId="356B7B15">
            <w:pPr>
              <w:bidi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w:t>
            </w:r>
          </w:p>
        </w:tc>
      </w:tr>
    </w:tbl>
    <w:p w14:paraId="55301D8B">
      <w:pPr>
        <w:pStyle w:val="44"/>
        <w:rPr>
          <w:rFonts w:hint="default" w:ascii="Times New Roman" w:hAnsi="Times New Roman" w:cs="Times New Roman"/>
          <w:color w:val="auto"/>
          <w:highlight w:val="none"/>
        </w:rPr>
        <w:sectPr>
          <w:headerReference r:id="rId35" w:type="default"/>
          <w:footerReference r:id="rId36" w:type="default"/>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p>
    <w:p w14:paraId="6F417E47">
      <w:pPr>
        <w:pStyle w:val="44"/>
        <w:rPr>
          <w:rFonts w:hint="default" w:ascii="Times New Roman" w:hAnsi="Times New Roman" w:cs="Times New Roman"/>
          <w:color w:val="auto"/>
          <w:highlight w:val="none"/>
        </w:rPr>
      </w:pPr>
      <w:bookmarkStart w:id="193" w:name="_Hlk522485832"/>
      <w:r>
        <w:rPr>
          <w:rFonts w:hint="default" w:ascii="Times New Roman" w:hAnsi="Times New Roman" w:cs="Times New Roman"/>
          <w:color w:val="auto"/>
          <w:highlight w:val="none"/>
        </w:rPr>
        <w:drawing>
          <wp:inline distT="0" distB="0" distL="114300" distR="114300">
            <wp:extent cx="4070985" cy="2546350"/>
            <wp:effectExtent l="0" t="0" r="5715" b="635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97"/>
                    <a:stretch>
                      <a:fillRect/>
                    </a:stretch>
                  </pic:blipFill>
                  <pic:spPr>
                    <a:xfrm>
                      <a:off x="0" y="0"/>
                      <a:ext cx="4070985" cy="2546350"/>
                    </a:xfrm>
                    <a:prstGeom prst="rect">
                      <a:avLst/>
                    </a:prstGeom>
                    <a:noFill/>
                    <a:ln>
                      <a:noFill/>
                    </a:ln>
                  </pic:spPr>
                </pic:pic>
              </a:graphicData>
            </a:graphic>
          </wp:inline>
        </w:drawing>
      </w:r>
    </w:p>
    <w:p w14:paraId="046A3B33">
      <w:pPr>
        <w:pStyle w:val="44"/>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COD运移100d随距离变化图</w:t>
      </w:r>
    </w:p>
    <w:p w14:paraId="4F0FD39A">
      <w:pPr>
        <w:pStyle w:val="44"/>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3987165" cy="2522220"/>
            <wp:effectExtent l="0" t="0" r="13335" b="1143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98"/>
                    <a:stretch>
                      <a:fillRect/>
                    </a:stretch>
                  </pic:blipFill>
                  <pic:spPr>
                    <a:xfrm>
                      <a:off x="0" y="0"/>
                      <a:ext cx="3987165" cy="2522220"/>
                    </a:xfrm>
                    <a:prstGeom prst="rect">
                      <a:avLst/>
                    </a:prstGeom>
                    <a:noFill/>
                    <a:ln>
                      <a:noFill/>
                    </a:ln>
                  </pic:spPr>
                </pic:pic>
              </a:graphicData>
            </a:graphic>
          </wp:inline>
        </w:drawing>
      </w:r>
    </w:p>
    <w:p w14:paraId="6DE7A6EE">
      <w:pPr>
        <w:pStyle w:val="44"/>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COD运移365d随距离变化图</w:t>
      </w:r>
    </w:p>
    <w:p w14:paraId="583B70F7">
      <w:pPr>
        <w:pStyle w:val="44"/>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3985260" cy="2480310"/>
            <wp:effectExtent l="0" t="0" r="15240" b="1524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99"/>
                    <a:stretch>
                      <a:fillRect/>
                    </a:stretch>
                  </pic:blipFill>
                  <pic:spPr>
                    <a:xfrm>
                      <a:off x="0" y="0"/>
                      <a:ext cx="3985260" cy="2480310"/>
                    </a:xfrm>
                    <a:prstGeom prst="rect">
                      <a:avLst/>
                    </a:prstGeom>
                    <a:noFill/>
                    <a:ln>
                      <a:noFill/>
                    </a:ln>
                  </pic:spPr>
                </pic:pic>
              </a:graphicData>
            </a:graphic>
          </wp:inline>
        </w:drawing>
      </w:r>
    </w:p>
    <w:p w14:paraId="2164637C">
      <w:pPr>
        <w:pStyle w:val="44"/>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COD运移1000d随距离变化图</w:t>
      </w:r>
    </w:p>
    <w:p w14:paraId="46DB14CB">
      <w:pPr>
        <w:pStyle w:val="44"/>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3641725" cy="2214880"/>
            <wp:effectExtent l="0" t="0" r="15875" b="13970"/>
            <wp:docPr id="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
                    <pic:cNvPicPr>
                      <a:picLocks noChangeAspect="1"/>
                    </pic:cNvPicPr>
                  </pic:nvPicPr>
                  <pic:blipFill>
                    <a:blip r:embed="rId100"/>
                    <a:stretch>
                      <a:fillRect/>
                    </a:stretch>
                  </pic:blipFill>
                  <pic:spPr>
                    <a:xfrm>
                      <a:off x="0" y="0"/>
                      <a:ext cx="3641725" cy="2214880"/>
                    </a:xfrm>
                    <a:prstGeom prst="rect">
                      <a:avLst/>
                    </a:prstGeom>
                    <a:noFill/>
                    <a:ln>
                      <a:noFill/>
                    </a:ln>
                  </pic:spPr>
                </pic:pic>
              </a:graphicData>
            </a:graphic>
          </wp:inline>
        </w:drawing>
      </w:r>
    </w:p>
    <w:p w14:paraId="66982AF6">
      <w:pPr>
        <w:pStyle w:val="44"/>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COD运移30</w:t>
      </w:r>
      <w:r>
        <w:rPr>
          <w:rFonts w:hint="default" w:ascii="Times New Roman" w:hAnsi="Times New Roman" w:eastAsia="宋体" w:cs="Times New Roman"/>
          <w:color w:val="auto"/>
          <w:sz w:val="24"/>
          <w:szCs w:val="24"/>
          <w:highlight w:val="none"/>
          <w:lang w:eastAsia="zh-CN"/>
        </w:rPr>
        <w:t>a</w:t>
      </w:r>
      <w:r>
        <w:rPr>
          <w:rFonts w:hint="default" w:ascii="Times New Roman" w:hAnsi="Times New Roman" w:eastAsia="宋体" w:cs="Times New Roman"/>
          <w:color w:val="auto"/>
          <w:sz w:val="24"/>
          <w:szCs w:val="24"/>
          <w:highlight w:val="none"/>
        </w:rPr>
        <w:t>随距离变化图</w:t>
      </w:r>
    </w:p>
    <w:p w14:paraId="275CF657">
      <w:pPr>
        <w:pStyle w:val="44"/>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3695065" cy="2247265"/>
            <wp:effectExtent l="0" t="0" r="635" b="635"/>
            <wp:docPr id="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
                    <pic:cNvPicPr>
                      <a:picLocks noChangeAspect="1"/>
                    </pic:cNvPicPr>
                  </pic:nvPicPr>
                  <pic:blipFill>
                    <a:blip r:embed="rId101"/>
                    <a:stretch>
                      <a:fillRect/>
                    </a:stretch>
                  </pic:blipFill>
                  <pic:spPr>
                    <a:xfrm>
                      <a:off x="0" y="0"/>
                      <a:ext cx="3695065" cy="2247265"/>
                    </a:xfrm>
                    <a:prstGeom prst="rect">
                      <a:avLst/>
                    </a:prstGeom>
                    <a:noFill/>
                    <a:ln>
                      <a:noFill/>
                    </a:ln>
                  </pic:spPr>
                </pic:pic>
              </a:graphicData>
            </a:graphic>
          </wp:inline>
        </w:drawing>
      </w:r>
    </w:p>
    <w:p w14:paraId="246E377D">
      <w:pPr>
        <w:pStyle w:val="44"/>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氨氮运移100d随距离变化图</w:t>
      </w:r>
    </w:p>
    <w:p w14:paraId="22388EF1">
      <w:pPr>
        <w:pStyle w:val="44"/>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3886835" cy="2401570"/>
            <wp:effectExtent l="0" t="0" r="18415" b="17780"/>
            <wp:docPr id="7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1"/>
                    <pic:cNvPicPr>
                      <a:picLocks noChangeAspect="1"/>
                    </pic:cNvPicPr>
                  </pic:nvPicPr>
                  <pic:blipFill>
                    <a:blip r:embed="rId102"/>
                    <a:stretch>
                      <a:fillRect/>
                    </a:stretch>
                  </pic:blipFill>
                  <pic:spPr>
                    <a:xfrm>
                      <a:off x="0" y="0"/>
                      <a:ext cx="3886835" cy="2401570"/>
                    </a:xfrm>
                    <a:prstGeom prst="rect">
                      <a:avLst/>
                    </a:prstGeom>
                    <a:noFill/>
                    <a:ln>
                      <a:noFill/>
                    </a:ln>
                  </pic:spPr>
                </pic:pic>
              </a:graphicData>
            </a:graphic>
          </wp:inline>
        </w:drawing>
      </w:r>
    </w:p>
    <w:p w14:paraId="5C2B685E">
      <w:pPr>
        <w:pStyle w:val="44"/>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氨氮运移365d随距离变化图</w:t>
      </w:r>
    </w:p>
    <w:p w14:paraId="5E019C07">
      <w:pPr>
        <w:pStyle w:val="44"/>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4159885" cy="2530475"/>
            <wp:effectExtent l="0" t="0" r="12065" b="3175"/>
            <wp:docPr id="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2"/>
                    <pic:cNvPicPr>
                      <a:picLocks noChangeAspect="1"/>
                    </pic:cNvPicPr>
                  </pic:nvPicPr>
                  <pic:blipFill>
                    <a:blip r:embed="rId103"/>
                    <a:stretch>
                      <a:fillRect/>
                    </a:stretch>
                  </pic:blipFill>
                  <pic:spPr>
                    <a:xfrm>
                      <a:off x="0" y="0"/>
                      <a:ext cx="4159885" cy="2530475"/>
                    </a:xfrm>
                    <a:prstGeom prst="rect">
                      <a:avLst/>
                    </a:prstGeom>
                    <a:noFill/>
                    <a:ln>
                      <a:noFill/>
                    </a:ln>
                  </pic:spPr>
                </pic:pic>
              </a:graphicData>
            </a:graphic>
          </wp:inline>
        </w:drawing>
      </w:r>
    </w:p>
    <w:p w14:paraId="1C392EBA">
      <w:pPr>
        <w:pStyle w:val="44"/>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氨氮运移1000d随距离变化图</w:t>
      </w:r>
    </w:p>
    <w:p w14:paraId="21F135A5">
      <w:pPr>
        <w:pStyle w:val="44"/>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4127500" cy="2566035"/>
            <wp:effectExtent l="0" t="0" r="6350" b="5715"/>
            <wp:docPr id="7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9"/>
                    <pic:cNvPicPr>
                      <a:picLocks noChangeAspect="1"/>
                    </pic:cNvPicPr>
                  </pic:nvPicPr>
                  <pic:blipFill>
                    <a:blip r:embed="rId104"/>
                    <a:stretch>
                      <a:fillRect/>
                    </a:stretch>
                  </pic:blipFill>
                  <pic:spPr>
                    <a:xfrm>
                      <a:off x="0" y="0"/>
                      <a:ext cx="4127500" cy="2566035"/>
                    </a:xfrm>
                    <a:prstGeom prst="rect">
                      <a:avLst/>
                    </a:prstGeom>
                    <a:noFill/>
                    <a:ln>
                      <a:noFill/>
                    </a:ln>
                  </pic:spPr>
                </pic:pic>
              </a:graphicData>
            </a:graphic>
          </wp:inline>
        </w:drawing>
      </w:r>
    </w:p>
    <w:p w14:paraId="047F1D6F">
      <w:pPr>
        <w:pStyle w:val="44"/>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氨氮运移30</w:t>
      </w:r>
      <w:r>
        <w:rPr>
          <w:rFonts w:hint="default" w:ascii="Times New Roman" w:hAnsi="Times New Roman" w:eastAsia="宋体" w:cs="Times New Roman"/>
          <w:color w:val="auto"/>
          <w:sz w:val="24"/>
          <w:szCs w:val="24"/>
          <w:highlight w:val="none"/>
          <w:lang w:eastAsia="zh-CN"/>
        </w:rPr>
        <w:t>a</w:t>
      </w:r>
      <w:r>
        <w:rPr>
          <w:rFonts w:hint="default" w:ascii="Times New Roman" w:hAnsi="Times New Roman" w:eastAsia="宋体" w:cs="Times New Roman"/>
          <w:color w:val="auto"/>
          <w:sz w:val="24"/>
          <w:szCs w:val="24"/>
          <w:highlight w:val="none"/>
        </w:rPr>
        <w:t>随距离变化图</w:t>
      </w:r>
    </w:p>
    <w:p w14:paraId="05350FFD">
      <w:pPr>
        <w:bidi w:val="0"/>
        <w:jc w:val="center"/>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图5-2-</w:t>
      </w:r>
      <w:r>
        <w:rPr>
          <w:rFonts w:hint="default" w:ascii="Times New Roman" w:hAnsi="Times New Roman" w:eastAsia="宋体" w:cs="Times New Roman"/>
          <w:b/>
          <w:bCs/>
          <w:color w:val="auto"/>
          <w:sz w:val="24"/>
          <w:szCs w:val="24"/>
          <w:highlight w:val="none"/>
          <w:lang w:val="en-US" w:eastAsia="zh-CN"/>
        </w:rPr>
        <w:t>2</w:t>
      </w:r>
      <w:r>
        <w:rPr>
          <w:rFonts w:hint="default" w:ascii="Times New Roman" w:hAnsi="Times New Roman" w:eastAsia="宋体" w:cs="Times New Roman"/>
          <w:b/>
          <w:bCs/>
          <w:color w:val="auto"/>
          <w:sz w:val="24"/>
          <w:szCs w:val="24"/>
          <w:highlight w:val="none"/>
        </w:rPr>
        <w:t>非正常状况下COD</w:t>
      </w:r>
      <w:r>
        <w:rPr>
          <w:rFonts w:hint="default" w:ascii="Times New Roman" w:hAnsi="Times New Roman" w:eastAsia="宋体" w:cs="Times New Roman"/>
          <w:b/>
          <w:bCs/>
          <w:color w:val="auto"/>
          <w:sz w:val="24"/>
          <w:szCs w:val="24"/>
          <w:highlight w:val="none"/>
          <w:lang w:eastAsia="zh-CN"/>
        </w:rPr>
        <w:t>、氨氮</w:t>
      </w:r>
      <w:r>
        <w:rPr>
          <w:rFonts w:hint="default" w:ascii="Times New Roman" w:hAnsi="Times New Roman" w:eastAsia="宋体" w:cs="Times New Roman"/>
          <w:b/>
          <w:bCs/>
          <w:color w:val="auto"/>
          <w:sz w:val="24"/>
          <w:szCs w:val="24"/>
          <w:highlight w:val="none"/>
        </w:rPr>
        <w:t>运移100d、</w:t>
      </w:r>
      <w:r>
        <w:rPr>
          <w:rFonts w:hint="default" w:ascii="Times New Roman" w:hAnsi="Times New Roman" w:eastAsia="宋体" w:cs="Times New Roman"/>
          <w:b/>
          <w:bCs/>
          <w:color w:val="auto"/>
          <w:sz w:val="24"/>
          <w:szCs w:val="24"/>
          <w:highlight w:val="none"/>
          <w:lang w:eastAsia="zh-CN"/>
        </w:rPr>
        <w:t>365d、</w:t>
      </w:r>
      <w:r>
        <w:rPr>
          <w:rFonts w:hint="default" w:ascii="Times New Roman" w:hAnsi="Times New Roman" w:eastAsia="宋体" w:cs="Times New Roman"/>
          <w:b/>
          <w:bCs/>
          <w:color w:val="auto"/>
          <w:sz w:val="24"/>
          <w:szCs w:val="24"/>
          <w:highlight w:val="none"/>
        </w:rPr>
        <w:t>1000d</w:t>
      </w:r>
      <w:r>
        <w:rPr>
          <w:rFonts w:hint="default" w:ascii="Times New Roman" w:hAnsi="Times New Roman" w:eastAsia="宋体" w:cs="Times New Roman"/>
          <w:b/>
          <w:bCs/>
          <w:color w:val="auto"/>
          <w:sz w:val="24"/>
          <w:szCs w:val="24"/>
          <w:highlight w:val="none"/>
          <w:lang w:eastAsia="zh-CN"/>
        </w:rPr>
        <w:t>、30a</w:t>
      </w:r>
      <w:r>
        <w:rPr>
          <w:rFonts w:hint="default" w:ascii="Times New Roman" w:hAnsi="Times New Roman" w:eastAsia="宋体" w:cs="Times New Roman"/>
          <w:b/>
          <w:bCs/>
          <w:color w:val="auto"/>
          <w:sz w:val="24"/>
          <w:szCs w:val="24"/>
          <w:highlight w:val="none"/>
        </w:rPr>
        <w:t>随距离变化图</w:t>
      </w:r>
    </w:p>
    <w:bookmarkEnd w:id="193"/>
    <w:p w14:paraId="2FCC7D9A">
      <w:pPr>
        <w:bidi w:val="0"/>
        <w:jc w:val="center"/>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表5-2-</w:t>
      </w:r>
      <w:r>
        <w:rPr>
          <w:rFonts w:hint="default" w:ascii="Times New Roman" w:hAnsi="Times New Roman" w:eastAsia="宋体" w:cs="Times New Roman"/>
          <w:b/>
          <w:bCs/>
          <w:color w:val="auto"/>
          <w:sz w:val="24"/>
          <w:szCs w:val="24"/>
          <w:highlight w:val="none"/>
          <w:lang w:val="en-US" w:eastAsia="zh-CN"/>
        </w:rPr>
        <w:t>6</w:t>
      </w:r>
      <w:r>
        <w:rPr>
          <w:rFonts w:hint="default" w:ascii="Times New Roman" w:hAnsi="Times New Roman" w:eastAsia="宋体" w:cs="Times New Roman"/>
          <w:b/>
          <w:bCs/>
          <w:color w:val="auto"/>
          <w:sz w:val="24"/>
          <w:szCs w:val="24"/>
          <w:highlight w:val="none"/>
        </w:rPr>
        <w:t xml:space="preserve"> 污染物超标扩散距离</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9"/>
        <w:gridCol w:w="4101"/>
        <w:gridCol w:w="1701"/>
        <w:gridCol w:w="1617"/>
      </w:tblGrid>
      <w:tr w14:paraId="518A40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50" w:type="pct"/>
            <w:vAlign w:val="center"/>
          </w:tcPr>
          <w:p w14:paraId="244FD68A">
            <w:pPr>
              <w:pStyle w:val="38"/>
              <w:rPr>
                <w:rFonts w:hint="default" w:ascii="Times New Roman" w:hAnsi="Times New Roman" w:eastAsia="宋体" w:cs="Times New Roman"/>
                <w:color w:val="FF0000"/>
                <w:highlight w:val="none"/>
              </w:rPr>
            </w:pPr>
            <w:bookmarkStart w:id="194" w:name="_Hlk522485844"/>
            <w:r>
              <w:rPr>
                <w:rFonts w:hint="default" w:ascii="Times New Roman" w:hAnsi="Times New Roman" w:eastAsia="宋体" w:cs="Times New Roman"/>
                <w:color w:val="FF0000"/>
                <w:highlight w:val="none"/>
              </w:rPr>
              <w:t>污染物</w:t>
            </w:r>
          </w:p>
        </w:tc>
        <w:tc>
          <w:tcPr>
            <w:tcW w:w="2404" w:type="pct"/>
            <w:vAlign w:val="center"/>
          </w:tcPr>
          <w:p w14:paraId="27731D9F">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标准</w:t>
            </w:r>
          </w:p>
        </w:tc>
        <w:tc>
          <w:tcPr>
            <w:tcW w:w="997" w:type="pct"/>
            <w:vAlign w:val="center"/>
          </w:tcPr>
          <w:p w14:paraId="632CE4AB">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时间</w:t>
            </w:r>
          </w:p>
        </w:tc>
        <w:tc>
          <w:tcPr>
            <w:tcW w:w="948" w:type="pct"/>
            <w:vAlign w:val="center"/>
          </w:tcPr>
          <w:p w14:paraId="73E7AEA2">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污染物超标扩散距离（m）</w:t>
            </w:r>
          </w:p>
        </w:tc>
      </w:tr>
      <w:tr w14:paraId="226887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650" w:type="pct"/>
            <w:vMerge w:val="restart"/>
            <w:vAlign w:val="center"/>
          </w:tcPr>
          <w:p w14:paraId="1390A138">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COD</w:t>
            </w:r>
          </w:p>
        </w:tc>
        <w:tc>
          <w:tcPr>
            <w:tcW w:w="2404" w:type="pct"/>
            <w:vMerge w:val="restart"/>
            <w:vAlign w:val="center"/>
          </w:tcPr>
          <w:p w14:paraId="21EE067E">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《地表水</w:t>
            </w:r>
            <w:r>
              <w:rPr>
                <w:rFonts w:hint="default" w:ascii="Times New Roman" w:hAnsi="Times New Roman" w:eastAsia="宋体" w:cs="Times New Roman"/>
                <w:color w:val="FF0000"/>
                <w:highlight w:val="none"/>
                <w:lang w:val="en-US" w:eastAsia="zh-CN"/>
              </w:rPr>
              <w:t>环境</w:t>
            </w:r>
            <w:r>
              <w:rPr>
                <w:rFonts w:hint="default" w:ascii="Times New Roman" w:hAnsi="Times New Roman" w:eastAsia="宋体" w:cs="Times New Roman"/>
                <w:color w:val="FF0000"/>
                <w:highlight w:val="none"/>
              </w:rPr>
              <w:t>质量标准》（</w:t>
            </w:r>
            <w:r>
              <w:rPr>
                <w:rFonts w:hint="default" w:ascii="Times New Roman" w:hAnsi="Times New Roman" w:eastAsia="宋体" w:cs="Times New Roman"/>
                <w:snapToGrid w:val="0"/>
                <w:color w:val="FF0000"/>
                <w:highlight w:val="none"/>
              </w:rPr>
              <w:t>GB3838-2002</w:t>
            </w:r>
            <w:r>
              <w:rPr>
                <w:rFonts w:hint="default" w:ascii="Times New Roman" w:hAnsi="Times New Roman" w:eastAsia="宋体" w:cs="Times New Roman"/>
                <w:color w:val="FF0000"/>
                <w:highlight w:val="none"/>
              </w:rPr>
              <w:t>）中</w:t>
            </w:r>
            <w:r>
              <w:rPr>
                <w:rFonts w:hint="default" w:ascii="Times New Roman" w:hAnsi="Times New Roman" w:eastAsia="宋体" w:cs="Times New Roman"/>
                <w:color w:val="FF0000"/>
                <w:highlight w:val="none"/>
                <w:lang w:val="en-US" w:eastAsia="zh-CN"/>
              </w:rPr>
              <w:t>Ⅱ</w:t>
            </w:r>
            <w:r>
              <w:rPr>
                <w:rFonts w:hint="default" w:ascii="Times New Roman" w:hAnsi="Times New Roman" w:eastAsia="宋体" w:cs="Times New Roman"/>
                <w:color w:val="FF0000"/>
                <w:highlight w:val="none"/>
              </w:rPr>
              <w:t>类水质标准，</w:t>
            </w:r>
            <w:r>
              <w:rPr>
                <w:rFonts w:hint="default" w:ascii="Times New Roman" w:hAnsi="Times New Roman" w:eastAsia="宋体" w:cs="Times New Roman"/>
                <w:color w:val="FF0000"/>
                <w:highlight w:val="none"/>
                <w:lang w:val="en-US" w:eastAsia="zh-CN"/>
              </w:rPr>
              <w:t>15</w:t>
            </w:r>
            <w:r>
              <w:rPr>
                <w:rFonts w:hint="default" w:ascii="Times New Roman" w:hAnsi="Times New Roman" w:eastAsia="宋体" w:cs="Times New Roman"/>
                <w:color w:val="FF0000"/>
                <w:highlight w:val="none"/>
              </w:rPr>
              <w:t>mg/L</w:t>
            </w:r>
          </w:p>
        </w:tc>
        <w:tc>
          <w:tcPr>
            <w:tcW w:w="997" w:type="pct"/>
            <w:vAlign w:val="center"/>
          </w:tcPr>
          <w:p w14:paraId="2BACB1B2">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100d</w:t>
            </w:r>
          </w:p>
        </w:tc>
        <w:tc>
          <w:tcPr>
            <w:tcW w:w="948" w:type="pct"/>
            <w:vAlign w:val="center"/>
          </w:tcPr>
          <w:p w14:paraId="12522A48">
            <w:pPr>
              <w:pStyle w:val="38"/>
              <w:rPr>
                <w:rFonts w:hint="default" w:ascii="Times New Roman" w:hAnsi="Times New Roman" w:eastAsia="宋体" w:cs="Times New Roman"/>
                <w:color w:val="FF0000"/>
                <w:highlight w:val="none"/>
                <w:lang w:eastAsia="zh-CN"/>
              </w:rPr>
            </w:pPr>
            <w:r>
              <w:rPr>
                <w:rFonts w:hint="default" w:ascii="Times New Roman" w:hAnsi="Times New Roman" w:eastAsia="宋体" w:cs="Times New Roman"/>
                <w:color w:val="FF0000"/>
                <w:highlight w:val="none"/>
                <w:lang w:eastAsia="zh-CN"/>
              </w:rPr>
              <w:t>50</w:t>
            </w:r>
          </w:p>
        </w:tc>
      </w:tr>
      <w:tr w14:paraId="066689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650" w:type="pct"/>
            <w:vMerge w:val="continue"/>
            <w:vAlign w:val="center"/>
          </w:tcPr>
          <w:p w14:paraId="59483A79">
            <w:pPr>
              <w:pStyle w:val="38"/>
              <w:rPr>
                <w:rFonts w:hint="default" w:ascii="Times New Roman" w:hAnsi="Times New Roman" w:eastAsia="宋体" w:cs="Times New Roman"/>
                <w:color w:val="FF0000"/>
                <w:highlight w:val="none"/>
              </w:rPr>
            </w:pPr>
          </w:p>
        </w:tc>
        <w:tc>
          <w:tcPr>
            <w:tcW w:w="2404" w:type="pct"/>
            <w:vMerge w:val="continue"/>
            <w:vAlign w:val="center"/>
          </w:tcPr>
          <w:p w14:paraId="484F3AD2">
            <w:pPr>
              <w:pStyle w:val="38"/>
              <w:rPr>
                <w:rFonts w:hint="default" w:ascii="Times New Roman" w:hAnsi="Times New Roman" w:eastAsia="宋体" w:cs="Times New Roman"/>
                <w:color w:val="FF0000"/>
                <w:highlight w:val="none"/>
              </w:rPr>
            </w:pPr>
          </w:p>
        </w:tc>
        <w:tc>
          <w:tcPr>
            <w:tcW w:w="997" w:type="pct"/>
            <w:vAlign w:val="center"/>
          </w:tcPr>
          <w:p w14:paraId="1B10B1D1">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365d</w:t>
            </w:r>
          </w:p>
        </w:tc>
        <w:tc>
          <w:tcPr>
            <w:tcW w:w="948" w:type="pct"/>
            <w:vAlign w:val="center"/>
          </w:tcPr>
          <w:p w14:paraId="57897F07">
            <w:pPr>
              <w:pStyle w:val="38"/>
              <w:rPr>
                <w:rFonts w:hint="default" w:ascii="Times New Roman" w:hAnsi="Times New Roman" w:eastAsia="宋体" w:cs="Times New Roman"/>
                <w:color w:val="FF0000"/>
                <w:highlight w:val="none"/>
                <w:lang w:val="en-US" w:eastAsia="zh-CN"/>
              </w:rPr>
            </w:pPr>
            <w:r>
              <w:rPr>
                <w:rFonts w:hint="default" w:ascii="Times New Roman" w:hAnsi="Times New Roman" w:eastAsia="宋体" w:cs="Times New Roman"/>
                <w:color w:val="FF0000"/>
                <w:highlight w:val="none"/>
                <w:lang w:val="en-US" w:eastAsia="zh-CN"/>
              </w:rPr>
              <w:t>110</w:t>
            </w:r>
          </w:p>
        </w:tc>
      </w:tr>
      <w:tr w14:paraId="659547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50" w:type="pct"/>
            <w:vMerge w:val="continue"/>
            <w:vAlign w:val="center"/>
          </w:tcPr>
          <w:p w14:paraId="074D69B0">
            <w:pPr>
              <w:pStyle w:val="38"/>
              <w:rPr>
                <w:rFonts w:hint="default" w:ascii="Times New Roman" w:hAnsi="Times New Roman" w:eastAsia="宋体" w:cs="Times New Roman"/>
                <w:color w:val="FF0000"/>
                <w:highlight w:val="none"/>
              </w:rPr>
            </w:pPr>
          </w:p>
        </w:tc>
        <w:tc>
          <w:tcPr>
            <w:tcW w:w="2404" w:type="pct"/>
            <w:vMerge w:val="continue"/>
            <w:vAlign w:val="center"/>
          </w:tcPr>
          <w:p w14:paraId="552DFDB4">
            <w:pPr>
              <w:pStyle w:val="38"/>
              <w:rPr>
                <w:rFonts w:hint="default" w:ascii="Times New Roman" w:hAnsi="Times New Roman" w:eastAsia="宋体" w:cs="Times New Roman"/>
                <w:color w:val="FF0000"/>
                <w:highlight w:val="none"/>
              </w:rPr>
            </w:pPr>
          </w:p>
        </w:tc>
        <w:tc>
          <w:tcPr>
            <w:tcW w:w="997" w:type="pct"/>
            <w:vAlign w:val="center"/>
          </w:tcPr>
          <w:p w14:paraId="41678560">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1000d</w:t>
            </w:r>
          </w:p>
        </w:tc>
        <w:tc>
          <w:tcPr>
            <w:tcW w:w="948" w:type="pct"/>
            <w:vAlign w:val="center"/>
          </w:tcPr>
          <w:p w14:paraId="7F581D52">
            <w:pPr>
              <w:pStyle w:val="38"/>
              <w:rPr>
                <w:rFonts w:hint="default" w:ascii="Times New Roman" w:hAnsi="Times New Roman" w:eastAsia="宋体" w:cs="Times New Roman"/>
                <w:color w:val="FF0000"/>
                <w:highlight w:val="none"/>
                <w:lang w:val="en-US" w:eastAsia="zh-CN"/>
              </w:rPr>
            </w:pPr>
            <w:r>
              <w:rPr>
                <w:rFonts w:hint="default" w:ascii="Times New Roman" w:hAnsi="Times New Roman" w:eastAsia="宋体" w:cs="Times New Roman"/>
                <w:color w:val="FF0000"/>
                <w:highlight w:val="none"/>
                <w:lang w:val="en-US" w:eastAsia="zh-CN"/>
              </w:rPr>
              <w:t>210</w:t>
            </w:r>
          </w:p>
        </w:tc>
      </w:tr>
      <w:tr w14:paraId="3796A0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50" w:type="pct"/>
            <w:vMerge w:val="continue"/>
            <w:vAlign w:val="center"/>
          </w:tcPr>
          <w:p w14:paraId="3FA25A05">
            <w:pPr>
              <w:pStyle w:val="38"/>
              <w:rPr>
                <w:rFonts w:hint="default" w:ascii="Times New Roman" w:hAnsi="Times New Roman" w:eastAsia="宋体" w:cs="Times New Roman"/>
                <w:color w:val="FF0000"/>
                <w:highlight w:val="none"/>
              </w:rPr>
            </w:pPr>
          </w:p>
        </w:tc>
        <w:tc>
          <w:tcPr>
            <w:tcW w:w="2404" w:type="pct"/>
            <w:vMerge w:val="continue"/>
            <w:vAlign w:val="center"/>
          </w:tcPr>
          <w:p w14:paraId="14CC6447">
            <w:pPr>
              <w:pStyle w:val="38"/>
              <w:rPr>
                <w:rFonts w:hint="default" w:ascii="Times New Roman" w:hAnsi="Times New Roman" w:eastAsia="宋体" w:cs="Times New Roman"/>
                <w:color w:val="FF0000"/>
                <w:highlight w:val="none"/>
              </w:rPr>
            </w:pPr>
          </w:p>
        </w:tc>
        <w:tc>
          <w:tcPr>
            <w:tcW w:w="997" w:type="pct"/>
            <w:vAlign w:val="center"/>
          </w:tcPr>
          <w:p w14:paraId="4CF2B752">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30a</w:t>
            </w:r>
          </w:p>
        </w:tc>
        <w:tc>
          <w:tcPr>
            <w:tcW w:w="948" w:type="pct"/>
            <w:vAlign w:val="center"/>
          </w:tcPr>
          <w:p w14:paraId="65F08048">
            <w:pPr>
              <w:pStyle w:val="38"/>
              <w:rPr>
                <w:rFonts w:hint="default" w:ascii="Times New Roman" w:hAnsi="Times New Roman" w:eastAsia="宋体" w:cs="Times New Roman"/>
                <w:color w:val="FF0000"/>
                <w:highlight w:val="none"/>
                <w:lang w:val="en-US" w:eastAsia="zh-CN"/>
              </w:rPr>
            </w:pPr>
            <w:r>
              <w:rPr>
                <w:rFonts w:hint="default" w:ascii="Times New Roman" w:hAnsi="Times New Roman" w:eastAsia="宋体" w:cs="Times New Roman"/>
                <w:color w:val="FF0000"/>
                <w:highlight w:val="none"/>
                <w:lang w:eastAsia="zh-CN"/>
              </w:rPr>
              <w:t>9</w:t>
            </w:r>
            <w:r>
              <w:rPr>
                <w:rFonts w:hint="default" w:ascii="Times New Roman" w:hAnsi="Times New Roman" w:eastAsia="宋体" w:cs="Times New Roman"/>
                <w:color w:val="FF0000"/>
                <w:highlight w:val="none"/>
                <w:lang w:val="en-US" w:eastAsia="zh-CN"/>
              </w:rPr>
              <w:t>60</w:t>
            </w:r>
          </w:p>
        </w:tc>
      </w:tr>
      <w:tr w14:paraId="13426F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50" w:type="pct"/>
            <w:vMerge w:val="restart"/>
            <w:vAlign w:val="center"/>
          </w:tcPr>
          <w:p w14:paraId="6F44EEEB">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氨氮</w:t>
            </w:r>
          </w:p>
        </w:tc>
        <w:tc>
          <w:tcPr>
            <w:tcW w:w="2404" w:type="pct"/>
            <w:vMerge w:val="restart"/>
            <w:vAlign w:val="center"/>
          </w:tcPr>
          <w:p w14:paraId="5FA6065F">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《地下水质量标准》（GB/T14848-2017）Ш类标准，0.5mg/L</w:t>
            </w:r>
          </w:p>
        </w:tc>
        <w:tc>
          <w:tcPr>
            <w:tcW w:w="997" w:type="pct"/>
            <w:vAlign w:val="center"/>
          </w:tcPr>
          <w:p w14:paraId="18929BE4">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100d</w:t>
            </w:r>
          </w:p>
        </w:tc>
        <w:tc>
          <w:tcPr>
            <w:tcW w:w="948" w:type="pct"/>
            <w:vAlign w:val="center"/>
          </w:tcPr>
          <w:p w14:paraId="3AB67E17">
            <w:pPr>
              <w:pStyle w:val="38"/>
              <w:rPr>
                <w:rFonts w:hint="default" w:ascii="Times New Roman" w:hAnsi="Times New Roman" w:eastAsia="宋体" w:cs="Times New Roman"/>
                <w:color w:val="FF0000"/>
                <w:highlight w:val="none"/>
                <w:lang w:eastAsia="zh-CN"/>
              </w:rPr>
            </w:pPr>
            <w:r>
              <w:rPr>
                <w:rFonts w:hint="default" w:ascii="Times New Roman" w:hAnsi="Times New Roman" w:eastAsia="宋体" w:cs="Times New Roman"/>
                <w:color w:val="FF0000"/>
                <w:highlight w:val="none"/>
                <w:lang w:eastAsia="zh-CN"/>
              </w:rPr>
              <w:t>50</w:t>
            </w:r>
          </w:p>
        </w:tc>
      </w:tr>
      <w:tr w14:paraId="6783BA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50" w:type="pct"/>
            <w:vMerge w:val="continue"/>
            <w:vAlign w:val="center"/>
          </w:tcPr>
          <w:p w14:paraId="3ED9E3E5">
            <w:pPr>
              <w:pStyle w:val="38"/>
              <w:rPr>
                <w:rFonts w:hint="default" w:ascii="Times New Roman" w:hAnsi="Times New Roman" w:eastAsia="宋体" w:cs="Times New Roman"/>
                <w:color w:val="FF0000"/>
                <w:highlight w:val="none"/>
              </w:rPr>
            </w:pPr>
          </w:p>
        </w:tc>
        <w:tc>
          <w:tcPr>
            <w:tcW w:w="2404" w:type="pct"/>
            <w:vMerge w:val="continue"/>
            <w:vAlign w:val="center"/>
          </w:tcPr>
          <w:p w14:paraId="454AAAB0">
            <w:pPr>
              <w:pStyle w:val="38"/>
              <w:rPr>
                <w:rFonts w:hint="default" w:ascii="Times New Roman" w:hAnsi="Times New Roman" w:eastAsia="宋体" w:cs="Times New Roman"/>
                <w:color w:val="FF0000"/>
                <w:highlight w:val="none"/>
              </w:rPr>
            </w:pPr>
          </w:p>
        </w:tc>
        <w:tc>
          <w:tcPr>
            <w:tcW w:w="997" w:type="pct"/>
            <w:vAlign w:val="center"/>
          </w:tcPr>
          <w:p w14:paraId="6B0B58FC">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365d</w:t>
            </w:r>
          </w:p>
        </w:tc>
        <w:tc>
          <w:tcPr>
            <w:tcW w:w="948" w:type="pct"/>
            <w:vAlign w:val="center"/>
          </w:tcPr>
          <w:p w14:paraId="43D63801">
            <w:pPr>
              <w:pStyle w:val="38"/>
              <w:rPr>
                <w:rFonts w:hint="default" w:ascii="Times New Roman" w:hAnsi="Times New Roman" w:eastAsia="宋体" w:cs="Times New Roman"/>
                <w:color w:val="FF0000"/>
                <w:highlight w:val="none"/>
                <w:lang w:val="en-US" w:eastAsia="zh-CN"/>
              </w:rPr>
            </w:pPr>
            <w:r>
              <w:rPr>
                <w:rFonts w:hint="default" w:ascii="Times New Roman" w:hAnsi="Times New Roman" w:eastAsia="宋体" w:cs="Times New Roman"/>
                <w:color w:val="FF0000"/>
                <w:highlight w:val="none"/>
                <w:lang w:val="en-US" w:eastAsia="zh-CN"/>
              </w:rPr>
              <w:t>110</w:t>
            </w:r>
          </w:p>
        </w:tc>
      </w:tr>
      <w:tr w14:paraId="3CD0AA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50" w:type="pct"/>
            <w:vMerge w:val="continue"/>
            <w:vAlign w:val="center"/>
          </w:tcPr>
          <w:p w14:paraId="4A045B76">
            <w:pPr>
              <w:pStyle w:val="38"/>
              <w:rPr>
                <w:rFonts w:hint="default" w:ascii="Times New Roman" w:hAnsi="Times New Roman" w:eastAsia="宋体" w:cs="Times New Roman"/>
                <w:color w:val="FF0000"/>
                <w:highlight w:val="none"/>
              </w:rPr>
            </w:pPr>
          </w:p>
        </w:tc>
        <w:tc>
          <w:tcPr>
            <w:tcW w:w="2404" w:type="pct"/>
            <w:vMerge w:val="continue"/>
            <w:vAlign w:val="center"/>
          </w:tcPr>
          <w:p w14:paraId="48631E6A">
            <w:pPr>
              <w:pStyle w:val="38"/>
              <w:rPr>
                <w:rFonts w:hint="default" w:ascii="Times New Roman" w:hAnsi="Times New Roman" w:eastAsia="宋体" w:cs="Times New Roman"/>
                <w:color w:val="FF0000"/>
                <w:highlight w:val="none"/>
              </w:rPr>
            </w:pPr>
          </w:p>
        </w:tc>
        <w:tc>
          <w:tcPr>
            <w:tcW w:w="997" w:type="pct"/>
            <w:vAlign w:val="center"/>
          </w:tcPr>
          <w:p w14:paraId="5C00B861">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1000d</w:t>
            </w:r>
          </w:p>
        </w:tc>
        <w:tc>
          <w:tcPr>
            <w:tcW w:w="948" w:type="pct"/>
            <w:vAlign w:val="center"/>
          </w:tcPr>
          <w:p w14:paraId="342B8C3E">
            <w:pPr>
              <w:pStyle w:val="38"/>
              <w:rPr>
                <w:rFonts w:hint="default" w:ascii="Times New Roman" w:hAnsi="Times New Roman" w:eastAsia="宋体" w:cs="Times New Roman"/>
                <w:color w:val="FF0000"/>
                <w:highlight w:val="none"/>
                <w:lang w:val="en-US" w:eastAsia="zh-CN"/>
              </w:rPr>
            </w:pPr>
            <w:r>
              <w:rPr>
                <w:rFonts w:hint="default" w:ascii="Times New Roman" w:hAnsi="Times New Roman" w:eastAsia="宋体" w:cs="Times New Roman"/>
                <w:color w:val="FF0000"/>
                <w:highlight w:val="none"/>
                <w:lang w:val="en-US" w:eastAsia="zh-CN"/>
              </w:rPr>
              <w:t>210</w:t>
            </w:r>
          </w:p>
        </w:tc>
      </w:tr>
      <w:tr w14:paraId="514CB9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650" w:type="pct"/>
            <w:vMerge w:val="continue"/>
            <w:vAlign w:val="center"/>
          </w:tcPr>
          <w:p w14:paraId="702F44BA">
            <w:pPr>
              <w:pStyle w:val="38"/>
              <w:rPr>
                <w:rFonts w:hint="default" w:ascii="Times New Roman" w:hAnsi="Times New Roman" w:eastAsia="宋体" w:cs="Times New Roman"/>
                <w:color w:val="FF0000"/>
                <w:highlight w:val="none"/>
              </w:rPr>
            </w:pPr>
          </w:p>
        </w:tc>
        <w:tc>
          <w:tcPr>
            <w:tcW w:w="2404" w:type="pct"/>
            <w:vMerge w:val="continue"/>
            <w:vAlign w:val="center"/>
          </w:tcPr>
          <w:p w14:paraId="5209AC87">
            <w:pPr>
              <w:pStyle w:val="38"/>
              <w:rPr>
                <w:rFonts w:hint="default" w:ascii="Times New Roman" w:hAnsi="Times New Roman" w:eastAsia="宋体" w:cs="Times New Roman"/>
                <w:color w:val="FF0000"/>
                <w:highlight w:val="none"/>
              </w:rPr>
            </w:pPr>
          </w:p>
        </w:tc>
        <w:tc>
          <w:tcPr>
            <w:tcW w:w="997" w:type="pct"/>
            <w:vAlign w:val="center"/>
          </w:tcPr>
          <w:p w14:paraId="6190EE53">
            <w:pPr>
              <w:pStyle w:val="38"/>
              <w:rPr>
                <w:rFonts w:hint="default" w:ascii="Times New Roman" w:hAnsi="Times New Roman" w:eastAsia="宋体" w:cs="Times New Roman"/>
                <w:color w:val="FF0000"/>
                <w:highlight w:val="none"/>
              </w:rPr>
            </w:pPr>
            <w:r>
              <w:rPr>
                <w:rFonts w:hint="default" w:ascii="Times New Roman" w:hAnsi="Times New Roman" w:eastAsia="宋体" w:cs="Times New Roman"/>
                <w:color w:val="FF0000"/>
                <w:highlight w:val="none"/>
              </w:rPr>
              <w:t>30a</w:t>
            </w:r>
          </w:p>
        </w:tc>
        <w:tc>
          <w:tcPr>
            <w:tcW w:w="948" w:type="pct"/>
            <w:vAlign w:val="center"/>
          </w:tcPr>
          <w:p w14:paraId="299864F0">
            <w:pPr>
              <w:pStyle w:val="38"/>
              <w:rPr>
                <w:rFonts w:hint="default" w:ascii="Times New Roman" w:hAnsi="Times New Roman" w:eastAsia="宋体" w:cs="Times New Roman"/>
                <w:snapToGrid w:val="0"/>
                <w:color w:val="FF0000"/>
                <w:highlight w:val="none"/>
                <w:lang w:val="en-US" w:eastAsia="zh-CN"/>
              </w:rPr>
            </w:pPr>
            <w:r>
              <w:rPr>
                <w:rFonts w:hint="default" w:ascii="Times New Roman" w:hAnsi="Times New Roman" w:eastAsia="宋体" w:cs="Times New Roman"/>
                <w:snapToGrid w:val="0"/>
                <w:color w:val="FF0000"/>
                <w:highlight w:val="none"/>
                <w:lang w:val="en-US" w:eastAsia="zh-CN"/>
              </w:rPr>
              <w:t>1000</w:t>
            </w:r>
          </w:p>
        </w:tc>
      </w:tr>
      <w:bookmarkEnd w:id="194"/>
    </w:tbl>
    <w:p w14:paraId="6969DB66">
      <w:pPr>
        <w:keepNext w:val="0"/>
        <w:keepLines w:val="0"/>
        <w:pageBreakBefore w:val="0"/>
        <w:widowControl/>
        <w:kinsoku/>
        <w:wordWrap w:val="0"/>
        <w:overflowPunct/>
        <w:topLinePunct/>
        <w:autoSpaceDE/>
        <w:autoSpaceDN/>
        <w:bidi w:val="0"/>
        <w:adjustRightInd w:val="0"/>
        <w:snapToGrid w:val="0"/>
        <w:spacing w:line="360" w:lineRule="auto"/>
        <w:ind w:left="0" w:firstLine="480" w:firstLineChars="200"/>
        <w:textAlignment w:val="baseline"/>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FF0000"/>
          <w:kern w:val="0"/>
          <w:sz w:val="24"/>
          <w:szCs w:val="24"/>
          <w:highlight w:val="none"/>
        </w:rPr>
        <w:t>项目评价区域地下水流向下游</w:t>
      </w:r>
      <w:r>
        <w:rPr>
          <w:rFonts w:hint="eastAsia" w:ascii="Times New Roman" w:hAnsi="Times New Roman" w:eastAsia="宋体" w:cs="Times New Roman"/>
          <w:snapToGrid w:val="0"/>
          <w:color w:val="FF0000"/>
          <w:kern w:val="0"/>
          <w:sz w:val="24"/>
          <w:szCs w:val="24"/>
          <w:highlight w:val="none"/>
          <w:lang w:val="en-US" w:eastAsia="zh-CN"/>
        </w:rPr>
        <w:t>1500</w:t>
      </w:r>
      <w:r>
        <w:rPr>
          <w:rFonts w:hint="default" w:ascii="Times New Roman" w:hAnsi="Times New Roman" w:eastAsia="宋体" w:cs="Times New Roman"/>
          <w:snapToGrid w:val="0"/>
          <w:color w:val="FF0000"/>
          <w:kern w:val="0"/>
          <w:sz w:val="24"/>
          <w:szCs w:val="24"/>
          <w:highlight w:val="none"/>
        </w:rPr>
        <w:t>米范围内</w:t>
      </w:r>
      <w:r>
        <w:rPr>
          <w:rFonts w:hint="default" w:ascii="Times New Roman" w:hAnsi="Times New Roman" w:eastAsia="宋体" w:cs="Times New Roman"/>
          <w:snapToGrid w:val="0"/>
          <w:color w:val="FF0000"/>
          <w:kern w:val="0"/>
          <w:sz w:val="24"/>
          <w:szCs w:val="24"/>
          <w:highlight w:val="none"/>
          <w:lang w:val="en-US" w:eastAsia="zh-CN"/>
        </w:rPr>
        <w:t>有一处康家屯分散式饮用水水井，在距离厂区北侧720m处</w:t>
      </w:r>
      <w:r>
        <w:rPr>
          <w:rFonts w:hint="default" w:ascii="Times New Roman" w:hAnsi="Times New Roman" w:eastAsia="宋体" w:cs="Times New Roman"/>
          <w:snapToGrid w:val="0"/>
          <w:color w:val="FF0000"/>
          <w:kern w:val="0"/>
          <w:sz w:val="24"/>
          <w:szCs w:val="24"/>
          <w:highlight w:val="none"/>
        </w:rPr>
        <w:t>，所以非正常工况下，污水渗漏不会对地下水流向下游居民点地下饮用水造成影响。项目建设对区域地下水环境影响较小</w:t>
      </w:r>
      <w:r>
        <w:rPr>
          <w:rFonts w:hint="default" w:ascii="Times New Roman" w:hAnsi="Times New Roman" w:eastAsia="宋体" w:cs="Times New Roman"/>
          <w:snapToGrid w:val="0"/>
          <w:color w:val="auto"/>
          <w:kern w:val="0"/>
          <w:sz w:val="24"/>
          <w:szCs w:val="24"/>
          <w:highlight w:val="none"/>
        </w:rPr>
        <w:t>。</w:t>
      </w:r>
    </w:p>
    <w:p w14:paraId="1712BFD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95" w:name="_Toc16960"/>
      <w:r>
        <w:rPr>
          <w:rFonts w:hint="default" w:ascii="Times New Roman" w:hAnsi="Times New Roman" w:eastAsia="宋体" w:cs="Times New Roman"/>
          <w:b/>
          <w:bCs/>
          <w:color w:val="auto"/>
          <w:spacing w:val="-2"/>
          <w:sz w:val="24"/>
          <w:szCs w:val="24"/>
          <w:highlight w:val="none"/>
          <w:lang w:val="en-US" w:eastAsia="zh-CN"/>
        </w:rPr>
        <w:t>5.2.5固体废物环境影响预测与分析</w:t>
      </w:r>
      <w:bookmarkEnd w:id="195"/>
    </w:p>
    <w:p w14:paraId="6A8A9C1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（1）</w:t>
      </w:r>
      <w:r>
        <w:rPr>
          <w:rFonts w:hint="default" w:ascii="Times New Roman" w:hAnsi="Times New Roman" w:eastAsia="宋体" w:cs="Times New Roman"/>
          <w:color w:val="auto"/>
          <w:sz w:val="24"/>
          <w:szCs w:val="24"/>
          <w:highlight w:val="none"/>
          <w:lang w:val="en-US" w:eastAsia="zh-CN"/>
        </w:rPr>
        <w:t>牛舍更换的发酵床垫料</w:t>
      </w:r>
    </w:p>
    <w:p w14:paraId="3B518740">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eastAsia="zh-CN"/>
        </w:rPr>
      </w:pPr>
      <w:r>
        <w:rPr>
          <w:rFonts w:hint="default" w:ascii="Times New Roman" w:hAnsi="Times New Roman" w:eastAsia="宋体" w:cs="Times New Roman"/>
          <w:color w:val="auto"/>
          <w:sz w:val="24"/>
          <w:szCs w:val="24"/>
          <w:highlight w:val="none"/>
        </w:rPr>
        <w:t>根据《排污许可证申请与核发技术规范 畜禽养殖行业》（HJ1029</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2019）“表9 各类畜禽污染物产生量：肉牛粪便产生量为10.88kg/d·头”</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年存栏量5000头</w:t>
      </w:r>
      <w:r>
        <w:rPr>
          <w:rFonts w:hint="default" w:ascii="Times New Roman" w:hAnsi="Times New Roman" w:eastAsia="宋体" w:cs="Times New Roman"/>
          <w:color w:val="auto"/>
          <w:sz w:val="24"/>
          <w:szCs w:val="24"/>
          <w:highlight w:val="none"/>
        </w:rPr>
        <w:t>，则养殖场牛粪产生量为</w:t>
      </w:r>
      <w:r>
        <w:rPr>
          <w:rFonts w:hint="default" w:ascii="Times New Roman" w:hAnsi="Times New Roman" w:eastAsia="宋体" w:cs="Times New Roman"/>
          <w:color w:val="auto"/>
          <w:sz w:val="24"/>
          <w:szCs w:val="24"/>
          <w:highlight w:val="none"/>
          <w:lang w:val="en-US" w:eastAsia="zh-CN"/>
        </w:rPr>
        <w:t>19856</w:t>
      </w:r>
      <w:r>
        <w:rPr>
          <w:rFonts w:hint="default" w:ascii="Times New Roman" w:hAnsi="Times New Roman" w:eastAsia="宋体" w:cs="Times New Roman"/>
          <w:color w:val="auto"/>
          <w:sz w:val="24"/>
          <w:szCs w:val="24"/>
          <w:highlight w:val="none"/>
        </w:rPr>
        <w:t>t/a（</w:t>
      </w:r>
      <w:r>
        <w:rPr>
          <w:rFonts w:hint="default" w:ascii="Times New Roman" w:hAnsi="Times New Roman" w:eastAsia="宋体" w:cs="Times New Roman"/>
          <w:color w:val="auto"/>
          <w:sz w:val="24"/>
          <w:szCs w:val="24"/>
          <w:highlight w:val="none"/>
          <w:lang w:val="en-US" w:eastAsia="zh-CN"/>
        </w:rPr>
        <w:t>54.4</w:t>
      </w:r>
      <w:r>
        <w:rPr>
          <w:rFonts w:hint="default" w:ascii="Times New Roman" w:hAnsi="Times New Roman" w:eastAsia="宋体" w:cs="Times New Roman"/>
          <w:color w:val="auto"/>
          <w:sz w:val="24"/>
          <w:szCs w:val="24"/>
          <w:highlight w:val="none"/>
        </w:rPr>
        <w:t>t/d）。</w:t>
      </w:r>
      <w:r>
        <w:rPr>
          <w:rFonts w:hint="default" w:ascii="Times New Roman" w:hAnsi="Times New Roman" w:eastAsia="宋体" w:cs="Times New Roman"/>
          <w:color w:val="auto"/>
          <w:sz w:val="24"/>
          <w:szCs w:val="24"/>
          <w:highlight w:val="none"/>
          <w:lang w:val="en-US" w:eastAsia="zh-CN"/>
        </w:rPr>
        <w:t>本项目采用</w:t>
      </w:r>
      <w:r>
        <w:rPr>
          <w:rFonts w:hint="default" w:ascii="Times New Roman" w:hAnsi="Times New Roman" w:eastAsia="宋体" w:cs="Times New Roman"/>
          <w:snapToGrid w:val="0"/>
          <w:color w:val="auto"/>
          <w:kern w:val="0"/>
          <w:sz w:val="24"/>
          <w:szCs w:val="24"/>
          <w:highlight w:val="none"/>
        </w:rPr>
        <w:t>干撒式发酵床发酵菌剂可将牛尿、牛粪一部分降解为水蒸气和二氧化碳，另一部分转化为粗蛋白、菌体蛋白和维生素等营养物质。</w:t>
      </w:r>
      <w:r>
        <w:rPr>
          <w:rFonts w:hint="default" w:ascii="Times New Roman" w:hAnsi="Times New Roman" w:eastAsia="宋体" w:cs="Times New Roman"/>
          <w:color w:val="FF0000"/>
          <w:sz w:val="24"/>
          <w:highlight w:val="none"/>
          <w:lang w:eastAsia="zh-CN"/>
        </w:rPr>
        <w:t>根据项目</w:t>
      </w:r>
      <w:r>
        <w:rPr>
          <w:rFonts w:hint="eastAsia" w:ascii="Times New Roman" w:hAnsi="Times New Roman" w:eastAsia="宋体" w:cs="Times New Roman"/>
          <w:color w:val="FF0000"/>
          <w:sz w:val="24"/>
          <w:highlight w:val="none"/>
          <w:lang w:val="en-US" w:eastAsia="zh-CN"/>
        </w:rPr>
        <w:t>干撒式发酵床设计</w:t>
      </w:r>
      <w:r>
        <w:rPr>
          <w:rFonts w:hint="default" w:ascii="Times New Roman" w:hAnsi="Times New Roman" w:eastAsia="宋体" w:cs="Times New Roman"/>
          <w:color w:val="FF0000"/>
          <w:sz w:val="24"/>
          <w:highlight w:val="none"/>
          <w:lang w:eastAsia="zh-CN"/>
        </w:rPr>
        <w:t>单位提供的资料计算，垫料铺设厚度在</w:t>
      </w:r>
      <w:r>
        <w:rPr>
          <w:rFonts w:hint="default" w:ascii="Times New Roman" w:hAnsi="Times New Roman" w:eastAsia="宋体" w:cs="Times New Roman"/>
          <w:color w:val="FF0000"/>
          <w:sz w:val="24"/>
          <w:highlight w:val="none"/>
          <w:lang w:val="en-US" w:eastAsia="zh-CN"/>
        </w:rPr>
        <w:t>50</w:t>
      </w:r>
      <w:r>
        <w:rPr>
          <w:rFonts w:hint="default" w:ascii="Times New Roman" w:hAnsi="Times New Roman" w:eastAsia="宋体" w:cs="Times New Roman"/>
          <w:color w:val="FF0000"/>
          <w:sz w:val="24"/>
          <w:highlight w:val="none"/>
          <w:lang w:eastAsia="zh-CN"/>
        </w:rPr>
        <w:t>cm左右，发酵床占地面积</w:t>
      </w:r>
      <w:r>
        <w:rPr>
          <w:rFonts w:hint="default" w:ascii="Times New Roman" w:hAnsi="Times New Roman" w:eastAsia="宋体" w:cs="Times New Roman"/>
          <w:color w:val="FF0000"/>
          <w:sz w:val="24"/>
          <w:highlight w:val="none"/>
          <w:lang w:val="en-US" w:eastAsia="zh-CN"/>
        </w:rPr>
        <w:t>27900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2</w:t>
      </w:r>
      <w:r>
        <w:rPr>
          <w:rFonts w:hint="default" w:ascii="Times New Roman" w:hAnsi="Times New Roman" w:eastAsia="宋体" w:cs="Times New Roman"/>
          <w:color w:val="FF0000"/>
          <w:sz w:val="24"/>
          <w:highlight w:val="none"/>
          <w:lang w:eastAsia="zh-CN"/>
        </w:rPr>
        <w:t>，则需要的垫料量约为</w:t>
      </w:r>
      <w:r>
        <w:rPr>
          <w:rFonts w:hint="default" w:ascii="Times New Roman" w:hAnsi="Times New Roman" w:eastAsia="宋体" w:cs="Times New Roman"/>
          <w:color w:val="FF0000"/>
          <w:sz w:val="24"/>
          <w:highlight w:val="none"/>
          <w:lang w:val="en-US" w:eastAsia="zh-CN"/>
        </w:rPr>
        <w:t>13950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3</w:t>
      </w:r>
      <w:r>
        <w:rPr>
          <w:rFonts w:hint="default" w:ascii="Times New Roman" w:hAnsi="Times New Roman" w:eastAsia="宋体" w:cs="Times New Roman"/>
          <w:color w:val="FF0000"/>
          <w:sz w:val="24"/>
          <w:highlight w:val="none"/>
          <w:lang w:eastAsia="zh-CN"/>
        </w:rPr>
        <w:t>（1m</w:t>
      </w:r>
      <w:r>
        <w:rPr>
          <w:rFonts w:hint="default" w:ascii="Times New Roman" w:hAnsi="Times New Roman" w:eastAsia="宋体" w:cs="Times New Roman"/>
          <w:color w:val="FF0000"/>
          <w:sz w:val="24"/>
          <w:highlight w:val="none"/>
          <w:vertAlign w:val="superscript"/>
          <w:lang w:eastAsia="zh-CN"/>
        </w:rPr>
        <w:t>3</w:t>
      </w:r>
      <w:r>
        <w:rPr>
          <w:rFonts w:hint="default" w:ascii="Times New Roman" w:hAnsi="Times New Roman" w:eastAsia="宋体" w:cs="Times New Roman"/>
          <w:color w:val="FF0000"/>
          <w:sz w:val="24"/>
          <w:highlight w:val="none"/>
          <w:lang w:eastAsia="zh-CN"/>
        </w:rPr>
        <w:t>垫料约为0.2</w:t>
      </w:r>
      <w:r>
        <w:rPr>
          <w:rFonts w:hint="default" w:ascii="Times New Roman" w:hAnsi="Times New Roman" w:eastAsia="宋体" w:cs="Times New Roman"/>
          <w:color w:val="FF0000"/>
          <w:sz w:val="24"/>
          <w:highlight w:val="none"/>
          <w:lang w:val="en-US" w:eastAsia="zh-CN"/>
        </w:rPr>
        <w:t>0</w:t>
      </w:r>
      <w:r>
        <w:rPr>
          <w:rFonts w:hint="default" w:ascii="Times New Roman" w:hAnsi="Times New Roman" w:eastAsia="宋体" w:cs="Times New Roman"/>
          <w:color w:val="FF0000"/>
          <w:sz w:val="24"/>
          <w:highlight w:val="none"/>
          <w:lang w:eastAsia="zh-CN"/>
        </w:rPr>
        <w:t>t），垫料按</w:t>
      </w:r>
      <w:r>
        <w:rPr>
          <w:rFonts w:hint="default" w:ascii="Times New Roman" w:hAnsi="Times New Roman" w:eastAsia="宋体" w:cs="Times New Roman"/>
          <w:color w:val="FF0000"/>
          <w:sz w:val="24"/>
          <w:highlight w:val="none"/>
          <w:lang w:val="en-US" w:eastAsia="zh-CN"/>
        </w:rPr>
        <w:t>一</w:t>
      </w:r>
      <w:r>
        <w:rPr>
          <w:rFonts w:hint="default" w:ascii="Times New Roman" w:hAnsi="Times New Roman" w:eastAsia="宋体" w:cs="Times New Roman"/>
          <w:color w:val="FF0000"/>
          <w:sz w:val="24"/>
          <w:highlight w:val="none"/>
          <w:lang w:eastAsia="zh-CN"/>
        </w:rPr>
        <w:t>年更换</w:t>
      </w:r>
      <w:r>
        <w:rPr>
          <w:rFonts w:hint="default" w:ascii="Times New Roman" w:hAnsi="Times New Roman" w:eastAsia="宋体" w:cs="Times New Roman"/>
          <w:color w:val="FF0000"/>
          <w:sz w:val="24"/>
          <w:highlight w:val="none"/>
          <w:lang w:val="en-US" w:eastAsia="zh-CN"/>
        </w:rPr>
        <w:t>1</w:t>
      </w:r>
      <w:r>
        <w:rPr>
          <w:rFonts w:hint="default" w:ascii="Times New Roman" w:hAnsi="Times New Roman" w:eastAsia="宋体" w:cs="Times New Roman"/>
          <w:color w:val="FF0000"/>
          <w:sz w:val="24"/>
          <w:highlight w:val="none"/>
          <w:lang w:eastAsia="zh-CN"/>
        </w:rPr>
        <w:t>次，则需要</w:t>
      </w:r>
      <w:r>
        <w:rPr>
          <w:rFonts w:hint="default" w:ascii="Times New Roman" w:hAnsi="Times New Roman" w:eastAsia="宋体" w:cs="Times New Roman"/>
          <w:color w:val="FF0000"/>
          <w:sz w:val="24"/>
          <w:highlight w:val="none"/>
          <w:lang w:val="en-US" w:eastAsia="zh-CN"/>
        </w:rPr>
        <w:t>发酵床垫2790</w:t>
      </w:r>
      <w:r>
        <w:rPr>
          <w:rFonts w:hint="default" w:ascii="Times New Roman" w:hAnsi="Times New Roman" w:eastAsia="宋体" w:cs="Times New Roman"/>
          <w:color w:val="FF0000"/>
          <w:sz w:val="24"/>
          <w:highlight w:val="none"/>
          <w:lang w:eastAsia="zh-CN"/>
        </w:rPr>
        <w:t>t/a。</w:t>
      </w:r>
    </w:p>
    <w:p w14:paraId="732D4525">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val="en-US" w:eastAsia="zh-CN"/>
        </w:rPr>
      </w:pPr>
      <w:r>
        <w:rPr>
          <w:rFonts w:hint="default" w:ascii="Times New Roman" w:hAnsi="Times New Roman" w:eastAsia="宋体" w:cs="Times New Roman"/>
          <w:color w:val="FF0000"/>
          <w:sz w:val="24"/>
          <w:highlight w:val="none"/>
          <w:lang w:eastAsia="zh-CN"/>
        </w:rPr>
        <w:t>需要添加菌剂</w:t>
      </w:r>
      <w:r>
        <w:rPr>
          <w:rFonts w:hint="default" w:ascii="Times New Roman" w:hAnsi="Times New Roman" w:eastAsia="宋体" w:cs="Times New Roman"/>
          <w:color w:val="FF0000"/>
          <w:sz w:val="24"/>
          <w:highlight w:val="none"/>
          <w:lang w:val="en-US" w:eastAsia="zh-CN"/>
        </w:rPr>
        <w:t>10t/a</w:t>
      </w:r>
      <w:r>
        <w:rPr>
          <w:rFonts w:hint="default" w:ascii="Times New Roman" w:hAnsi="Times New Roman" w:eastAsia="宋体" w:cs="Times New Roman"/>
          <w:color w:val="FF0000"/>
          <w:sz w:val="24"/>
          <w:highlight w:val="none"/>
          <w:lang w:eastAsia="zh-CN"/>
        </w:rPr>
        <w:t>。牛舍垫料更换期间会有一定的水分挥发，</w:t>
      </w:r>
      <w:r>
        <w:rPr>
          <w:rFonts w:hint="default" w:ascii="Times New Roman" w:hAnsi="Times New Roman" w:eastAsia="宋体" w:cs="Times New Roman"/>
          <w:color w:val="FF0000"/>
          <w:sz w:val="24"/>
          <w:highlight w:val="none"/>
          <w:lang w:val="en-US" w:eastAsia="zh-CN"/>
        </w:rPr>
        <w:t>其中</w:t>
      </w:r>
      <w:r>
        <w:rPr>
          <w:rFonts w:hint="default" w:ascii="Times New Roman" w:hAnsi="Times New Roman" w:eastAsia="宋体" w:cs="Times New Roman"/>
          <w:color w:val="FF0000"/>
          <w:sz w:val="24"/>
          <w:highlight w:val="none"/>
          <w:lang w:eastAsia="zh-CN"/>
        </w:rPr>
        <w:t>挥发量占20%左右，</w:t>
      </w:r>
      <w:r>
        <w:rPr>
          <w:rFonts w:hint="default" w:ascii="Times New Roman" w:hAnsi="Times New Roman" w:eastAsia="宋体" w:cs="Times New Roman"/>
          <w:color w:val="FF0000"/>
          <w:sz w:val="24"/>
          <w:highlight w:val="none"/>
          <w:lang w:val="en-US" w:eastAsia="zh-CN"/>
        </w:rPr>
        <w:t>则</w:t>
      </w:r>
      <w:r>
        <w:rPr>
          <w:rFonts w:hint="default" w:ascii="Times New Roman" w:hAnsi="Times New Roman" w:eastAsia="宋体" w:cs="Times New Roman"/>
          <w:color w:val="FF0000"/>
          <w:sz w:val="24"/>
          <w:highlight w:val="none"/>
          <w:lang w:eastAsia="zh-CN"/>
        </w:rPr>
        <w:t>牛舍垫料为</w:t>
      </w:r>
      <w:r>
        <w:rPr>
          <w:rFonts w:hint="default" w:ascii="Times New Roman" w:hAnsi="Times New Roman" w:eastAsia="宋体" w:cs="Times New Roman"/>
          <w:color w:val="FF0000"/>
          <w:sz w:val="24"/>
          <w:highlight w:val="none"/>
          <w:lang w:val="en-US" w:eastAsia="zh-CN"/>
        </w:rPr>
        <w:t>2240</w:t>
      </w:r>
      <w:r>
        <w:rPr>
          <w:rFonts w:hint="default" w:ascii="Times New Roman" w:hAnsi="Times New Roman" w:eastAsia="宋体" w:cs="Times New Roman"/>
          <w:color w:val="FF0000"/>
          <w:sz w:val="24"/>
          <w:highlight w:val="none"/>
          <w:lang w:eastAsia="zh-CN"/>
        </w:rPr>
        <w:t>t/a，因此，牛舍更换的发酵床垫料最终产生</w:t>
      </w:r>
      <w:r>
        <w:rPr>
          <w:rFonts w:hint="default" w:ascii="Times New Roman" w:hAnsi="Times New Roman" w:eastAsia="宋体" w:cs="Times New Roman"/>
          <w:color w:val="FF0000"/>
          <w:sz w:val="24"/>
          <w:highlight w:val="none"/>
          <w:lang w:val="en-US" w:eastAsia="zh-CN"/>
        </w:rPr>
        <w:t>固体</w:t>
      </w:r>
      <w:r>
        <w:rPr>
          <w:rFonts w:hint="default" w:ascii="Times New Roman" w:hAnsi="Times New Roman" w:eastAsia="宋体" w:cs="Times New Roman"/>
          <w:color w:val="FF0000"/>
          <w:sz w:val="24"/>
          <w:highlight w:val="none"/>
          <w:lang w:eastAsia="zh-CN"/>
        </w:rPr>
        <w:t>总量约为</w:t>
      </w:r>
      <w:r>
        <w:rPr>
          <w:rFonts w:hint="default" w:ascii="Times New Roman" w:hAnsi="Times New Roman" w:eastAsia="宋体" w:cs="Times New Roman"/>
          <w:color w:val="FF0000"/>
          <w:sz w:val="24"/>
          <w:highlight w:val="none"/>
          <w:lang w:val="en-US" w:eastAsia="zh-CN"/>
        </w:rPr>
        <w:t>10182.4</w:t>
      </w:r>
      <w:r>
        <w:rPr>
          <w:rFonts w:hint="default" w:ascii="Times New Roman" w:hAnsi="Times New Roman" w:eastAsia="宋体" w:cs="Times New Roman"/>
          <w:color w:val="FF0000"/>
          <w:sz w:val="24"/>
          <w:highlight w:val="none"/>
          <w:lang w:eastAsia="zh-CN"/>
        </w:rPr>
        <w:t>t/a。牛舍更换的发酵床垫料，暂存于粪污储存间，定期外售至有机肥厂。</w:t>
      </w:r>
    </w:p>
    <w:p w14:paraId="7701C537">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eastAsia="zh-CN"/>
        </w:rPr>
      </w:pPr>
      <w:r>
        <w:rPr>
          <w:rFonts w:hint="default" w:ascii="Times New Roman" w:hAnsi="Times New Roman" w:eastAsia="宋体" w:cs="Times New Roman"/>
          <w:color w:val="FF0000"/>
          <w:sz w:val="24"/>
          <w:highlight w:val="none"/>
          <w:lang w:eastAsia="zh-CN"/>
        </w:rPr>
        <w:t>粪污储存间</w:t>
      </w:r>
      <w:r>
        <w:rPr>
          <w:rFonts w:hint="default" w:ascii="Times New Roman" w:hAnsi="Times New Roman" w:eastAsia="宋体" w:cs="Times New Roman"/>
          <w:color w:val="FF0000"/>
          <w:sz w:val="24"/>
          <w:highlight w:val="none"/>
          <w:lang w:val="en-US" w:eastAsia="zh-CN"/>
        </w:rPr>
        <w:t>3500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2</w:t>
      </w:r>
      <w:r>
        <w:rPr>
          <w:rFonts w:hint="default" w:ascii="Times New Roman" w:hAnsi="Times New Roman" w:eastAsia="宋体" w:cs="Times New Roman"/>
          <w:color w:val="FF0000"/>
          <w:sz w:val="24"/>
          <w:highlight w:val="none"/>
          <w:lang w:eastAsia="zh-CN"/>
        </w:rPr>
        <w:t>，存放高度</w:t>
      </w:r>
      <w:r>
        <w:rPr>
          <w:rFonts w:hint="default" w:ascii="Times New Roman" w:hAnsi="Times New Roman" w:eastAsia="宋体" w:cs="Times New Roman"/>
          <w:color w:val="FF0000"/>
          <w:sz w:val="24"/>
          <w:highlight w:val="none"/>
          <w:lang w:val="en-US" w:eastAsia="zh-CN"/>
        </w:rPr>
        <w:t>5m，存放30000t</w:t>
      </w:r>
      <w:r>
        <w:rPr>
          <w:rFonts w:hint="default" w:ascii="Times New Roman" w:hAnsi="Times New Roman" w:eastAsia="宋体" w:cs="Times New Roman"/>
          <w:color w:val="FF0000"/>
          <w:sz w:val="24"/>
          <w:highlight w:val="none"/>
          <w:lang w:eastAsia="zh-CN"/>
        </w:rPr>
        <w:t>牛舍更换的发酵床垫料</w:t>
      </w:r>
      <w:r>
        <w:rPr>
          <w:rFonts w:hint="default" w:ascii="Times New Roman" w:hAnsi="Times New Roman" w:eastAsia="宋体" w:cs="Times New Roman"/>
          <w:color w:val="FF0000"/>
          <w:sz w:val="24"/>
          <w:highlight w:val="none"/>
          <w:lang w:val="en-US" w:eastAsia="zh-CN"/>
        </w:rPr>
        <w:t>，</w:t>
      </w:r>
      <w:r>
        <w:rPr>
          <w:rFonts w:hint="default" w:ascii="Times New Roman" w:hAnsi="Times New Roman" w:eastAsia="宋体" w:cs="Times New Roman"/>
          <w:color w:val="FF0000"/>
          <w:sz w:val="24"/>
          <w:highlight w:val="none"/>
          <w:lang w:eastAsia="zh-CN"/>
        </w:rPr>
        <w:t>发酵床</w:t>
      </w:r>
      <w:r>
        <w:rPr>
          <w:rFonts w:hint="default" w:ascii="Times New Roman" w:hAnsi="Times New Roman" w:eastAsia="宋体" w:cs="Times New Roman"/>
          <w:color w:val="FF0000"/>
          <w:sz w:val="24"/>
          <w:highlight w:val="none"/>
          <w:lang w:val="en-US" w:eastAsia="zh-CN"/>
        </w:rPr>
        <w:t>一年使用周期结束，进行分批次清运，每次清运半个牛舍的</w:t>
      </w:r>
      <w:r>
        <w:rPr>
          <w:rFonts w:hint="default" w:ascii="Times New Roman" w:hAnsi="Times New Roman" w:eastAsia="宋体" w:cs="Times New Roman"/>
          <w:color w:val="FF0000"/>
          <w:sz w:val="24"/>
          <w:highlight w:val="none"/>
          <w:lang w:eastAsia="zh-CN"/>
        </w:rPr>
        <w:t>发酵床垫料</w:t>
      </w:r>
      <w:r>
        <w:rPr>
          <w:rFonts w:hint="default" w:ascii="Times New Roman" w:hAnsi="Times New Roman" w:eastAsia="宋体" w:cs="Times New Roman"/>
          <w:color w:val="FF0000"/>
          <w:sz w:val="24"/>
          <w:highlight w:val="none"/>
          <w:lang w:val="en-US" w:eastAsia="zh-CN"/>
        </w:rPr>
        <w:t>（约5091.2t）</w:t>
      </w:r>
      <w:r>
        <w:rPr>
          <w:rFonts w:hint="default" w:ascii="Times New Roman" w:hAnsi="Times New Roman" w:eastAsia="宋体" w:cs="Times New Roman"/>
          <w:color w:val="FF0000"/>
          <w:sz w:val="24"/>
          <w:highlight w:val="none"/>
          <w:lang w:eastAsia="zh-CN"/>
        </w:rPr>
        <w:t>。</w:t>
      </w:r>
    </w:p>
    <w:p w14:paraId="7F9C987B">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val="en-US" w:eastAsia="zh-CN"/>
        </w:rPr>
      </w:pPr>
      <w:r>
        <w:rPr>
          <w:rFonts w:hint="default" w:ascii="Times New Roman" w:hAnsi="Times New Roman" w:eastAsia="宋体" w:cs="Times New Roman"/>
          <w:color w:val="FF0000"/>
          <w:sz w:val="24"/>
          <w:highlight w:val="none"/>
          <w:lang w:val="en-US" w:eastAsia="zh-CN"/>
        </w:rPr>
        <w:t>发酵床处理能力可行性：根据</w:t>
      </w:r>
      <w:r>
        <w:rPr>
          <w:rFonts w:hint="eastAsia" w:ascii="Times New Roman" w:hAnsi="Times New Roman" w:eastAsia="宋体" w:cs="Times New Roman"/>
          <w:color w:val="FF0000"/>
          <w:sz w:val="24"/>
          <w:highlight w:val="none"/>
          <w:lang w:val="en-US" w:eastAsia="zh-CN"/>
        </w:rPr>
        <w:t>干撒式发酵床设计</w:t>
      </w:r>
      <w:r>
        <w:rPr>
          <w:rFonts w:hint="default" w:ascii="Times New Roman" w:hAnsi="Times New Roman" w:eastAsia="宋体" w:cs="Times New Roman"/>
          <w:color w:val="FF0000"/>
          <w:sz w:val="24"/>
          <w:highlight w:val="none"/>
          <w:lang w:eastAsia="zh-CN"/>
        </w:rPr>
        <w:t>单位提供的资料</w:t>
      </w:r>
      <w:r>
        <w:rPr>
          <w:rFonts w:hint="default" w:ascii="Times New Roman" w:hAnsi="Times New Roman" w:eastAsia="宋体" w:cs="Times New Roman"/>
          <w:color w:val="FF0000"/>
          <w:sz w:val="24"/>
          <w:highlight w:val="none"/>
          <w:lang w:val="en-US" w:eastAsia="zh-CN"/>
        </w:rPr>
        <w:t>每立方发酵基质每日可发酵处理粪污30kg，本项目发酵床面积为27900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2</w:t>
      </w:r>
      <w:r>
        <w:rPr>
          <w:rFonts w:hint="default" w:ascii="Times New Roman" w:hAnsi="Times New Roman" w:eastAsia="宋体" w:cs="Times New Roman"/>
          <w:color w:val="FF0000"/>
          <w:sz w:val="24"/>
          <w:highlight w:val="none"/>
          <w:lang w:val="en-US" w:eastAsia="zh-CN"/>
        </w:rPr>
        <w:t>，垫料铺设厚度在50cm左右，可得发酵床实际总体积13950</w:t>
      </w:r>
      <w:r>
        <w:rPr>
          <w:rFonts w:hint="default" w:ascii="Times New Roman" w:hAnsi="Times New Roman" w:eastAsia="宋体" w:cs="Times New Roman"/>
          <w:color w:val="FF0000"/>
          <w:sz w:val="24"/>
          <w:highlight w:val="none"/>
          <w:lang w:eastAsia="zh-CN"/>
        </w:rPr>
        <w:t>m</w:t>
      </w:r>
      <w:r>
        <w:rPr>
          <w:rFonts w:hint="default" w:ascii="Times New Roman" w:hAnsi="Times New Roman" w:eastAsia="宋体" w:cs="Times New Roman"/>
          <w:color w:val="FF0000"/>
          <w:sz w:val="24"/>
          <w:highlight w:val="none"/>
          <w:vertAlign w:val="superscript"/>
          <w:lang w:eastAsia="zh-CN"/>
        </w:rPr>
        <w:t>3</w:t>
      </w:r>
      <w:r>
        <w:rPr>
          <w:rFonts w:hint="default" w:ascii="Times New Roman" w:hAnsi="Times New Roman" w:eastAsia="宋体" w:cs="Times New Roman"/>
          <w:color w:val="FF0000"/>
          <w:sz w:val="24"/>
          <w:highlight w:val="none"/>
          <w:lang w:val="en-US" w:eastAsia="zh-CN"/>
        </w:rPr>
        <w:t>，可日发酵处理粪污为418.5t，项目日产生粪污为104.4t，因此，设计发酵床可完成处理产生的粪污，在保证发酵床正常运行的情况下可实现粪污全部降解。</w:t>
      </w:r>
    </w:p>
    <w:p w14:paraId="4743D81E">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FF0000"/>
          <w:sz w:val="24"/>
          <w:highlight w:val="none"/>
          <w:lang w:val="en-US" w:eastAsia="zh-CN"/>
        </w:rPr>
      </w:pPr>
      <w:r>
        <w:rPr>
          <w:rFonts w:hint="default" w:ascii="Times New Roman" w:hAnsi="Times New Roman" w:eastAsia="宋体" w:cs="Times New Roman"/>
          <w:color w:val="FF0000"/>
          <w:sz w:val="24"/>
          <w:highlight w:val="none"/>
          <w:lang w:val="en-US" w:eastAsia="zh-CN"/>
        </w:rPr>
        <w:t>发酵床垫非正常工况下的处置措施：出现非工况为发酵床破损或部分发酵菌剂失活，发酵床工艺是通过人工把牛粪埋到15公分以下，当员工再埋粪时发现发酵床垫料破损时，及时更换此部分垫料；由于动物踩踏和垫料颗粒分解细化，会造成局部或整体发酵菌剂通透性下降，垫料板结，影响粪尿的发酵分解，还会为病原微生物的</w:t>
      </w:r>
      <w:r>
        <w:rPr>
          <w:rFonts w:hint="eastAsia" w:ascii="Times New Roman" w:hAnsi="Times New Roman" w:eastAsia="宋体" w:cs="Times New Roman"/>
          <w:color w:val="FF0000"/>
          <w:sz w:val="24"/>
          <w:highlight w:val="none"/>
          <w:lang w:val="en-US" w:eastAsia="zh-CN"/>
        </w:rPr>
        <w:t>滋生</w:t>
      </w:r>
      <w:r>
        <w:rPr>
          <w:rFonts w:hint="default" w:ascii="Times New Roman" w:hAnsi="Times New Roman" w:eastAsia="宋体" w:cs="Times New Roman"/>
          <w:color w:val="FF0000"/>
          <w:sz w:val="24"/>
          <w:highlight w:val="none"/>
          <w:lang w:val="en-US" w:eastAsia="zh-CN"/>
        </w:rPr>
        <w:t>提供条件。这时就要及时翻床，保持适当的通透性，保证发酵床有较高的粪尿分解能力。</w:t>
      </w:r>
    </w:p>
    <w:p w14:paraId="2BB98900">
      <w:pPr>
        <w:pStyle w:val="32"/>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zh-CN" w:bidi="ar-SA"/>
        </w:rPr>
      </w:pPr>
      <w:r>
        <w:rPr>
          <w:rFonts w:hint="default" w:ascii="Times New Roman" w:hAnsi="Times New Roman" w:eastAsia="宋体" w:cs="Times New Roman"/>
          <w:snapToGrid w:val="0"/>
          <w:color w:val="auto"/>
          <w:kern w:val="0"/>
          <w:sz w:val="24"/>
          <w:szCs w:val="24"/>
          <w:highlight w:val="none"/>
          <w:lang w:val="en-US" w:eastAsia="zh-CN" w:bidi="ar-SA"/>
        </w:rPr>
        <w:t>（2）生活垃圾</w:t>
      </w:r>
    </w:p>
    <w:p w14:paraId="2E57BFF3">
      <w:pPr>
        <w:pStyle w:val="11"/>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cs="Times New Roman"/>
          <w:color w:val="auto"/>
          <w:highlight w:val="none"/>
        </w:rPr>
      </w:pPr>
      <w:r>
        <w:rPr>
          <w:rFonts w:hint="default" w:ascii="Times New Roman" w:hAnsi="Times New Roman" w:eastAsia="宋体" w:cs="Times New Roman"/>
          <w:snapToGrid w:val="0"/>
          <w:color w:val="auto"/>
          <w:kern w:val="0"/>
          <w:sz w:val="24"/>
          <w:szCs w:val="24"/>
          <w:highlight w:val="none"/>
          <w:lang w:val="en-US" w:eastAsia="zh-CN" w:bidi="ar-SA"/>
        </w:rPr>
        <w:t>本项目共有职工20人，生活垃圾按每人每天0.5kg计算，则日产生活垃圾0.01t，全年共产生活垃圾3.65t，场内设置生活垃圾收集装置，生活垃圾暂存后委托当地环卫部门处置。</w:t>
      </w:r>
    </w:p>
    <w:p w14:paraId="1E6D6767">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）病死牛及</w:t>
      </w:r>
      <w:r>
        <w:rPr>
          <w:rFonts w:hint="default" w:ascii="Times New Roman" w:hAnsi="Times New Roman" w:eastAsia="宋体" w:cs="Times New Roman"/>
          <w:color w:val="auto"/>
          <w:spacing w:val="-2"/>
          <w:sz w:val="24"/>
          <w:szCs w:val="24"/>
          <w:highlight w:val="none"/>
          <w:lang w:eastAsia="zh-CN"/>
        </w:rPr>
        <w:t>分娩废物</w:t>
      </w:r>
    </w:p>
    <w:p w14:paraId="109698C2">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根据《国家危险废物名录》</w:t>
      </w:r>
      <w:r>
        <w:rPr>
          <w:rFonts w:hint="default" w:ascii="Times New Roman" w:hAnsi="Times New Roman" w:eastAsia="Times New Roman" w:cs="Times New Roman"/>
          <w:color w:val="auto"/>
          <w:spacing w:val="-3"/>
          <w:sz w:val="24"/>
          <w:szCs w:val="24"/>
          <w:highlight w:val="none"/>
        </w:rPr>
        <w:t>(2021</w:t>
      </w:r>
      <w:r>
        <w:rPr>
          <w:rFonts w:hint="default" w:ascii="Times New Roman" w:hAnsi="Times New Roman" w:eastAsia="宋体" w:cs="Times New Roman"/>
          <w:color w:val="auto"/>
          <w:spacing w:val="-3"/>
          <w:sz w:val="24"/>
          <w:szCs w:val="24"/>
          <w:highlight w:val="none"/>
        </w:rPr>
        <w:t>年版</w:t>
      </w:r>
      <w:r>
        <w:rPr>
          <w:rFonts w:hint="default" w:ascii="Times New Roman" w:hAnsi="Times New Roman" w:eastAsia="Times New Roman"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rPr>
        <w:t>病死牛不属于危废，根据目前规模化养殖场的管理水平，出现病死牛的</w:t>
      </w:r>
      <w:r>
        <w:rPr>
          <w:rFonts w:hint="default" w:ascii="Times New Roman" w:hAnsi="Times New Roman" w:eastAsia="宋体" w:cs="Times New Roman"/>
          <w:color w:val="auto"/>
          <w:spacing w:val="-3"/>
          <w:sz w:val="24"/>
          <w:szCs w:val="24"/>
          <w:highlight w:val="none"/>
          <w:lang w:eastAsia="zh-CN"/>
        </w:rPr>
        <w:t>概率</w:t>
      </w:r>
      <w:r>
        <w:rPr>
          <w:rFonts w:hint="default" w:ascii="Times New Roman" w:hAnsi="Times New Roman" w:eastAsia="宋体" w:cs="Times New Roman"/>
          <w:color w:val="auto"/>
          <w:spacing w:val="-3"/>
          <w:sz w:val="24"/>
          <w:szCs w:val="24"/>
          <w:highlight w:val="none"/>
        </w:rPr>
        <w:t>和数量较低，为</w:t>
      </w:r>
      <w:r>
        <w:rPr>
          <w:rFonts w:hint="default" w:ascii="Times New Roman" w:hAnsi="Times New Roman" w:eastAsia="Times New Roman" w:cs="Times New Roman"/>
          <w:color w:val="auto"/>
          <w:spacing w:val="-3"/>
          <w:sz w:val="24"/>
          <w:szCs w:val="24"/>
          <w:highlight w:val="none"/>
        </w:rPr>
        <w:t>0.1%</w:t>
      </w:r>
      <w:r>
        <w:rPr>
          <w:rFonts w:hint="default" w:ascii="Times New Roman" w:hAnsi="Times New Roman" w:eastAsia="宋体" w:cs="Times New Roman"/>
          <w:color w:val="auto"/>
          <w:spacing w:val="-3"/>
          <w:sz w:val="24"/>
          <w:szCs w:val="24"/>
          <w:highlight w:val="none"/>
        </w:rPr>
        <w:t>，年产生病死牛</w:t>
      </w:r>
      <w:r>
        <w:rPr>
          <w:rFonts w:hint="default" w:ascii="Times New Roman" w:hAnsi="Times New Roman" w:eastAsia="宋体" w:cs="Times New Roman"/>
          <w:color w:val="auto"/>
          <w:spacing w:val="-3"/>
          <w:sz w:val="24"/>
          <w:szCs w:val="24"/>
          <w:highlight w:val="none"/>
          <w:lang w:val="en-US" w:eastAsia="zh-CN"/>
        </w:rPr>
        <w:t>5头/a，每头病死牛平均体重按300kg计，约1.5t/a；</w:t>
      </w:r>
      <w:r>
        <w:rPr>
          <w:rFonts w:hint="eastAsia" w:ascii="Times New Roman" w:hAnsi="Times New Roman" w:eastAsia="宋体" w:cs="Times New Roman"/>
          <w:color w:val="auto"/>
          <w:spacing w:val="-3"/>
          <w:sz w:val="24"/>
          <w:szCs w:val="24"/>
          <w:highlight w:val="green"/>
          <w:lang w:val="en-US" w:eastAsia="zh-CN"/>
        </w:rPr>
        <w:t>据类比其他养牛场，分娩一只牛犊的分娩废物约为4kg，年生产1000只牛犊，</w:t>
      </w:r>
      <w:r>
        <w:rPr>
          <w:rFonts w:hint="default" w:ascii="Times New Roman" w:hAnsi="Times New Roman" w:eastAsia="宋体" w:cs="Times New Roman"/>
          <w:color w:val="auto"/>
          <w:spacing w:val="-4"/>
          <w:sz w:val="24"/>
          <w:szCs w:val="24"/>
          <w:highlight w:val="green"/>
          <w:lang w:eastAsia="zh-CN"/>
        </w:rPr>
        <w:t>分娩废物</w:t>
      </w:r>
      <w:r>
        <w:rPr>
          <w:rFonts w:hint="default" w:ascii="Times New Roman" w:hAnsi="Times New Roman" w:eastAsia="宋体" w:cs="Times New Roman"/>
          <w:color w:val="auto"/>
          <w:spacing w:val="-4"/>
          <w:sz w:val="24"/>
          <w:szCs w:val="24"/>
          <w:highlight w:val="green"/>
        </w:rPr>
        <w:t>产</w:t>
      </w:r>
      <w:r>
        <w:rPr>
          <w:rFonts w:hint="default" w:ascii="Times New Roman" w:hAnsi="Times New Roman" w:eastAsia="宋体" w:cs="Times New Roman"/>
          <w:color w:val="auto"/>
          <w:spacing w:val="-3"/>
          <w:sz w:val="24"/>
          <w:szCs w:val="24"/>
          <w:highlight w:val="green"/>
        </w:rPr>
        <w:t>生量约为</w:t>
      </w:r>
      <w:r>
        <w:rPr>
          <w:rFonts w:hint="default" w:ascii="Times New Roman" w:hAnsi="Times New Roman" w:eastAsia="宋体" w:cs="Times New Roman"/>
          <w:color w:val="auto"/>
          <w:spacing w:val="-3"/>
          <w:sz w:val="24"/>
          <w:szCs w:val="24"/>
          <w:highlight w:val="green"/>
          <w:lang w:val="en-US" w:eastAsia="zh-CN"/>
        </w:rPr>
        <w:t>4</w:t>
      </w:r>
      <w:r>
        <w:rPr>
          <w:rFonts w:hint="default" w:ascii="Times New Roman" w:hAnsi="Times New Roman" w:eastAsia="Times New Roman" w:cs="Times New Roman"/>
          <w:color w:val="auto"/>
          <w:spacing w:val="-3"/>
          <w:sz w:val="24"/>
          <w:szCs w:val="24"/>
          <w:highlight w:val="green"/>
        </w:rPr>
        <w:t>t/a</w:t>
      </w:r>
      <w:r>
        <w:rPr>
          <w:rFonts w:hint="default" w:ascii="Times New Roman" w:hAnsi="Times New Roman" w:eastAsia="宋体" w:cs="Times New Roman"/>
          <w:color w:val="auto"/>
          <w:spacing w:val="-3"/>
          <w:sz w:val="24"/>
          <w:szCs w:val="24"/>
          <w:highlight w:val="green"/>
        </w:rPr>
        <w:t>。</w:t>
      </w:r>
      <w:r>
        <w:rPr>
          <w:rFonts w:hint="default" w:ascii="Times New Roman" w:hAnsi="Times New Roman" w:eastAsia="宋体" w:cs="Times New Roman"/>
          <w:color w:val="auto"/>
          <w:spacing w:val="-3"/>
          <w:sz w:val="24"/>
          <w:szCs w:val="24"/>
          <w:highlight w:val="none"/>
          <w:lang w:eastAsia="zh-CN"/>
        </w:rPr>
        <w:t>分娩废物</w:t>
      </w:r>
      <w:r>
        <w:rPr>
          <w:rFonts w:hint="default" w:ascii="Times New Roman" w:hAnsi="Times New Roman" w:eastAsia="宋体" w:cs="Times New Roman"/>
          <w:color w:val="auto"/>
          <w:spacing w:val="-3"/>
          <w:sz w:val="24"/>
          <w:szCs w:val="24"/>
          <w:highlight w:val="none"/>
        </w:rPr>
        <w:t>及病死牛</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rPr>
        <w:t>委托</w:t>
      </w:r>
      <w:r>
        <w:rPr>
          <w:rFonts w:hint="default" w:ascii="Times New Roman" w:hAnsi="Times New Roman" w:eastAsia="宋体" w:cs="Times New Roman"/>
          <w:color w:val="FF0000"/>
          <w:sz w:val="24"/>
          <w:szCs w:val="24"/>
          <w:lang w:val="en-US" w:eastAsia="zh-CN"/>
        </w:rPr>
        <w:t>双鸭山百奥迈斯生物科技有限公司</w:t>
      </w:r>
      <w:r>
        <w:rPr>
          <w:rFonts w:hint="default" w:ascii="Times New Roman" w:hAnsi="Times New Roman" w:eastAsia="宋体" w:cs="Times New Roman"/>
          <w:color w:val="auto"/>
          <w:spacing w:val="-3"/>
          <w:sz w:val="24"/>
          <w:szCs w:val="24"/>
          <w:highlight w:val="none"/>
        </w:rPr>
        <w:t>处置。</w:t>
      </w:r>
    </w:p>
    <w:p w14:paraId="254926CA">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4</w:t>
      </w:r>
      <w:r>
        <w:rPr>
          <w:rFonts w:hint="default" w:ascii="Times New Roman" w:hAnsi="Times New Roman" w:eastAsia="宋体" w:cs="Times New Roman"/>
          <w:color w:val="auto"/>
          <w:spacing w:val="-4"/>
          <w:sz w:val="24"/>
          <w:szCs w:val="24"/>
          <w:highlight w:val="none"/>
        </w:rPr>
        <w:t>）医疗废物</w:t>
      </w:r>
    </w:p>
    <w:p w14:paraId="2CCD29CF">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pacing w:val="-3"/>
          <w:sz w:val="24"/>
          <w:szCs w:val="24"/>
          <w:highlight w:val="green"/>
        </w:rPr>
      </w:pPr>
      <w:r>
        <w:rPr>
          <w:rFonts w:hint="default" w:ascii="Times New Roman" w:hAnsi="Times New Roman" w:eastAsia="宋体" w:cs="Times New Roman"/>
          <w:color w:val="auto"/>
          <w:spacing w:val="-3"/>
          <w:sz w:val="24"/>
          <w:szCs w:val="24"/>
          <w:highlight w:val="green"/>
          <w:lang w:val="en-US" w:eastAsia="zh-CN"/>
        </w:rPr>
        <w:t>肉牛在生长过程接种免疫或发病期接受治疗会产生少量的医疗废物，主要 有各种疫苗空瓶、抗生药物的瓶、袋、废消毒包装物等，使用量视当年疫病发生情况有所不同，类比其他养牛场合计约 0.</w:t>
      </w:r>
      <w:r>
        <w:rPr>
          <w:rFonts w:hint="eastAsia" w:ascii="Times New Roman" w:hAnsi="Times New Roman" w:eastAsia="宋体" w:cs="Times New Roman"/>
          <w:color w:val="auto"/>
          <w:spacing w:val="-3"/>
          <w:sz w:val="24"/>
          <w:szCs w:val="24"/>
          <w:highlight w:val="green"/>
          <w:lang w:val="en-US" w:eastAsia="zh-CN"/>
        </w:rPr>
        <w:t>2</w:t>
      </w:r>
      <w:r>
        <w:rPr>
          <w:rFonts w:hint="default" w:ascii="Times New Roman" w:hAnsi="Times New Roman" w:eastAsia="宋体" w:cs="Times New Roman"/>
          <w:color w:val="auto"/>
          <w:spacing w:val="-3"/>
          <w:sz w:val="24"/>
          <w:szCs w:val="24"/>
          <w:highlight w:val="green"/>
          <w:lang w:val="en-US" w:eastAsia="zh-CN"/>
        </w:rPr>
        <w:t>t/a。</w:t>
      </w:r>
    </w:p>
    <w:p w14:paraId="0BC80D28">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根据《国家危险废</w:t>
      </w:r>
      <w:r>
        <w:rPr>
          <w:rFonts w:hint="default" w:ascii="Times New Roman" w:hAnsi="Times New Roman" w:eastAsia="宋体" w:cs="Times New Roman"/>
          <w:color w:val="auto"/>
          <w:spacing w:val="1"/>
          <w:sz w:val="24"/>
          <w:szCs w:val="24"/>
          <w:highlight w:val="none"/>
        </w:rPr>
        <w:t>物名录》（</w:t>
      </w:r>
      <w:r>
        <w:rPr>
          <w:rFonts w:hint="default" w:ascii="Times New Roman" w:hAnsi="Times New Roman" w:eastAsia="Times New Roman" w:cs="Times New Roman"/>
          <w:color w:val="auto"/>
          <w:spacing w:val="1"/>
          <w:sz w:val="24"/>
          <w:szCs w:val="24"/>
          <w:highlight w:val="none"/>
        </w:rPr>
        <w:t>2021</w:t>
      </w:r>
      <w:r>
        <w:rPr>
          <w:rFonts w:hint="default" w:ascii="Times New Roman" w:hAnsi="Times New Roman" w:eastAsia="宋体" w:cs="Times New Roman"/>
          <w:color w:val="auto"/>
          <w:spacing w:val="1"/>
          <w:sz w:val="24"/>
          <w:szCs w:val="24"/>
          <w:highlight w:val="none"/>
        </w:rPr>
        <w:t>年版</w:t>
      </w:r>
      <w:r>
        <w:rPr>
          <w:rFonts w:hint="default" w:ascii="Times New Roman" w:hAnsi="Times New Roman" w:eastAsia="宋体" w:cs="Times New Roman"/>
          <w:color w:val="auto"/>
          <w:spacing w:val="17"/>
          <w:sz w:val="24"/>
          <w:szCs w:val="24"/>
          <w:highlight w:val="none"/>
        </w:rPr>
        <w:t>），</w:t>
      </w:r>
      <w:r>
        <w:rPr>
          <w:rFonts w:hint="default" w:ascii="Times New Roman" w:hAnsi="Times New Roman" w:eastAsia="宋体" w:cs="Times New Roman"/>
          <w:color w:val="auto"/>
          <w:spacing w:val="1"/>
          <w:sz w:val="24"/>
          <w:szCs w:val="24"/>
          <w:highlight w:val="none"/>
        </w:rPr>
        <w:t>废注射器和废药瓶属于</w:t>
      </w:r>
      <w:r>
        <w:rPr>
          <w:rFonts w:hint="default" w:ascii="Times New Roman" w:hAnsi="Times New Roman" w:eastAsia="Times New Roman" w:cs="Times New Roman"/>
          <w:color w:val="auto"/>
          <w:sz w:val="24"/>
          <w:szCs w:val="24"/>
          <w:highlight w:val="none"/>
        </w:rPr>
        <w:t>HW</w:t>
      </w:r>
      <w:r>
        <w:rPr>
          <w:rFonts w:hint="default" w:ascii="Times New Roman" w:hAnsi="Times New Roman" w:eastAsia="Times New Roman" w:cs="Times New Roman"/>
          <w:color w:val="auto"/>
          <w:spacing w:val="1"/>
          <w:sz w:val="24"/>
          <w:szCs w:val="24"/>
          <w:highlight w:val="none"/>
        </w:rPr>
        <w:t>01</w:t>
      </w:r>
      <w:r>
        <w:rPr>
          <w:rFonts w:hint="default" w:ascii="Times New Roman" w:hAnsi="Times New Roman" w:eastAsia="宋体" w:cs="Times New Roman"/>
          <w:color w:val="auto"/>
          <w:spacing w:val="1"/>
          <w:sz w:val="24"/>
          <w:szCs w:val="24"/>
          <w:highlight w:val="none"/>
        </w:rPr>
        <w:t>类危险废物，废物代码为</w:t>
      </w:r>
      <w:r>
        <w:rPr>
          <w:rFonts w:hint="default" w:ascii="Times New Roman" w:hAnsi="Times New Roman" w:eastAsia="Times New Roman" w:cs="Times New Roman"/>
          <w:color w:val="auto"/>
          <w:spacing w:val="-1"/>
          <w:sz w:val="24"/>
          <w:szCs w:val="24"/>
          <w:highlight w:val="none"/>
        </w:rPr>
        <w:t>841-001-01</w:t>
      </w:r>
      <w:r>
        <w:rPr>
          <w:rFonts w:hint="default" w:ascii="Times New Roman" w:hAnsi="Times New Roman" w:eastAsia="宋体" w:cs="Times New Roman"/>
          <w:color w:val="auto"/>
          <w:spacing w:val="-1"/>
          <w:sz w:val="24"/>
          <w:szCs w:val="24"/>
          <w:highlight w:val="none"/>
        </w:rPr>
        <w:t>，于医疗废物暂存间暂存，定期交</w:t>
      </w:r>
      <w:r>
        <w:rPr>
          <w:rFonts w:hint="default" w:ascii="Times New Roman" w:hAnsi="Times New Roman" w:eastAsia="宋体" w:cs="Times New Roman"/>
          <w:color w:val="auto"/>
          <w:spacing w:val="-2"/>
          <w:sz w:val="24"/>
          <w:szCs w:val="24"/>
          <w:highlight w:val="none"/>
        </w:rPr>
        <w:t>给有资质单位处理。</w:t>
      </w:r>
      <w:r>
        <w:rPr>
          <w:rFonts w:hint="default" w:ascii="Times New Roman" w:hAnsi="Times New Roman" w:eastAsia="宋体" w:cs="Times New Roman"/>
          <w:color w:val="auto"/>
          <w:spacing w:val="-3"/>
          <w:sz w:val="24"/>
          <w:szCs w:val="24"/>
          <w:highlight w:val="none"/>
        </w:rPr>
        <w:t>评价要求场区内建设具备“三防”措施的危废暂存间，并设置医疗危险废物识别标志。</w:t>
      </w:r>
    </w:p>
    <w:p w14:paraId="088FA153">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96" w:name="_Toc22692"/>
      <w:r>
        <w:rPr>
          <w:rFonts w:hint="default" w:ascii="Times New Roman" w:hAnsi="Times New Roman" w:eastAsia="宋体" w:cs="Times New Roman"/>
          <w:b/>
          <w:bCs/>
          <w:color w:val="auto"/>
          <w:spacing w:val="-2"/>
          <w:sz w:val="24"/>
          <w:szCs w:val="24"/>
          <w:highlight w:val="none"/>
          <w:lang w:val="en-US" w:eastAsia="zh-CN"/>
        </w:rPr>
        <w:t>5.2.6土壤环境影响分析与评价</w:t>
      </w:r>
      <w:bookmarkEnd w:id="196"/>
    </w:p>
    <w:p w14:paraId="52F3F9E2">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（1）评价范围</w:t>
      </w:r>
    </w:p>
    <w:p w14:paraId="7A62E021">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项目占地范围内全部及占地范围外50m范围内。</w:t>
      </w:r>
    </w:p>
    <w:p w14:paraId="46CCD6D3">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（2）评价时段</w:t>
      </w:r>
    </w:p>
    <w:p w14:paraId="2C5909E8">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项目运营期。</w:t>
      </w:r>
    </w:p>
    <w:p w14:paraId="56066C1B">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（3）土壤环境影响途径识别</w:t>
      </w:r>
    </w:p>
    <w:p w14:paraId="773EABA0">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FF0000"/>
          <w:kern w:val="2"/>
          <w:sz w:val="24"/>
          <w:szCs w:val="24"/>
          <w:highlight w:val="none"/>
          <w:lang w:val="en-US" w:eastAsia="zh-CN" w:bidi="ar-SA"/>
        </w:rPr>
        <w:t>从建设项目对土壤的影响类型来看，建设项目主体表现为土壤环境污染影响型特点，</w:t>
      </w:r>
      <w:r>
        <w:rPr>
          <w:rFonts w:hint="default" w:ascii="Times New Roman" w:hAnsi="Times New Roman" w:cs="Times New Roman"/>
          <w:color w:val="FF0000"/>
          <w:kern w:val="2"/>
          <w:sz w:val="24"/>
          <w:szCs w:val="24"/>
          <w:highlight w:val="none"/>
          <w:lang w:val="en-US" w:eastAsia="zh-CN" w:bidi="ar-SA"/>
        </w:rPr>
        <w:t>本项目租赁厂区为水泥硬化，不涉及表土剥离，</w:t>
      </w:r>
      <w:r>
        <w:rPr>
          <w:rFonts w:hint="default" w:ascii="Times New Roman" w:hAnsi="Times New Roman" w:eastAsia="宋体" w:cs="Times New Roman"/>
          <w:color w:val="FF0000"/>
          <w:kern w:val="2"/>
          <w:sz w:val="24"/>
          <w:szCs w:val="24"/>
          <w:highlight w:val="none"/>
          <w:lang w:val="en-US" w:eastAsia="zh-CN" w:bidi="ar-SA"/>
        </w:rPr>
        <w:t>根据建设项目开发活动特点，可能产生土壤环境污染的途径主要为“牛舍地面泄漏或渗漏，入渗包气带</w:t>
      </w:r>
      <w:r>
        <w:rPr>
          <w:rFonts w:hint="default" w:ascii="Times New Roman" w:hAnsi="Times New Roman" w:cs="Times New Roman"/>
          <w:color w:val="FF0000"/>
          <w:kern w:val="2"/>
          <w:sz w:val="24"/>
          <w:szCs w:val="24"/>
          <w:highlight w:val="none"/>
          <w:lang w:val="en-US" w:eastAsia="zh-CN" w:bidi="ar-SA"/>
        </w:rPr>
        <w:t>-</w:t>
      </w:r>
      <w:r>
        <w:rPr>
          <w:rFonts w:hint="default" w:ascii="Times New Roman" w:hAnsi="Times New Roman" w:eastAsia="宋体" w:cs="Times New Roman"/>
          <w:color w:val="FF0000"/>
          <w:kern w:val="2"/>
          <w:sz w:val="24"/>
          <w:szCs w:val="24"/>
          <w:highlight w:val="none"/>
          <w:lang w:val="en-US" w:eastAsia="zh-CN" w:bidi="ar-SA"/>
        </w:rPr>
        <w:t>垂直入渗”。</w:t>
      </w:r>
    </w:p>
    <w:p w14:paraId="29856C5D">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本项目牛舍地面出现泄露或渗漏后，进入土壤的污染物主要为COD、氨氮等，不涉及《土壤环境质量 农用地土壤污染风险管控标准（试行）》（GB15618-2018）表1农用地土壤污染风险筛选值中的污染物项目。对于建设项目而言，一旦上述污染途径存在，进入土壤的污染物（COD、氨氮等）与土壤溶液、空气、矿物质、有机质和微生物之间发生物理、化学和生物变化，形成污染物在表土层和土体中滞留、土壤溶液驱动下污染物迁移、污染物化学与生物转化将形成局地土壤污染。土壤污染物迁移途径见图5.2-</w:t>
      </w:r>
      <w:r>
        <w:rPr>
          <w:rFonts w:hint="default" w:ascii="Times New Roman" w:hAnsi="Times New Roman" w:cs="Times New Roman"/>
          <w:color w:val="auto"/>
          <w:kern w:val="2"/>
          <w:sz w:val="24"/>
          <w:szCs w:val="24"/>
          <w:highlight w:val="none"/>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w:t>
      </w:r>
    </w:p>
    <w:p w14:paraId="5DF6EB23">
      <w:pPr>
        <w:pageBreakBefore w:val="0"/>
        <w:wordWrap/>
        <w:topLinePunct w:val="0"/>
        <w:bidi w:val="0"/>
        <w:adjustRightInd/>
        <w:snapToGrid/>
        <w:spacing w:line="360" w:lineRule="auto"/>
        <w:jc w:val="center"/>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szCs w:val="24"/>
          <w:highlight w:val="none"/>
        </w:rPr>
        <w:drawing>
          <wp:inline distT="0" distB="0" distL="114300" distR="114300">
            <wp:extent cx="3414395" cy="2700020"/>
            <wp:effectExtent l="0" t="0" r="14605" b="5080"/>
            <wp:docPr id="8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0"/>
                    <pic:cNvPicPr>
                      <a:picLocks noChangeAspect="1"/>
                    </pic:cNvPicPr>
                  </pic:nvPicPr>
                  <pic:blipFill>
                    <a:blip r:embed="rId105"/>
                    <a:stretch>
                      <a:fillRect/>
                    </a:stretch>
                  </pic:blipFill>
                  <pic:spPr>
                    <a:xfrm>
                      <a:off x="0" y="0"/>
                      <a:ext cx="3414395" cy="2700020"/>
                    </a:xfrm>
                    <a:prstGeom prst="rect">
                      <a:avLst/>
                    </a:prstGeom>
                    <a:noFill/>
                    <a:ln>
                      <a:noFill/>
                    </a:ln>
                  </pic:spPr>
                </pic:pic>
              </a:graphicData>
            </a:graphic>
          </wp:inline>
        </w:drawing>
      </w:r>
    </w:p>
    <w:p w14:paraId="1BBF8EFF">
      <w:pPr>
        <w:pageBreakBefore w:val="0"/>
        <w:widowControl w:val="0"/>
        <w:wordWrap/>
        <w:topLinePunct w:val="0"/>
        <w:bidi w:val="0"/>
        <w:adjustRightInd/>
        <w:snapToGrid/>
        <w:spacing w:line="360" w:lineRule="auto"/>
        <w:ind w:left="210"/>
        <w:jc w:val="center"/>
        <w:rPr>
          <w:rFonts w:hint="default" w:ascii="Times New Roman" w:hAnsi="Times New Roman" w:eastAsia="宋体" w:cs="Times New Roman"/>
          <w:smallCaps/>
          <w:color w:val="auto"/>
          <w:kern w:val="2"/>
          <w:sz w:val="24"/>
          <w:szCs w:val="24"/>
          <w:highlight w:val="none"/>
          <w:lang w:val="en-US" w:eastAsia="zh-CN" w:bidi="ar-SA"/>
        </w:rPr>
      </w:pPr>
      <w:r>
        <w:rPr>
          <w:rFonts w:hint="default" w:ascii="Times New Roman" w:hAnsi="Times New Roman" w:eastAsia="宋体" w:cs="Times New Roman"/>
          <w:b/>
          <w:bCs/>
          <w:smallCaps/>
          <w:color w:val="auto"/>
          <w:kern w:val="2"/>
          <w:sz w:val="24"/>
          <w:szCs w:val="24"/>
          <w:highlight w:val="none"/>
          <w:lang w:val="en-US" w:eastAsia="zh-CN" w:bidi="ar-SA"/>
        </w:rPr>
        <w:t>图5.2-3 土壤污染途径示意图</w:t>
      </w:r>
    </w:p>
    <w:p w14:paraId="33B383AA">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rFonts w:hint="default" w:ascii="Times New Roman" w:hAnsi="Times New Roman" w:eastAsia="宋体" w:cs="Times New Roman"/>
          <w:b/>
          <w:bCs/>
          <w:color w:val="auto"/>
          <w:sz w:val="24"/>
          <w:szCs w:val="24"/>
          <w:highlight w:val="none"/>
          <w:lang w:eastAsia="zh-CN"/>
        </w:rPr>
      </w:pPr>
      <w:r>
        <w:rPr>
          <w:rFonts w:hint="default" w:ascii="Times New Roman" w:hAnsi="Times New Roman" w:eastAsia="宋体" w:cs="Times New Roman"/>
          <w:b/>
          <w:bCs/>
          <w:color w:val="auto"/>
          <w:sz w:val="24"/>
          <w:szCs w:val="24"/>
          <w:highlight w:val="none"/>
        </w:rPr>
        <w:t>表5.2-</w:t>
      </w:r>
      <w:r>
        <w:rPr>
          <w:rFonts w:hint="default" w:ascii="Times New Roman" w:hAnsi="Times New Roman" w:eastAsia="宋体" w:cs="Times New Roman"/>
          <w:b/>
          <w:bCs/>
          <w:color w:val="auto"/>
          <w:sz w:val="24"/>
          <w:szCs w:val="24"/>
          <w:highlight w:val="none"/>
          <w:lang w:val="en-US" w:eastAsia="zh-CN"/>
        </w:rPr>
        <w:t>7</w:t>
      </w:r>
      <w:r>
        <w:rPr>
          <w:rFonts w:hint="default" w:ascii="Times New Roman" w:hAnsi="Times New Roman" w:eastAsia="宋体" w:cs="Times New Roman"/>
          <w:b/>
          <w:bCs/>
          <w:color w:val="auto"/>
          <w:sz w:val="24"/>
          <w:szCs w:val="24"/>
          <w:highlight w:val="none"/>
        </w:rPr>
        <w:t xml:space="preserve"> 土壤环境影响类型与影响途径</w:t>
      </w:r>
      <w:r>
        <w:rPr>
          <w:rFonts w:hint="default" w:ascii="Times New Roman" w:hAnsi="Times New Roman" w:eastAsia="宋体" w:cs="Times New Roman"/>
          <w:b/>
          <w:bCs/>
          <w:color w:val="auto"/>
          <w:sz w:val="24"/>
          <w:szCs w:val="24"/>
          <w:highlight w:val="none"/>
          <w:lang w:val="en-US" w:eastAsia="zh-CN"/>
        </w:rPr>
        <w:t>一览表</w:t>
      </w:r>
    </w:p>
    <w:tbl>
      <w:tblPr>
        <w:tblStyle w:val="26"/>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05"/>
        <w:gridCol w:w="1705"/>
        <w:gridCol w:w="1705"/>
        <w:gridCol w:w="1706"/>
        <w:gridCol w:w="1706"/>
      </w:tblGrid>
      <w:tr w14:paraId="215F80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96" w:type="dxa"/>
            <w:vMerge w:val="restart"/>
            <w:noWrap w:val="0"/>
            <w:vAlign w:val="center"/>
          </w:tcPr>
          <w:p w14:paraId="658F6AC4">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时段</w:t>
            </w:r>
          </w:p>
        </w:tc>
        <w:tc>
          <w:tcPr>
            <w:tcW w:w="7186" w:type="dxa"/>
            <w:gridSpan w:val="4"/>
            <w:noWrap w:val="0"/>
            <w:vAlign w:val="center"/>
          </w:tcPr>
          <w:p w14:paraId="2978F20E">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污染影响型</w:t>
            </w:r>
          </w:p>
        </w:tc>
      </w:tr>
      <w:tr w14:paraId="3426F8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96" w:type="dxa"/>
            <w:vMerge w:val="continue"/>
            <w:noWrap w:val="0"/>
            <w:vAlign w:val="center"/>
          </w:tcPr>
          <w:p w14:paraId="68740F2D">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p>
        </w:tc>
        <w:tc>
          <w:tcPr>
            <w:tcW w:w="1796" w:type="dxa"/>
            <w:noWrap w:val="0"/>
            <w:vAlign w:val="center"/>
          </w:tcPr>
          <w:p w14:paraId="4B521A81">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大气沉降</w:t>
            </w:r>
          </w:p>
        </w:tc>
        <w:tc>
          <w:tcPr>
            <w:tcW w:w="1796" w:type="dxa"/>
            <w:noWrap w:val="0"/>
            <w:vAlign w:val="center"/>
          </w:tcPr>
          <w:p w14:paraId="12569F0B">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地面漫流</w:t>
            </w:r>
          </w:p>
        </w:tc>
        <w:tc>
          <w:tcPr>
            <w:tcW w:w="1797" w:type="dxa"/>
            <w:noWrap w:val="0"/>
            <w:vAlign w:val="center"/>
          </w:tcPr>
          <w:p w14:paraId="32E2304C">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垂直入渗</w:t>
            </w:r>
          </w:p>
        </w:tc>
        <w:tc>
          <w:tcPr>
            <w:tcW w:w="1797" w:type="dxa"/>
            <w:noWrap w:val="0"/>
            <w:vAlign w:val="center"/>
          </w:tcPr>
          <w:p w14:paraId="4909EDBA">
            <w:pPr>
              <w:pageBreakBefore w:val="0"/>
              <w:wordWrap/>
              <w:topLinePunct w:val="0"/>
              <w:bidi w:val="0"/>
              <w:adjustRightInd/>
              <w:snapToGrid/>
              <w:spacing w:line="240" w:lineRule="auto"/>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其他</w:t>
            </w:r>
          </w:p>
        </w:tc>
      </w:tr>
      <w:tr w14:paraId="05A028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96" w:type="dxa"/>
            <w:noWrap w:val="0"/>
            <w:vAlign w:val="center"/>
          </w:tcPr>
          <w:p w14:paraId="18DEFA1D">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运营期</w:t>
            </w:r>
          </w:p>
        </w:tc>
        <w:tc>
          <w:tcPr>
            <w:tcW w:w="1796" w:type="dxa"/>
            <w:noWrap w:val="0"/>
            <w:vAlign w:val="center"/>
          </w:tcPr>
          <w:p w14:paraId="335387FD">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1796" w:type="dxa"/>
            <w:noWrap w:val="0"/>
            <w:vAlign w:val="center"/>
          </w:tcPr>
          <w:p w14:paraId="235F991E">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rPr>
            </w:pPr>
          </w:p>
        </w:tc>
        <w:tc>
          <w:tcPr>
            <w:tcW w:w="1797" w:type="dxa"/>
            <w:noWrap w:val="0"/>
            <w:vAlign w:val="center"/>
          </w:tcPr>
          <w:p w14:paraId="76894E37">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1797" w:type="dxa"/>
            <w:noWrap w:val="0"/>
            <w:vAlign w:val="center"/>
          </w:tcPr>
          <w:p w14:paraId="6512238C">
            <w:pPr>
              <w:pageBreakBefore w:val="0"/>
              <w:wordWrap/>
              <w:topLinePunct w:val="0"/>
              <w:bidi w:val="0"/>
              <w:adjustRightInd/>
              <w:snapToGrid/>
              <w:spacing w:line="240" w:lineRule="auto"/>
              <w:jc w:val="center"/>
              <w:rPr>
                <w:rFonts w:hint="default" w:ascii="Times New Roman" w:hAnsi="Times New Roman" w:eastAsia="宋体" w:cs="Times New Roman"/>
                <w:color w:val="auto"/>
                <w:sz w:val="21"/>
                <w:szCs w:val="21"/>
                <w:highlight w:val="none"/>
              </w:rPr>
            </w:pPr>
          </w:p>
        </w:tc>
      </w:tr>
      <w:tr w14:paraId="623DA9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82" w:type="dxa"/>
            <w:gridSpan w:val="5"/>
            <w:noWrap w:val="0"/>
            <w:vAlign w:val="center"/>
          </w:tcPr>
          <w:p w14:paraId="656740DA">
            <w:pPr>
              <w:pageBreakBefore w:val="0"/>
              <w:wordWrap/>
              <w:topLinePunct w:val="0"/>
              <w:bidi w:val="0"/>
              <w:adjustRightInd/>
              <w:snapToGrid/>
              <w:spacing w:line="240" w:lineRule="auto"/>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注：在可能产生的土壤环境影响类型处打“√”</w:t>
            </w:r>
          </w:p>
        </w:tc>
      </w:tr>
    </w:tbl>
    <w:p w14:paraId="684850CE">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（4）土壤环境影响源及影响因子识别</w:t>
      </w:r>
    </w:p>
    <w:p w14:paraId="54D48005">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建设项目可能产生的土壤环境影响源及影响因子见表5.2-8。</w:t>
      </w:r>
    </w:p>
    <w:p w14:paraId="1F99FE47">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rPr>
        <w:t>表5.2-</w:t>
      </w:r>
      <w:r>
        <w:rPr>
          <w:rFonts w:hint="default" w:ascii="Times New Roman" w:hAnsi="Times New Roman" w:eastAsia="宋体" w:cs="Times New Roman"/>
          <w:b/>
          <w:bCs/>
          <w:color w:val="auto"/>
          <w:sz w:val="24"/>
          <w:szCs w:val="24"/>
          <w:highlight w:val="none"/>
          <w:lang w:val="en-US" w:eastAsia="zh-CN"/>
        </w:rPr>
        <w:t>8</w:t>
      </w:r>
      <w:r>
        <w:rPr>
          <w:rFonts w:hint="default" w:ascii="Times New Roman" w:hAnsi="Times New Roman" w:eastAsia="宋体" w:cs="Times New Roman"/>
          <w:b/>
          <w:bCs/>
          <w:color w:val="auto"/>
          <w:sz w:val="24"/>
          <w:szCs w:val="24"/>
          <w:highlight w:val="none"/>
        </w:rPr>
        <w:t xml:space="preserve"> 土壤环境影响源及影响因子识别</w:t>
      </w:r>
      <w:r>
        <w:rPr>
          <w:rFonts w:hint="default" w:ascii="Times New Roman" w:hAnsi="Times New Roman" w:eastAsia="宋体" w:cs="Times New Roman"/>
          <w:b/>
          <w:bCs/>
          <w:color w:val="auto"/>
          <w:sz w:val="24"/>
          <w:szCs w:val="24"/>
          <w:highlight w:val="none"/>
          <w:lang w:val="en-US" w:eastAsia="zh-CN"/>
        </w:rPr>
        <w:t>一览表</w:t>
      </w:r>
    </w:p>
    <w:tbl>
      <w:tblPr>
        <w:tblStyle w:val="26"/>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05"/>
        <w:gridCol w:w="1705"/>
        <w:gridCol w:w="1705"/>
        <w:gridCol w:w="1705"/>
        <w:gridCol w:w="1707"/>
      </w:tblGrid>
      <w:tr w14:paraId="1ADC90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04" w:type="dxa"/>
            <w:noWrap w:val="0"/>
            <w:vAlign w:val="center"/>
          </w:tcPr>
          <w:p w14:paraId="5E70E17C">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b/>
                <w:bCs/>
                <w:smallCaps/>
                <w:color w:val="auto"/>
                <w:kern w:val="2"/>
                <w:sz w:val="21"/>
                <w:szCs w:val="21"/>
                <w:highlight w:val="none"/>
                <w:lang w:val="en-US" w:eastAsia="zh-CN" w:bidi="ar-SA"/>
              </w:rPr>
            </w:pPr>
            <w:r>
              <w:rPr>
                <w:rFonts w:hint="default" w:ascii="Times New Roman" w:hAnsi="Times New Roman" w:eastAsia="宋体" w:cs="Times New Roman"/>
                <w:b/>
                <w:bCs/>
                <w:smallCaps/>
                <w:color w:val="auto"/>
                <w:kern w:val="2"/>
                <w:sz w:val="21"/>
                <w:szCs w:val="21"/>
                <w:highlight w:val="none"/>
                <w:lang w:val="en-US" w:eastAsia="zh-CN" w:bidi="ar-SA"/>
              </w:rPr>
              <w:t>污染源</w:t>
            </w:r>
          </w:p>
        </w:tc>
        <w:tc>
          <w:tcPr>
            <w:tcW w:w="1704" w:type="dxa"/>
            <w:noWrap w:val="0"/>
            <w:vAlign w:val="center"/>
          </w:tcPr>
          <w:p w14:paraId="76BCED56">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b/>
                <w:bCs/>
                <w:smallCaps/>
                <w:color w:val="auto"/>
                <w:kern w:val="2"/>
                <w:sz w:val="21"/>
                <w:szCs w:val="21"/>
                <w:highlight w:val="none"/>
                <w:lang w:val="en-US" w:eastAsia="zh-CN" w:bidi="ar-SA"/>
              </w:rPr>
            </w:pPr>
            <w:r>
              <w:rPr>
                <w:rFonts w:hint="default" w:ascii="Times New Roman" w:hAnsi="Times New Roman" w:eastAsia="宋体" w:cs="Times New Roman"/>
                <w:b/>
                <w:bCs/>
                <w:smallCaps/>
                <w:color w:val="auto"/>
                <w:kern w:val="2"/>
                <w:sz w:val="21"/>
                <w:szCs w:val="21"/>
                <w:highlight w:val="none"/>
                <w:lang w:val="en-US" w:eastAsia="zh-CN" w:bidi="ar-SA"/>
              </w:rPr>
              <w:t>工艺流程/节点</w:t>
            </w:r>
          </w:p>
        </w:tc>
        <w:tc>
          <w:tcPr>
            <w:tcW w:w="1704" w:type="dxa"/>
            <w:noWrap w:val="0"/>
            <w:vAlign w:val="center"/>
          </w:tcPr>
          <w:p w14:paraId="77192B79">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b/>
                <w:bCs/>
                <w:smallCaps/>
                <w:color w:val="auto"/>
                <w:kern w:val="2"/>
                <w:sz w:val="21"/>
                <w:szCs w:val="21"/>
                <w:highlight w:val="none"/>
                <w:lang w:val="en-US" w:eastAsia="zh-CN" w:bidi="ar-SA"/>
              </w:rPr>
            </w:pPr>
            <w:r>
              <w:rPr>
                <w:rFonts w:hint="default" w:ascii="Times New Roman" w:hAnsi="Times New Roman" w:eastAsia="宋体" w:cs="Times New Roman"/>
                <w:b/>
                <w:bCs/>
                <w:smallCaps/>
                <w:color w:val="auto"/>
                <w:kern w:val="2"/>
                <w:sz w:val="21"/>
                <w:szCs w:val="21"/>
                <w:highlight w:val="none"/>
                <w:lang w:val="en-US" w:eastAsia="zh-CN" w:bidi="ar-SA"/>
              </w:rPr>
              <w:t>污染途径</w:t>
            </w:r>
          </w:p>
        </w:tc>
        <w:tc>
          <w:tcPr>
            <w:tcW w:w="1704" w:type="dxa"/>
            <w:noWrap w:val="0"/>
            <w:vAlign w:val="center"/>
          </w:tcPr>
          <w:p w14:paraId="7EF6FCB2">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b/>
                <w:bCs/>
                <w:smallCaps/>
                <w:color w:val="auto"/>
                <w:kern w:val="2"/>
                <w:sz w:val="21"/>
                <w:szCs w:val="21"/>
                <w:highlight w:val="none"/>
                <w:lang w:val="en-US" w:eastAsia="zh-CN" w:bidi="ar-SA"/>
              </w:rPr>
            </w:pPr>
            <w:r>
              <w:rPr>
                <w:rFonts w:hint="default" w:ascii="Times New Roman" w:hAnsi="Times New Roman" w:eastAsia="宋体" w:cs="Times New Roman"/>
                <w:b/>
                <w:bCs/>
                <w:smallCaps/>
                <w:color w:val="auto"/>
                <w:kern w:val="2"/>
                <w:sz w:val="21"/>
                <w:szCs w:val="21"/>
                <w:highlight w:val="none"/>
                <w:lang w:val="en-US" w:eastAsia="zh-CN" w:bidi="ar-SA"/>
              </w:rPr>
              <w:t>污染物指标</w:t>
            </w:r>
          </w:p>
        </w:tc>
        <w:tc>
          <w:tcPr>
            <w:tcW w:w="1706" w:type="dxa"/>
            <w:noWrap w:val="0"/>
            <w:vAlign w:val="center"/>
          </w:tcPr>
          <w:p w14:paraId="04D14250">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b/>
                <w:bCs/>
                <w:smallCaps/>
                <w:color w:val="auto"/>
                <w:kern w:val="2"/>
                <w:sz w:val="21"/>
                <w:szCs w:val="21"/>
                <w:highlight w:val="none"/>
                <w:lang w:val="en-US" w:eastAsia="zh-CN" w:bidi="ar-SA"/>
              </w:rPr>
            </w:pPr>
            <w:r>
              <w:rPr>
                <w:rFonts w:hint="default" w:ascii="Times New Roman" w:hAnsi="Times New Roman" w:eastAsia="宋体" w:cs="Times New Roman"/>
                <w:b/>
                <w:bCs/>
                <w:smallCaps/>
                <w:color w:val="auto"/>
                <w:kern w:val="2"/>
                <w:sz w:val="21"/>
                <w:szCs w:val="21"/>
                <w:highlight w:val="none"/>
                <w:lang w:val="en-US" w:eastAsia="zh-CN" w:bidi="ar-SA"/>
              </w:rPr>
              <w:t>特征因子</w:t>
            </w:r>
          </w:p>
        </w:tc>
      </w:tr>
      <w:tr w14:paraId="4D3244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04" w:type="dxa"/>
            <w:noWrap w:val="0"/>
            <w:vAlign w:val="center"/>
          </w:tcPr>
          <w:p w14:paraId="1B0DF621">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smallCaps/>
                <w:color w:val="auto"/>
                <w:kern w:val="2"/>
                <w:sz w:val="21"/>
                <w:szCs w:val="21"/>
                <w:highlight w:val="none"/>
                <w:lang w:val="en-US" w:eastAsia="zh-CN" w:bidi="ar-SA"/>
              </w:rPr>
            </w:pPr>
            <w:r>
              <w:rPr>
                <w:rFonts w:hint="default" w:ascii="Times New Roman" w:hAnsi="Times New Roman" w:eastAsia="宋体" w:cs="Times New Roman"/>
                <w:smallCaps/>
                <w:color w:val="auto"/>
                <w:kern w:val="2"/>
                <w:sz w:val="21"/>
                <w:szCs w:val="21"/>
                <w:highlight w:val="none"/>
                <w:lang w:val="en-US" w:eastAsia="zh-CN" w:bidi="ar-SA"/>
              </w:rPr>
              <w:t>养殖场</w:t>
            </w:r>
          </w:p>
        </w:tc>
        <w:tc>
          <w:tcPr>
            <w:tcW w:w="1704" w:type="dxa"/>
            <w:noWrap w:val="0"/>
            <w:vAlign w:val="center"/>
          </w:tcPr>
          <w:p w14:paraId="2363BA3C">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smallCaps/>
                <w:color w:val="auto"/>
                <w:kern w:val="2"/>
                <w:sz w:val="21"/>
                <w:szCs w:val="21"/>
                <w:highlight w:val="none"/>
                <w:lang w:val="en-US" w:eastAsia="zh-CN" w:bidi="ar-SA"/>
              </w:rPr>
            </w:pPr>
            <w:r>
              <w:rPr>
                <w:rFonts w:hint="default" w:ascii="Times New Roman" w:hAnsi="Times New Roman" w:eastAsia="宋体" w:cs="Times New Roman"/>
                <w:smallCaps/>
                <w:color w:val="auto"/>
                <w:kern w:val="2"/>
                <w:sz w:val="21"/>
                <w:szCs w:val="21"/>
                <w:highlight w:val="none"/>
                <w:lang w:val="en-US" w:eastAsia="zh-CN" w:bidi="ar-SA"/>
              </w:rPr>
              <w:t>渗漏</w:t>
            </w:r>
          </w:p>
        </w:tc>
        <w:tc>
          <w:tcPr>
            <w:tcW w:w="1704" w:type="dxa"/>
            <w:noWrap w:val="0"/>
            <w:vAlign w:val="center"/>
          </w:tcPr>
          <w:p w14:paraId="31E3E77B">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smallCaps/>
                <w:color w:val="auto"/>
                <w:kern w:val="2"/>
                <w:sz w:val="21"/>
                <w:szCs w:val="21"/>
                <w:highlight w:val="none"/>
                <w:lang w:val="en-US" w:eastAsia="zh-CN" w:bidi="ar-SA"/>
              </w:rPr>
            </w:pPr>
            <w:r>
              <w:rPr>
                <w:rFonts w:hint="default" w:ascii="Times New Roman" w:hAnsi="Times New Roman" w:eastAsia="宋体" w:cs="Times New Roman"/>
                <w:smallCaps/>
                <w:color w:val="auto"/>
                <w:kern w:val="2"/>
                <w:sz w:val="21"/>
                <w:szCs w:val="21"/>
                <w:highlight w:val="none"/>
                <w:lang w:val="en-US" w:eastAsia="zh-CN" w:bidi="ar-SA"/>
              </w:rPr>
              <w:t>垂直入渗</w:t>
            </w:r>
          </w:p>
        </w:tc>
        <w:tc>
          <w:tcPr>
            <w:tcW w:w="1704" w:type="dxa"/>
            <w:noWrap w:val="0"/>
            <w:vAlign w:val="center"/>
          </w:tcPr>
          <w:p w14:paraId="1E37BD0D">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smallCaps/>
                <w:color w:val="auto"/>
                <w:kern w:val="2"/>
                <w:sz w:val="21"/>
                <w:szCs w:val="21"/>
                <w:highlight w:val="none"/>
                <w:lang w:val="en-US" w:eastAsia="zh-CN" w:bidi="ar-SA"/>
              </w:rPr>
            </w:pPr>
            <w:r>
              <w:rPr>
                <w:rFonts w:hint="default" w:ascii="Times New Roman" w:hAnsi="Times New Roman" w:eastAsia="宋体" w:cs="Times New Roman"/>
                <w:smallCaps/>
                <w:color w:val="auto"/>
                <w:kern w:val="2"/>
                <w:sz w:val="21"/>
                <w:szCs w:val="21"/>
                <w:highlight w:val="none"/>
                <w:lang w:val="en-US" w:eastAsia="zh-CN" w:bidi="ar-SA"/>
              </w:rPr>
              <w:t>COD、氨氮</w:t>
            </w:r>
          </w:p>
        </w:tc>
        <w:tc>
          <w:tcPr>
            <w:tcW w:w="1706" w:type="dxa"/>
            <w:noWrap w:val="0"/>
            <w:vAlign w:val="center"/>
          </w:tcPr>
          <w:p w14:paraId="5B2E799F">
            <w:pPr>
              <w:pageBreakBefore w:val="0"/>
              <w:widowControl w:val="0"/>
              <w:wordWrap/>
              <w:topLinePunct w:val="0"/>
              <w:bidi w:val="0"/>
              <w:adjustRightInd/>
              <w:snapToGrid/>
              <w:spacing w:line="240" w:lineRule="auto"/>
              <w:ind w:left="0"/>
              <w:jc w:val="center"/>
              <w:rPr>
                <w:rFonts w:hint="default" w:ascii="Times New Roman" w:hAnsi="Times New Roman" w:eastAsia="宋体" w:cs="Times New Roman"/>
                <w:smallCaps/>
                <w:color w:val="auto"/>
                <w:kern w:val="2"/>
                <w:sz w:val="21"/>
                <w:szCs w:val="21"/>
                <w:highlight w:val="none"/>
                <w:lang w:val="en-US" w:eastAsia="zh-CN" w:bidi="ar-SA"/>
              </w:rPr>
            </w:pPr>
            <w:r>
              <w:rPr>
                <w:rFonts w:hint="default" w:ascii="Times New Roman" w:hAnsi="Times New Roman" w:eastAsia="宋体" w:cs="Times New Roman"/>
                <w:smallCaps/>
                <w:color w:val="auto"/>
                <w:kern w:val="2"/>
                <w:sz w:val="21"/>
                <w:szCs w:val="21"/>
                <w:highlight w:val="none"/>
                <w:lang w:val="en-US" w:eastAsia="zh-CN" w:bidi="ar-SA"/>
              </w:rPr>
              <w:t>/</w:t>
            </w:r>
          </w:p>
        </w:tc>
      </w:tr>
    </w:tbl>
    <w:p w14:paraId="0BAC84DF">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（5）土壤环境影响评价</w:t>
      </w:r>
    </w:p>
    <w:p w14:paraId="29E8DEF7">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本项目牛舍地面出现泄露或渗漏后，进入土壤的污染物主要为COD、氨氮等，不涉及《土壤环境质量 农用地土壤污染风险管控标准（试行）》（GB15618-2018）表1农用地土壤污染风险筛选值中的污染物项目。一旦泄露，进入土壤的污染物（COD、氨氮等）与土壤溶液、空气、矿物质、有机质和微生物之间发生物理、化学和生物变化，形成污染物在表土层和土体中滞留、土壤溶液驱动下污染物迁移、污染物化学与生物转化将形成局地土壤污染。</w:t>
      </w:r>
    </w:p>
    <w:p w14:paraId="1832421D">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FF0000"/>
          <w:kern w:val="2"/>
          <w:sz w:val="24"/>
          <w:szCs w:val="24"/>
          <w:highlight w:val="none"/>
          <w:lang w:val="en-US" w:eastAsia="zh-CN" w:bidi="ar-SA"/>
        </w:rPr>
        <w:t>本项目牛舍地面均采取</w:t>
      </w:r>
      <w:r>
        <w:rPr>
          <w:rFonts w:hint="eastAsia" w:cs="Times New Roman"/>
          <w:color w:val="FF0000"/>
          <w:kern w:val="2"/>
          <w:sz w:val="24"/>
          <w:szCs w:val="24"/>
          <w:highlight w:val="none"/>
          <w:lang w:val="en-US" w:eastAsia="zh-CN" w:bidi="ar-SA"/>
        </w:rPr>
        <w:t>一般</w:t>
      </w:r>
      <w:r>
        <w:rPr>
          <w:rFonts w:hint="default" w:ascii="Times New Roman" w:hAnsi="Times New Roman" w:eastAsia="宋体" w:cs="Times New Roman"/>
          <w:color w:val="FF0000"/>
          <w:kern w:val="2"/>
          <w:sz w:val="24"/>
          <w:szCs w:val="24"/>
          <w:highlight w:val="none"/>
          <w:lang w:val="en-US" w:eastAsia="zh-CN" w:bidi="ar-SA"/>
        </w:rPr>
        <w:t>防渗措施，设置环境跟踪监测点，及时发现问题，采取措施；加强管理，工作人员须经过培训，严格遵守操作规程。</w:t>
      </w:r>
    </w:p>
    <w:p w14:paraId="3CB76176">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outlineLvl w:val="9"/>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因此，正常情况下牛舍不会发生泄漏并对土壤产生影响；一旦发生异常，立即启</w:t>
      </w:r>
      <w:r>
        <w:rPr>
          <w:rFonts w:hint="default" w:ascii="Times New Roman" w:hAnsi="Times New Roman" w:eastAsia="宋体" w:cs="Times New Roman"/>
          <w:color w:val="FF0000"/>
          <w:kern w:val="2"/>
          <w:sz w:val="24"/>
          <w:szCs w:val="24"/>
          <w:highlight w:val="none"/>
          <w:lang w:val="en-US" w:eastAsia="zh-CN" w:bidi="ar-SA"/>
        </w:rPr>
        <w:t>动应急机制</w:t>
      </w:r>
      <w:r>
        <w:rPr>
          <w:rFonts w:hint="default" w:ascii="Times New Roman" w:hAnsi="Times New Roman" w:eastAsia="宋体" w:cs="Times New Roman"/>
          <w:color w:val="auto"/>
          <w:kern w:val="2"/>
          <w:sz w:val="24"/>
          <w:szCs w:val="24"/>
          <w:highlight w:val="none"/>
          <w:lang w:val="en-US" w:eastAsia="zh-CN" w:bidi="ar-SA"/>
        </w:rPr>
        <w:t>，解决问题，项目建成后不会对土壤环境产生影响。</w:t>
      </w:r>
    </w:p>
    <w:p w14:paraId="17FE2A18">
      <w:pPr>
        <w:pStyle w:val="5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napToGrid w:val="0"/>
          <w:color w:val="FF0000"/>
          <w:kern w:val="2"/>
          <w:sz w:val="24"/>
          <w:szCs w:val="24"/>
          <w:highlight w:val="none"/>
          <w:lang w:val="en-US" w:eastAsia="zh-CN" w:bidi="ar-SA"/>
        </w:rPr>
      </w:pPr>
      <w:r>
        <w:rPr>
          <w:rFonts w:hint="default" w:ascii="Times New Roman" w:hAnsi="Times New Roman" w:eastAsia="宋体" w:cs="Times New Roman"/>
          <w:snapToGrid w:val="0"/>
          <w:color w:val="FF0000"/>
          <w:kern w:val="2"/>
          <w:sz w:val="24"/>
          <w:szCs w:val="24"/>
          <w:highlight w:val="none"/>
          <w:lang w:val="en-US" w:eastAsia="zh-CN" w:bidi="ar-SA"/>
        </w:rPr>
        <w:t>（6）环境跟踪监测点</w:t>
      </w:r>
    </w:p>
    <w:p w14:paraId="1C2EF998">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outlineLvl w:val="9"/>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FF0000"/>
          <w:kern w:val="2"/>
          <w:sz w:val="24"/>
          <w:szCs w:val="24"/>
          <w:highlight w:val="none"/>
          <w:lang w:val="en-US" w:eastAsia="zh-CN" w:bidi="ar-SA"/>
        </w:rPr>
        <w:t>本项目评价工作等级为三级，根据导则规定，项目可在必要时开展跟踪监测，必要时对土壤环境进行监测，委托有资质的单位进行，监测报告应包括建设项目所在地及其影响区土壤环境跟踪监测数据，各生产设施及污染防控措施等设施的运行状况、维护记录，同时对监测结果进行信息公开。</w:t>
      </w:r>
    </w:p>
    <w:p w14:paraId="69E999B6">
      <w:pPr>
        <w:keepNext w:val="0"/>
        <w:keepLines w:val="0"/>
        <w:pageBreakBefore w:val="0"/>
        <w:widowControl/>
        <w:numPr>
          <w:ilvl w:val="0"/>
          <w:numId w:val="3"/>
        </w:numPr>
        <w:kinsoku/>
        <w:wordWrap w:val="0"/>
        <w:overflowPunct/>
        <w:topLinePunct/>
        <w:autoSpaceDE/>
        <w:autoSpaceDN/>
        <w:bidi w:val="0"/>
        <w:adjustRightInd w:val="0"/>
        <w:snapToGrid w:val="0"/>
        <w:spacing w:line="360" w:lineRule="auto"/>
        <w:ind w:left="0" w:right="0" w:firstLine="480" w:firstLineChars="200"/>
        <w:textAlignment w:val="baseline"/>
        <w:outlineLvl w:val="9"/>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FF0000"/>
          <w:kern w:val="2"/>
          <w:sz w:val="24"/>
          <w:szCs w:val="24"/>
          <w:highlight w:val="none"/>
          <w:lang w:val="en-US" w:eastAsia="zh-CN" w:bidi="ar-SA"/>
        </w:rPr>
        <w:t>应急机制</w:t>
      </w:r>
    </w:p>
    <w:p w14:paraId="55BE386C">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outlineLvl w:val="9"/>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FF0000"/>
          <w:kern w:val="2"/>
          <w:sz w:val="24"/>
          <w:szCs w:val="24"/>
          <w:highlight w:val="none"/>
          <w:lang w:val="en-US" w:eastAsia="zh-CN" w:bidi="ar-SA"/>
        </w:rPr>
        <w:t>在接到泄漏预警后，应立即启动应急响应机制。首先要成立应急指挥中心，负责统一指挥和协调应急处置工作。应急指挥中心应迅速组织人员对泄漏情况进行评估，包括泄漏位置、泄漏量、介质类型、周边环境等因素，以便制定针对性的应急处置方案</w:t>
      </w:r>
    </w:p>
    <w:p w14:paraId="1022D620">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97" w:name="_Toc6662"/>
      <w:r>
        <w:rPr>
          <w:rFonts w:hint="default" w:ascii="Times New Roman" w:hAnsi="Times New Roman" w:eastAsia="宋体" w:cs="Times New Roman"/>
          <w:b/>
          <w:bCs/>
          <w:color w:val="auto"/>
          <w:spacing w:val="-2"/>
          <w:sz w:val="24"/>
          <w:szCs w:val="24"/>
          <w:highlight w:val="none"/>
          <w:lang w:val="en-US" w:eastAsia="zh-CN"/>
        </w:rPr>
        <w:t>5.2.7生态环境影响预测与分析</w:t>
      </w:r>
      <w:bookmarkEnd w:id="197"/>
    </w:p>
    <w:p w14:paraId="612FD881">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pacing w:val="-4"/>
          <w:sz w:val="24"/>
          <w:szCs w:val="24"/>
          <w:highlight w:val="none"/>
          <w:lang w:val="zh-CN"/>
        </w:rPr>
      </w:pPr>
      <w:r>
        <w:rPr>
          <w:rFonts w:hint="default" w:ascii="Times New Roman" w:hAnsi="Times New Roman" w:eastAsia="宋体" w:cs="Times New Roman"/>
          <w:color w:val="auto"/>
          <w:spacing w:val="-4"/>
          <w:sz w:val="24"/>
          <w:szCs w:val="24"/>
          <w:highlight w:val="none"/>
        </w:rPr>
        <w:t>项目建设将对区域土壤、植被和地表环境造成一定的破坏。项目区扰动的原地貌和破坏的植被并非评价区特有植被，在项目区域乃至黑龙江省大部均有广泛分布。因此本项目不会造成评价区任何一种植被类型的消失。在采取做好生产管理和生态恢复等措施的情况下，项目永久占地对评价区植被的影响较小。本项目通过对区域肉牛养殖实施集约化管理，并对肉牛养殖产生的粪污进行减量化、无害化、资源化综合利用</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对牛舍区采用干撒式发酵床工艺，从源头上消除了粪尿对生态环境的污染</w:t>
      </w:r>
      <w:r>
        <w:rPr>
          <w:rFonts w:hint="default" w:ascii="Times New Roman" w:hAnsi="Times New Roman" w:eastAsia="宋体" w:cs="Times New Roman"/>
          <w:color w:val="auto"/>
          <w:spacing w:val="-4"/>
          <w:sz w:val="24"/>
          <w:szCs w:val="24"/>
          <w:highlight w:val="none"/>
          <w:lang w:eastAsia="zh-CN"/>
        </w:rPr>
        <w:t>。</w:t>
      </w:r>
    </w:p>
    <w:p w14:paraId="6CAF0864">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pacing w:val="-4"/>
          <w:sz w:val="24"/>
          <w:szCs w:val="24"/>
          <w:highlight w:val="none"/>
          <w:lang w:val="zh-CN"/>
        </w:rPr>
      </w:pPr>
      <w:r>
        <w:rPr>
          <w:rFonts w:hint="default" w:ascii="Times New Roman" w:hAnsi="Times New Roman" w:eastAsia="宋体" w:cs="Times New Roman"/>
          <w:color w:val="auto"/>
          <w:spacing w:val="-4"/>
          <w:sz w:val="24"/>
          <w:szCs w:val="24"/>
          <w:highlight w:val="none"/>
        </w:rPr>
        <w:t>本项目的选址不属于当地政府划定的</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敏感区</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和</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禁养区</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，不涉及自然保护区的核心区和缓冲区、风景名胜区等环境敏感区域。</w:t>
      </w:r>
      <w:r>
        <w:rPr>
          <w:rFonts w:hint="default" w:ascii="Times New Roman" w:hAnsi="Times New Roman" w:eastAsia="宋体" w:cs="Times New Roman"/>
          <w:color w:val="auto"/>
          <w:spacing w:val="-4"/>
          <w:sz w:val="24"/>
          <w:szCs w:val="24"/>
          <w:highlight w:val="none"/>
          <w:lang w:val="zh-CN"/>
        </w:rPr>
        <w:t>占地内无国家和地方保护物种。项目建成后通过绿化工程等措施，将最大程度减缓对生态环境的影响。</w:t>
      </w:r>
    </w:p>
    <w:p w14:paraId="76388DE6">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98" w:name="_Toc26146"/>
      <w:r>
        <w:rPr>
          <w:rFonts w:hint="default" w:ascii="Times New Roman" w:hAnsi="Times New Roman" w:eastAsia="宋体" w:cs="Times New Roman"/>
          <w:b/>
          <w:bCs/>
          <w:color w:val="auto"/>
          <w:spacing w:val="-2"/>
          <w:sz w:val="24"/>
          <w:szCs w:val="24"/>
          <w:highlight w:val="none"/>
          <w:lang w:val="en-US" w:eastAsia="zh-CN"/>
        </w:rPr>
        <w:t>5.2.8水土流失的影响预测与分析</w:t>
      </w:r>
      <w:bookmarkEnd w:id="198"/>
    </w:p>
    <w:p w14:paraId="4AF66B93">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水土流失主要指地表组成物质受流水、重力或人为作用造成的水和土的流失过程，它主要包括水的损失和土（土壤</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母质</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风化物</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基岩）的流失两部分。此外，由于径流和土壤侵蚀中携带着大量的养分流失，所以水土流失过程也必然伴随着养分流失过程。水土流失造成的危害主要有破坏土地完整性、土壤肥力衰退，影响农业生产、影响水资源开发利用、加剧洪涝灾害等。为了避免本项目在施工及运营过程中造成区域水土流失，破坏当地生态环境，提出建议如下：</w:t>
      </w:r>
    </w:p>
    <w:p w14:paraId="3B173AD9">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①项目施工过程中利用拦挡物将施工过程中产生的废渣、弃土、弃石等</w:t>
      </w:r>
      <w:r>
        <w:rPr>
          <w:rFonts w:hint="default" w:ascii="Times New Roman" w:hAnsi="Times New Roman" w:eastAsia="宋体" w:cs="Times New Roman"/>
          <w:color w:val="auto"/>
          <w:sz w:val="24"/>
          <w:szCs w:val="24"/>
          <w:highlight w:val="none"/>
          <w:lang w:val="en-US" w:eastAsia="zh-CN"/>
        </w:rPr>
        <w:t>进行</w:t>
      </w:r>
      <w:r>
        <w:rPr>
          <w:rFonts w:hint="default" w:ascii="Times New Roman" w:hAnsi="Times New Roman" w:eastAsia="宋体" w:cs="Times New Roman"/>
          <w:color w:val="auto"/>
          <w:sz w:val="24"/>
          <w:szCs w:val="24"/>
          <w:highlight w:val="none"/>
        </w:rPr>
        <w:t>围挡，避免在暴雨中被冲刷流失。</w:t>
      </w:r>
    </w:p>
    <w:p w14:paraId="651AE9CD">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②针对施工过程中产生的深坑、浅凹等陷区，及时用机械或人工进行平整，根据不同情况可改造成农、林、牧用地。</w:t>
      </w:r>
    </w:p>
    <w:p w14:paraId="006A0A04">
      <w:pPr>
        <w:pStyle w:val="11"/>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zh-CN" w:eastAsia="en-US" w:bidi="ar-SA"/>
        </w:rPr>
      </w:pPr>
      <w:r>
        <w:rPr>
          <w:rFonts w:hint="default" w:ascii="Times New Roman" w:hAnsi="Times New Roman" w:eastAsia="宋体" w:cs="Times New Roman"/>
          <w:snapToGrid w:val="0"/>
          <w:color w:val="auto"/>
          <w:kern w:val="0"/>
          <w:sz w:val="24"/>
          <w:szCs w:val="24"/>
          <w:highlight w:val="none"/>
          <w:lang w:val="en-US" w:eastAsia="en-US" w:bidi="ar-SA"/>
        </w:rPr>
        <w:t>③建议项目方在项目建成后，及时对周边裸露的地表进行绿化，减少土地裸露面积。</w:t>
      </w:r>
    </w:p>
    <w:p w14:paraId="2560166E">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199" w:name="_Toc14132"/>
      <w:r>
        <w:rPr>
          <w:rFonts w:hint="default" w:ascii="Times New Roman" w:hAnsi="Times New Roman" w:eastAsia="宋体" w:cs="Times New Roman"/>
          <w:b/>
          <w:bCs/>
          <w:color w:val="auto"/>
          <w:spacing w:val="-2"/>
          <w:sz w:val="24"/>
          <w:szCs w:val="24"/>
          <w:highlight w:val="none"/>
          <w:lang w:val="en-US" w:eastAsia="zh-CN"/>
        </w:rPr>
        <w:t>5.2.9环境风险评价</w:t>
      </w:r>
      <w:bookmarkEnd w:id="199"/>
    </w:p>
    <w:p w14:paraId="3FAF37E0">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4"/>
          <w:highlight w:val="none"/>
          <w:lang w:val="en-US" w:eastAsia="zh-CN"/>
        </w:rPr>
      </w:pPr>
      <w:r>
        <w:rPr>
          <w:rFonts w:hint="default" w:ascii="Times New Roman" w:hAnsi="Times New Roman" w:eastAsia="宋体" w:cs="Times New Roman"/>
          <w:snapToGrid w:val="0"/>
          <w:color w:val="auto"/>
          <w:kern w:val="0"/>
          <w:sz w:val="24"/>
          <w:szCs w:val="24"/>
          <w:highlight w:val="none"/>
          <w:lang w:val="en-US" w:eastAsia="zh-CN"/>
        </w:rPr>
        <w:t>由</w:t>
      </w:r>
      <w:r>
        <w:rPr>
          <w:rFonts w:hint="default" w:ascii="Times New Roman" w:hAnsi="Times New Roman" w:eastAsia="宋体" w:cs="Times New Roman"/>
          <w:snapToGrid w:val="0"/>
          <w:color w:val="auto"/>
          <w:kern w:val="0"/>
          <w:sz w:val="24"/>
          <w:szCs w:val="24"/>
          <w:highlight w:val="none"/>
        </w:rPr>
        <w:t>环境风险识别</w:t>
      </w:r>
      <w:r>
        <w:rPr>
          <w:rFonts w:hint="default" w:ascii="Times New Roman" w:hAnsi="Times New Roman" w:eastAsia="宋体" w:cs="Times New Roman"/>
          <w:snapToGrid w:val="0"/>
          <w:color w:val="auto"/>
          <w:kern w:val="0"/>
          <w:sz w:val="24"/>
          <w:szCs w:val="24"/>
          <w:highlight w:val="none"/>
          <w:lang w:val="en-US" w:eastAsia="zh-CN"/>
        </w:rPr>
        <w:t>可知，本项目运营期涉及到的风险主要为养殖过程中的疾病疫情风险。</w:t>
      </w:r>
    </w:p>
    <w:p w14:paraId="28934DD6">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疾病的防控是</w:t>
      </w:r>
      <w:r>
        <w:rPr>
          <w:rFonts w:hint="default" w:ascii="Times New Roman" w:hAnsi="Times New Roman" w:eastAsia="宋体" w:cs="Times New Roman"/>
          <w:color w:val="auto"/>
          <w:sz w:val="24"/>
          <w:szCs w:val="24"/>
          <w:highlight w:val="none"/>
          <w:lang w:val="en-US" w:eastAsia="zh-CN"/>
        </w:rPr>
        <w:t>肉牛</w:t>
      </w:r>
      <w:r>
        <w:rPr>
          <w:rFonts w:hint="default" w:ascii="Times New Roman" w:hAnsi="Times New Roman" w:eastAsia="宋体" w:cs="Times New Roman"/>
          <w:color w:val="auto"/>
          <w:sz w:val="24"/>
          <w:szCs w:val="24"/>
          <w:highlight w:val="none"/>
          <w:lang w:val="en-US"/>
        </w:rPr>
        <w:t>养殖的主要内容，一旦疾病发生，就会影响</w:t>
      </w:r>
      <w:r>
        <w:rPr>
          <w:rFonts w:hint="default" w:ascii="Times New Roman" w:hAnsi="Times New Roman" w:eastAsia="宋体" w:cs="Times New Roman"/>
          <w:color w:val="auto"/>
          <w:sz w:val="24"/>
          <w:szCs w:val="24"/>
          <w:highlight w:val="none"/>
          <w:lang w:val="en-US" w:eastAsia="zh-CN"/>
        </w:rPr>
        <w:t>肉牛育肥</w:t>
      </w:r>
      <w:r>
        <w:rPr>
          <w:rFonts w:hint="default" w:ascii="Times New Roman" w:hAnsi="Times New Roman" w:eastAsia="宋体" w:cs="Times New Roman"/>
          <w:color w:val="auto"/>
          <w:sz w:val="24"/>
          <w:szCs w:val="24"/>
          <w:highlight w:val="none"/>
          <w:lang w:val="en-US"/>
        </w:rPr>
        <w:t>性能，繁殖性能，甚至引起</w:t>
      </w:r>
      <w:r>
        <w:rPr>
          <w:rFonts w:hint="default" w:ascii="Times New Roman" w:hAnsi="Times New Roman" w:eastAsia="宋体" w:cs="Times New Roman"/>
          <w:color w:val="auto"/>
          <w:sz w:val="24"/>
          <w:szCs w:val="24"/>
          <w:highlight w:val="none"/>
          <w:lang w:val="en-US" w:eastAsia="zh-CN"/>
        </w:rPr>
        <w:t>肉牛</w:t>
      </w:r>
      <w:r>
        <w:rPr>
          <w:rFonts w:hint="default" w:ascii="Times New Roman" w:hAnsi="Times New Roman" w:eastAsia="宋体" w:cs="Times New Roman"/>
          <w:color w:val="auto"/>
          <w:sz w:val="24"/>
          <w:szCs w:val="24"/>
          <w:highlight w:val="none"/>
          <w:lang w:val="en-US"/>
        </w:rPr>
        <w:t>死亡、淘汰。在</w:t>
      </w:r>
      <w:r>
        <w:rPr>
          <w:rFonts w:hint="default" w:ascii="Times New Roman" w:hAnsi="Times New Roman" w:eastAsia="宋体" w:cs="Times New Roman"/>
          <w:color w:val="auto"/>
          <w:sz w:val="24"/>
          <w:szCs w:val="24"/>
          <w:highlight w:val="none"/>
          <w:lang w:val="en-US" w:eastAsia="zh-CN"/>
        </w:rPr>
        <w:t>养殖</w:t>
      </w:r>
      <w:r>
        <w:rPr>
          <w:rFonts w:hint="default" w:ascii="Times New Roman" w:hAnsi="Times New Roman" w:eastAsia="宋体" w:cs="Times New Roman"/>
          <w:color w:val="auto"/>
          <w:sz w:val="24"/>
          <w:szCs w:val="24"/>
          <w:highlight w:val="none"/>
          <w:lang w:val="en-US"/>
        </w:rPr>
        <w:t>初期引进</w:t>
      </w:r>
      <w:r>
        <w:rPr>
          <w:rFonts w:hint="default" w:ascii="Times New Roman" w:hAnsi="Times New Roman" w:eastAsia="宋体" w:cs="Times New Roman"/>
          <w:color w:val="auto"/>
          <w:sz w:val="24"/>
          <w:szCs w:val="24"/>
          <w:highlight w:val="none"/>
          <w:lang w:val="en-US" w:eastAsia="zh-CN"/>
        </w:rPr>
        <w:t>肉牛</w:t>
      </w:r>
      <w:r>
        <w:rPr>
          <w:rFonts w:hint="default" w:ascii="Times New Roman" w:hAnsi="Times New Roman" w:eastAsia="宋体" w:cs="Times New Roman"/>
          <w:color w:val="auto"/>
          <w:sz w:val="24"/>
          <w:szCs w:val="24"/>
          <w:highlight w:val="none"/>
          <w:lang w:val="en-US"/>
        </w:rPr>
        <w:t>的品种、生产性能、繁殖性能以及健康状况至关重要，这将是养殖场运作的基础条件。另外，对引进</w:t>
      </w:r>
      <w:r>
        <w:rPr>
          <w:rFonts w:hint="default" w:ascii="Times New Roman" w:hAnsi="Times New Roman" w:eastAsia="宋体" w:cs="Times New Roman"/>
          <w:color w:val="auto"/>
          <w:sz w:val="24"/>
          <w:szCs w:val="24"/>
          <w:highlight w:val="none"/>
          <w:lang w:val="en-US" w:eastAsia="zh-CN"/>
        </w:rPr>
        <w:t>肉牛</w:t>
      </w:r>
      <w:r>
        <w:rPr>
          <w:rFonts w:hint="default" w:ascii="Times New Roman" w:hAnsi="Times New Roman" w:eastAsia="宋体" w:cs="Times New Roman"/>
          <w:color w:val="auto"/>
          <w:sz w:val="24"/>
          <w:szCs w:val="24"/>
          <w:highlight w:val="none"/>
          <w:lang w:val="en-US"/>
        </w:rPr>
        <w:t>的检测检疫要严格把关，避免引入潜在感染的</w:t>
      </w:r>
      <w:r>
        <w:rPr>
          <w:rFonts w:hint="default" w:ascii="Times New Roman" w:hAnsi="Times New Roman" w:eastAsia="宋体" w:cs="Times New Roman"/>
          <w:color w:val="auto"/>
          <w:sz w:val="24"/>
          <w:szCs w:val="24"/>
          <w:highlight w:val="none"/>
          <w:lang w:val="en-US" w:eastAsia="zh-CN"/>
        </w:rPr>
        <w:t>肉牛</w:t>
      </w:r>
      <w:r>
        <w:rPr>
          <w:rFonts w:hint="default" w:ascii="Times New Roman" w:hAnsi="Times New Roman" w:eastAsia="宋体" w:cs="Times New Roman"/>
          <w:color w:val="auto"/>
          <w:sz w:val="24"/>
          <w:szCs w:val="24"/>
          <w:highlight w:val="none"/>
          <w:lang w:val="en-US"/>
        </w:rPr>
        <w:t>，尤其是传染性疾病潜伏期的</w:t>
      </w:r>
      <w:r>
        <w:rPr>
          <w:rFonts w:hint="default" w:ascii="Times New Roman" w:hAnsi="Times New Roman" w:eastAsia="宋体" w:cs="Times New Roman"/>
          <w:color w:val="auto"/>
          <w:sz w:val="24"/>
          <w:szCs w:val="24"/>
          <w:highlight w:val="none"/>
          <w:lang w:val="en-US" w:eastAsia="zh-CN"/>
        </w:rPr>
        <w:t>肉牛</w:t>
      </w:r>
      <w:r>
        <w:rPr>
          <w:rFonts w:hint="default" w:ascii="Times New Roman" w:hAnsi="Times New Roman" w:eastAsia="宋体" w:cs="Times New Roman"/>
          <w:color w:val="auto"/>
          <w:sz w:val="24"/>
          <w:szCs w:val="24"/>
          <w:highlight w:val="none"/>
          <w:lang w:val="en-US"/>
        </w:rPr>
        <w:t>。</w:t>
      </w:r>
    </w:p>
    <w:p w14:paraId="19ADC293">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针对这些问题</w:t>
      </w:r>
      <w:r>
        <w:rPr>
          <w:rFonts w:hint="default" w:ascii="Times New Roman" w:hAnsi="Times New Roman" w:eastAsia="宋体" w:cs="Times New Roman"/>
          <w:color w:val="auto"/>
          <w:sz w:val="24"/>
          <w:szCs w:val="24"/>
          <w:highlight w:val="none"/>
          <w:lang w:val="en-US" w:eastAsia="zh-CN"/>
        </w:rPr>
        <w:t>，养殖场</w:t>
      </w:r>
      <w:r>
        <w:rPr>
          <w:rFonts w:hint="default" w:ascii="Times New Roman" w:hAnsi="Times New Roman" w:eastAsia="宋体" w:cs="Times New Roman"/>
          <w:color w:val="auto"/>
          <w:sz w:val="24"/>
          <w:szCs w:val="24"/>
          <w:highlight w:val="none"/>
          <w:lang w:val="en-US"/>
        </w:rPr>
        <w:t>建立疫病防治措施体系如下：</w:t>
      </w:r>
    </w:p>
    <w:p w14:paraId="6CC2B62D">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（1）疫病监测</w:t>
      </w:r>
    </w:p>
    <w:p w14:paraId="475C1D29">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对</w:t>
      </w:r>
      <w:r>
        <w:rPr>
          <w:rFonts w:hint="default" w:ascii="Times New Roman" w:hAnsi="Times New Roman" w:eastAsia="宋体" w:cs="Times New Roman"/>
          <w:color w:val="auto"/>
          <w:sz w:val="24"/>
          <w:szCs w:val="24"/>
          <w:highlight w:val="none"/>
          <w:lang w:val="en-US" w:eastAsia="zh-CN"/>
        </w:rPr>
        <w:t>肉牛养殖场</w:t>
      </w:r>
      <w:r>
        <w:rPr>
          <w:rFonts w:hint="default" w:ascii="Times New Roman" w:hAnsi="Times New Roman" w:eastAsia="宋体" w:cs="Times New Roman"/>
          <w:color w:val="auto"/>
          <w:sz w:val="24"/>
          <w:szCs w:val="24"/>
          <w:highlight w:val="none"/>
          <w:lang w:val="en-US"/>
        </w:rPr>
        <w:t>常见传染病、我国已扑灭的疾病和外来病制定疫病监控方案；与当地畜牧兽医行政管理部门建立定期的疫病监督抽查报告制度。每次免疫和检疫结果要有完整的记录，检疫与检测报告妥善保管。</w:t>
      </w:r>
    </w:p>
    <w:p w14:paraId="6FF1878C">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（2）疫病的控制</w:t>
      </w:r>
    </w:p>
    <w:p w14:paraId="5FEC5766">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每年3-4月对两龄以上牛只进行无毒炭疽芽孢苗的免疫注射。每年4-5月和10-11月对6月龄以上牛只进行两次结合检疫。每年2、6、10月分三次进行牛“O”型口蹄疫灭活苗免疫注射，免疫30天后进行抗体检测，对检测抗体</w:t>
      </w:r>
      <w:r>
        <w:rPr>
          <w:rFonts w:hint="default" w:ascii="Times New Roman" w:hAnsi="Times New Roman" w:eastAsia="宋体" w:cs="Times New Roman"/>
          <w:color w:val="auto"/>
          <w:sz w:val="24"/>
          <w:szCs w:val="24"/>
          <w:highlight w:val="none"/>
          <w:lang w:val="en-US" w:eastAsia="zh-CN"/>
        </w:rPr>
        <w:t>低于</w:t>
      </w:r>
      <w:r>
        <w:rPr>
          <w:rFonts w:hint="default" w:ascii="Times New Roman" w:hAnsi="Times New Roman" w:eastAsia="宋体" w:cs="Times New Roman"/>
          <w:color w:val="auto"/>
          <w:sz w:val="24"/>
          <w:szCs w:val="24"/>
          <w:highlight w:val="none"/>
          <w:lang w:val="en-US"/>
        </w:rPr>
        <w:t>标准指数的及时补针。</w:t>
      </w:r>
    </w:p>
    <w:p w14:paraId="21797193">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及时清扫牛舍，牛栏大小设计要合理，牛床设计尽量考虑牛卧床时的舒适，牛床应铺上垫草</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rPr>
        <w:t>锯末等材料以保持松软，坚硬的牛床易</w:t>
      </w:r>
      <w:r>
        <w:rPr>
          <w:rFonts w:hint="default" w:ascii="Times New Roman" w:hAnsi="Times New Roman" w:eastAsia="宋体" w:cs="Times New Roman"/>
          <w:color w:val="auto"/>
          <w:sz w:val="24"/>
          <w:szCs w:val="24"/>
          <w:highlight w:val="none"/>
          <w:lang w:val="en-US" w:eastAsia="zh-CN"/>
        </w:rPr>
        <w:t>引起</w:t>
      </w:r>
      <w:r>
        <w:rPr>
          <w:rFonts w:hint="default" w:ascii="Times New Roman" w:hAnsi="Times New Roman" w:eastAsia="宋体" w:cs="Times New Roman"/>
          <w:color w:val="auto"/>
          <w:sz w:val="24"/>
          <w:szCs w:val="24"/>
          <w:highlight w:val="none"/>
          <w:lang w:val="en-US"/>
        </w:rPr>
        <w:t>损伤</w:t>
      </w:r>
      <w:r>
        <w:rPr>
          <w:rFonts w:hint="default" w:ascii="Times New Roman" w:hAnsi="Times New Roman" w:eastAsia="宋体" w:cs="Times New Roman"/>
          <w:color w:val="auto"/>
          <w:sz w:val="24"/>
          <w:szCs w:val="24"/>
          <w:highlight w:val="none"/>
          <w:lang w:val="en-US" w:eastAsia="zh-CN"/>
        </w:rPr>
        <w:t>导致</w:t>
      </w:r>
      <w:r>
        <w:rPr>
          <w:rFonts w:hint="default" w:ascii="Times New Roman" w:hAnsi="Times New Roman" w:eastAsia="宋体" w:cs="Times New Roman"/>
          <w:color w:val="auto"/>
          <w:sz w:val="24"/>
          <w:szCs w:val="24"/>
          <w:highlight w:val="none"/>
          <w:lang w:val="en-US"/>
        </w:rPr>
        <w:t>感染。</w:t>
      </w:r>
    </w:p>
    <w:p w14:paraId="4DE6C7DD">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（3）疫病的扑灭</w:t>
      </w:r>
    </w:p>
    <w:p w14:paraId="657BC43C">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在养殖</w:t>
      </w:r>
      <w:r>
        <w:rPr>
          <w:rFonts w:hint="default" w:ascii="Times New Roman" w:hAnsi="Times New Roman" w:eastAsia="宋体" w:cs="Times New Roman"/>
          <w:color w:val="auto"/>
          <w:sz w:val="24"/>
          <w:szCs w:val="24"/>
          <w:highlight w:val="none"/>
          <w:lang w:val="en-US" w:eastAsia="zh-CN"/>
        </w:rPr>
        <w:t>场</w:t>
      </w:r>
      <w:r>
        <w:rPr>
          <w:rFonts w:hint="default" w:ascii="Times New Roman" w:hAnsi="Times New Roman" w:eastAsia="宋体" w:cs="Times New Roman"/>
          <w:color w:val="auto"/>
          <w:sz w:val="24"/>
          <w:szCs w:val="24"/>
          <w:highlight w:val="none"/>
          <w:lang w:val="en-US"/>
        </w:rPr>
        <w:t>发生疫病或怀疑发生疫病时根据《中华人民共和国动物防疫法》及时采取措施、及时诊断、及时报告。如发现传染疫情，对牛群实施严格的隔离、扑杀措施并追踪调查病牛的亲代，对牛群实施清群和净化措施。对患有传染性疾病的</w:t>
      </w:r>
      <w:r>
        <w:rPr>
          <w:rFonts w:hint="default" w:ascii="Times New Roman" w:hAnsi="Times New Roman" w:eastAsia="宋体" w:cs="Times New Roman"/>
          <w:color w:val="auto"/>
          <w:sz w:val="24"/>
          <w:szCs w:val="24"/>
          <w:highlight w:val="none"/>
          <w:lang w:val="en-US" w:eastAsia="zh-CN"/>
        </w:rPr>
        <w:t>肉牛</w:t>
      </w:r>
      <w:r>
        <w:rPr>
          <w:rFonts w:hint="default" w:ascii="Times New Roman" w:hAnsi="Times New Roman" w:eastAsia="宋体" w:cs="Times New Roman"/>
          <w:color w:val="auto"/>
          <w:sz w:val="24"/>
          <w:szCs w:val="24"/>
          <w:highlight w:val="none"/>
          <w:lang w:val="en-US"/>
        </w:rPr>
        <w:t>，应及时隔离并尽快确诊，同时对病牛的分泌物、粪便、剩余饲料、褥草及剖析的病变部分等焚烧深埋无害化处理。</w:t>
      </w:r>
    </w:p>
    <w:p w14:paraId="34F78B24">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（4）建立并保存</w:t>
      </w:r>
      <w:r>
        <w:rPr>
          <w:rFonts w:hint="default" w:ascii="Times New Roman" w:hAnsi="Times New Roman" w:eastAsia="宋体" w:cs="Times New Roman"/>
          <w:color w:val="auto"/>
          <w:sz w:val="24"/>
          <w:szCs w:val="24"/>
          <w:highlight w:val="none"/>
          <w:lang w:val="en-US" w:eastAsia="zh-CN"/>
        </w:rPr>
        <w:t>肉牛</w:t>
      </w:r>
      <w:r>
        <w:rPr>
          <w:rFonts w:hint="default" w:ascii="Times New Roman" w:hAnsi="Times New Roman" w:eastAsia="宋体" w:cs="Times New Roman"/>
          <w:color w:val="auto"/>
          <w:sz w:val="24"/>
          <w:szCs w:val="24"/>
          <w:highlight w:val="none"/>
          <w:lang w:val="en-US"/>
        </w:rPr>
        <w:t>用药档案</w:t>
      </w:r>
    </w:p>
    <w:p w14:paraId="78143535">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免疫与检疫时仔细看清各种生物制剂的名称、批号、有效期、免疫单位、剂量等，以防影响免</w:t>
      </w:r>
      <w:r>
        <w:rPr>
          <w:rFonts w:hint="default" w:ascii="Times New Roman" w:hAnsi="Times New Roman" w:eastAsia="宋体" w:cs="Times New Roman"/>
          <w:color w:val="auto"/>
          <w:sz w:val="24"/>
          <w:szCs w:val="24"/>
          <w:highlight w:val="none"/>
          <w:lang w:val="en-US" w:eastAsia="zh-CN"/>
        </w:rPr>
        <w:t>疫有</w:t>
      </w:r>
      <w:r>
        <w:rPr>
          <w:rFonts w:hint="default" w:ascii="Times New Roman" w:hAnsi="Times New Roman" w:eastAsia="宋体" w:cs="Times New Roman"/>
          <w:color w:val="auto"/>
          <w:sz w:val="24"/>
          <w:szCs w:val="24"/>
          <w:highlight w:val="none"/>
          <w:lang w:val="en-US"/>
        </w:rPr>
        <w:t>效期。严格把握允许使用药物、慎用药物和禁用药物的规定。</w:t>
      </w:r>
    </w:p>
    <w:p w14:paraId="6B36750C">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企业建立完善的防治防疫体系并按照疫病防治措施严格执行，可保证疫病风险降低在可接受的范围之内。</w:t>
      </w:r>
    </w:p>
    <w:p w14:paraId="2D28E492">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（5）发生疫情时的紧急防制措施</w:t>
      </w:r>
    </w:p>
    <w:p w14:paraId="6ADC18E3">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①应立即组成防疫小组，尽快做出确切诊断，迅速向有关上级部门报告疫情。</w:t>
      </w:r>
    </w:p>
    <w:p w14:paraId="1151D02F">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②迅速隔离病牛，对危害较重的传染病应及时划区封锁，建立封锁带，出入人员和车辆要严格消毒，同时严格消毒污染环境。解除封锁的条件是在最后一头病牛痊愈或屠宰后两个潜伏期内再无新病例出现，经过全面大消毒，报上级主管部门批准，方可解除封锁。</w:t>
      </w:r>
    </w:p>
    <w:p w14:paraId="2F06535D">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rPr>
        <w:t>③对病牛及封锁区内的牛只实行合理的综合</w:t>
      </w:r>
      <w:r>
        <w:rPr>
          <w:rFonts w:hint="default" w:ascii="Times New Roman" w:hAnsi="Times New Roman" w:eastAsia="宋体" w:cs="Times New Roman"/>
          <w:color w:val="auto"/>
          <w:sz w:val="24"/>
          <w:szCs w:val="24"/>
          <w:highlight w:val="none"/>
          <w:lang w:val="en-US" w:eastAsia="zh-CN"/>
        </w:rPr>
        <w:t>防治</w:t>
      </w:r>
      <w:r>
        <w:rPr>
          <w:rFonts w:hint="default" w:ascii="Times New Roman" w:hAnsi="Times New Roman" w:eastAsia="宋体" w:cs="Times New Roman"/>
          <w:color w:val="auto"/>
          <w:sz w:val="24"/>
          <w:szCs w:val="24"/>
          <w:highlight w:val="none"/>
          <w:lang w:val="en-US"/>
        </w:rPr>
        <w:t>措施，包括疫苗的紧急接种、抗生素疗法、高免血清的特异性疗法、化学疗法、增强体质和生理机能的辅助疗法等。</w:t>
      </w:r>
    </w:p>
    <w:p w14:paraId="72F74135">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rPr>
        <w:t>④病死牛尸体要严格按照防疫条例进行处置。同时根据</w:t>
      </w:r>
      <w:r>
        <w:rPr>
          <w:rFonts w:hint="default" w:ascii="Times New Roman" w:hAnsi="Times New Roman" w:eastAsia="宋体" w:cs="Times New Roman"/>
          <w:color w:val="auto"/>
          <w:sz w:val="24"/>
          <w:szCs w:val="24"/>
          <w:highlight w:val="none"/>
          <w:lang w:val="en-US" w:eastAsia="zh-CN"/>
        </w:rPr>
        <w:t>《畜禽养殖业污染治理工程技术规范》（HJ497-2009）</w:t>
      </w:r>
      <w:r>
        <w:rPr>
          <w:rFonts w:hint="default" w:ascii="Times New Roman" w:hAnsi="Times New Roman" w:eastAsia="宋体" w:cs="Times New Roman"/>
          <w:color w:val="auto"/>
          <w:sz w:val="24"/>
          <w:szCs w:val="24"/>
          <w:highlight w:val="none"/>
          <w:lang w:val="en-US"/>
        </w:rPr>
        <w:t>和</w:t>
      </w:r>
      <w:r>
        <w:rPr>
          <w:rFonts w:hint="default" w:ascii="Times New Roman" w:hAnsi="Times New Roman" w:eastAsia="宋体" w:cs="Times New Roman"/>
          <w:color w:val="auto"/>
          <w:sz w:val="24"/>
          <w:szCs w:val="24"/>
          <w:highlight w:val="none"/>
        </w:rPr>
        <w:t>《畜禽养殖业污染防治技术规范》（HJ/T81-2001）</w:t>
      </w:r>
      <w:r>
        <w:rPr>
          <w:rFonts w:hint="default" w:ascii="Times New Roman" w:hAnsi="Times New Roman" w:eastAsia="宋体" w:cs="Times New Roman"/>
          <w:color w:val="auto"/>
          <w:sz w:val="24"/>
          <w:szCs w:val="24"/>
          <w:highlight w:val="none"/>
          <w:lang w:val="en-US"/>
        </w:rPr>
        <w:t>中的有关规定，病死禽畜尸体处理应采用焚烧炉焚烧的方法</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rPr>
        <w:t>不具备焚烧条件的养殖场应设置两个以上安全填埋井</w:t>
      </w:r>
      <w:r>
        <w:rPr>
          <w:rFonts w:hint="default" w:ascii="Times New Roman" w:hAnsi="Times New Roman" w:eastAsia="宋体" w:cs="Times New Roman"/>
          <w:color w:val="auto"/>
          <w:sz w:val="24"/>
          <w:szCs w:val="24"/>
          <w:highlight w:val="none"/>
          <w:lang w:val="en-US" w:eastAsia="zh-CN"/>
        </w:rPr>
        <w:t>。本项目病死牛尸体委托有资质的单位进行无害化处置。</w:t>
      </w:r>
    </w:p>
    <w:p w14:paraId="4C6DB037">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highlight w:val="none"/>
          <w:lang w:val="en-US"/>
        </w:rPr>
      </w:pPr>
      <w:r>
        <w:rPr>
          <w:rFonts w:hint="default" w:ascii="Times New Roman" w:hAnsi="Times New Roman" w:eastAsia="宋体" w:cs="Times New Roman"/>
          <w:color w:val="auto"/>
          <w:sz w:val="24"/>
          <w:szCs w:val="24"/>
          <w:highlight w:val="none"/>
          <w:lang w:val="en-US"/>
        </w:rPr>
        <w:t>⑤出现重大疫情时必须严格执行《重大动物疫情应急条例》中相关规定</w:t>
      </w:r>
      <w:r>
        <w:rPr>
          <w:rFonts w:hint="default" w:ascii="Times New Roman" w:hAnsi="Times New Roman" w:eastAsia="宋体" w:cs="Times New Roman"/>
          <w:color w:val="auto"/>
          <w:highlight w:val="none"/>
          <w:lang w:val="en-US"/>
        </w:rPr>
        <w:t>。</w:t>
      </w:r>
    </w:p>
    <w:p w14:paraId="42F65D18">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0"/>
        <w:rPr>
          <w:rFonts w:hint="default" w:ascii="Times New Roman" w:hAnsi="Times New Roman" w:eastAsia="Times New Roman" w:cs="Times New Roman"/>
          <w:b/>
          <w:bCs/>
          <w:color w:val="auto"/>
          <w:sz w:val="32"/>
          <w:szCs w:val="32"/>
          <w:highlight w:val="none"/>
        </w:rPr>
      </w:pPr>
      <w:bookmarkStart w:id="200" w:name="_Toc21141"/>
      <w:bookmarkStart w:id="201" w:name="_Toc12608"/>
      <w:bookmarkStart w:id="202" w:name="_Toc3206"/>
      <w:r>
        <w:rPr>
          <w:rFonts w:hint="default" w:ascii="Times New Roman" w:hAnsi="Times New Roman" w:eastAsia="Times New Roman" w:cs="Times New Roman"/>
          <w:b/>
          <w:bCs/>
          <w:color w:val="auto"/>
          <w:sz w:val="32"/>
          <w:szCs w:val="32"/>
          <w:highlight w:val="none"/>
        </w:rPr>
        <w:t>6.环境保护措施及其可行性论证</w:t>
      </w:r>
      <w:bookmarkEnd w:id="200"/>
      <w:bookmarkEnd w:id="201"/>
      <w:bookmarkEnd w:id="202"/>
    </w:p>
    <w:p w14:paraId="20C0C2C7">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203" w:name="_Toc20061"/>
      <w:bookmarkStart w:id="204" w:name="_Toc4870"/>
      <w:bookmarkStart w:id="205" w:name="_Toc5071"/>
      <w:r>
        <w:rPr>
          <w:rFonts w:hint="default" w:ascii="Times New Roman" w:hAnsi="Times New Roman" w:eastAsia="Times New Roman" w:cs="Times New Roman"/>
          <w:b/>
          <w:bCs/>
          <w:color w:val="auto"/>
          <w:spacing w:val="-5"/>
          <w:sz w:val="28"/>
          <w:szCs w:val="28"/>
          <w:highlight w:val="none"/>
        </w:rPr>
        <w:t>6.1施工期污染防治措施</w:t>
      </w:r>
      <w:bookmarkEnd w:id="203"/>
      <w:bookmarkEnd w:id="204"/>
      <w:bookmarkEnd w:id="205"/>
    </w:p>
    <w:p w14:paraId="409A2912">
      <w:pPr>
        <w:pStyle w:val="40"/>
        <w:keepNext w:val="0"/>
        <w:keepLines w:val="0"/>
        <w:pageBreakBefore w:val="0"/>
        <w:widowControl/>
        <w:kinsoku w:val="0"/>
        <w:wordWrap/>
        <w:overflowPunct/>
        <w:topLinePunct w:val="0"/>
        <w:autoSpaceDE w:val="0"/>
        <w:autoSpaceDN w:val="0"/>
        <w:bidi w:val="0"/>
        <w:adjustRightInd/>
        <w:snapToGrid/>
        <w:spacing w:line="360" w:lineRule="auto"/>
        <w:ind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snapToGrid w:val="0"/>
          <w:color w:val="auto"/>
          <w:spacing w:val="-4"/>
          <w:kern w:val="0"/>
          <w:sz w:val="24"/>
          <w:szCs w:val="24"/>
          <w:highlight w:val="none"/>
          <w:lang w:val="en-US" w:eastAsia="en-US" w:bidi="ar-SA"/>
        </w:rPr>
        <w:t>施工期污染以扬尘废气和机械尾气、施工废水、机械和运输车辆噪声、建筑垃圾及弃土等固体废物为主，并可伴随着小部分水土流失。施工期应采取相应的防治措施，防止项目施工时造成环境污染。</w:t>
      </w:r>
    </w:p>
    <w:p w14:paraId="5E7A2052">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06" w:name="_Toc30438"/>
      <w:r>
        <w:rPr>
          <w:rFonts w:hint="default" w:ascii="Times New Roman" w:hAnsi="Times New Roman" w:eastAsia="宋体" w:cs="Times New Roman"/>
          <w:b/>
          <w:bCs/>
          <w:color w:val="auto"/>
          <w:spacing w:val="-2"/>
          <w:sz w:val="24"/>
          <w:szCs w:val="24"/>
          <w:highlight w:val="none"/>
          <w:lang w:val="en-US" w:eastAsia="zh-CN"/>
        </w:rPr>
        <w:t>6.1.1施工废水防治措施</w:t>
      </w:r>
      <w:bookmarkEnd w:id="206"/>
    </w:p>
    <w:p w14:paraId="0130EBC2">
      <w:pPr>
        <w:keepNext w:val="0"/>
        <w:keepLines w:val="0"/>
        <w:pageBreakBefore w:val="0"/>
        <w:widowControl/>
        <w:kinsoku/>
        <w:wordWrap w:val="0"/>
        <w:overflowPunct/>
        <w:topLinePunct/>
        <w:autoSpaceDE/>
        <w:autoSpaceDN/>
        <w:bidi w:val="0"/>
        <w:adjustRightInd w:val="0"/>
        <w:snapToGrid w:val="0"/>
        <w:spacing w:line="360" w:lineRule="auto"/>
        <w:ind w:firstLine="496"/>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当建设施工队伍进入施工现场进行砂、石子冲洗和搅拌浇注混凝土等施工作业过</w:t>
      </w:r>
      <w:r>
        <w:rPr>
          <w:rFonts w:hint="default" w:ascii="Times New Roman" w:hAnsi="Times New Roman" w:eastAsia="宋体" w:cs="Times New Roman"/>
          <w:color w:val="auto"/>
          <w:spacing w:val="-5"/>
          <w:sz w:val="24"/>
          <w:szCs w:val="24"/>
          <w:highlight w:val="none"/>
        </w:rPr>
        <w:t>程中将会有施工泥浆废水产生，因此要求施工方在施工现场开挖修建临时废水储存池，</w:t>
      </w:r>
      <w:r>
        <w:rPr>
          <w:rFonts w:hint="default" w:ascii="Times New Roman" w:hAnsi="Times New Roman" w:eastAsia="宋体" w:cs="Times New Roman"/>
          <w:color w:val="auto"/>
          <w:spacing w:val="-3"/>
          <w:sz w:val="24"/>
          <w:szCs w:val="24"/>
          <w:highlight w:val="none"/>
        </w:rPr>
        <w:t>使施工泥浆废水经过沉淀澄清处理后，上清液回收利</w:t>
      </w:r>
      <w:r>
        <w:rPr>
          <w:rFonts w:hint="default" w:ascii="Times New Roman" w:hAnsi="Times New Roman" w:eastAsia="宋体" w:cs="Times New Roman"/>
          <w:color w:val="auto"/>
          <w:spacing w:val="-4"/>
          <w:sz w:val="24"/>
          <w:szCs w:val="24"/>
          <w:highlight w:val="none"/>
        </w:rPr>
        <w:t>用，不外排，池内泥浆弃土定时</w:t>
      </w:r>
      <w:r>
        <w:rPr>
          <w:rFonts w:hint="default" w:ascii="Times New Roman" w:hAnsi="Times New Roman" w:eastAsia="宋体" w:cs="Times New Roman"/>
          <w:color w:val="auto"/>
          <w:spacing w:val="-11"/>
          <w:sz w:val="24"/>
          <w:szCs w:val="24"/>
          <w:highlight w:val="none"/>
        </w:rPr>
        <w:t>挖出与建筑垃圾合并，用于场地平整。设防渗旱厕供员工使用，定期由农户清掏沤肥，</w:t>
      </w:r>
      <w:r>
        <w:rPr>
          <w:rFonts w:hint="default" w:ascii="Times New Roman" w:hAnsi="Times New Roman" w:eastAsia="宋体" w:cs="Times New Roman"/>
          <w:color w:val="auto"/>
          <w:spacing w:val="-3"/>
          <w:sz w:val="24"/>
          <w:szCs w:val="24"/>
          <w:highlight w:val="none"/>
        </w:rPr>
        <w:t>避免对周边水环境产生污染。</w:t>
      </w:r>
    </w:p>
    <w:p w14:paraId="1E7554A9">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07" w:name="_Toc1245"/>
      <w:r>
        <w:rPr>
          <w:rFonts w:hint="default" w:ascii="Times New Roman" w:hAnsi="Times New Roman" w:eastAsia="宋体" w:cs="Times New Roman"/>
          <w:b/>
          <w:bCs/>
          <w:color w:val="auto"/>
          <w:spacing w:val="-2"/>
          <w:sz w:val="24"/>
          <w:szCs w:val="24"/>
          <w:highlight w:val="none"/>
          <w:lang w:val="en-US" w:eastAsia="zh-CN"/>
        </w:rPr>
        <w:t>6.1.2施工扬尘防治措施</w:t>
      </w:r>
      <w:bookmarkEnd w:id="207"/>
    </w:p>
    <w:p w14:paraId="7DCC034B">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该工程施工阶段对环境空气造成影响较严重的是施工扬尘带来的影响，为保证周</w:t>
      </w:r>
      <w:r>
        <w:rPr>
          <w:rFonts w:hint="default" w:ascii="Times New Roman" w:hAnsi="Times New Roman" w:eastAsia="宋体" w:cs="Times New Roman"/>
          <w:color w:val="auto"/>
          <w:spacing w:val="-2"/>
          <w:sz w:val="24"/>
          <w:szCs w:val="24"/>
          <w:highlight w:val="none"/>
        </w:rPr>
        <w:t>围居民有一个良好的生活环境，必须对施工期扬尘污染采取有针对性的防治措施。</w:t>
      </w:r>
    </w:p>
    <w:p w14:paraId="3EE5E348">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w:t>
      </w:r>
      <w:r>
        <w:rPr>
          <w:rFonts w:hint="default" w:ascii="Times New Roman" w:hAnsi="Times New Roman" w:eastAsia="宋体" w:cs="Times New Roman"/>
          <w:color w:val="auto"/>
          <w:spacing w:val="-1"/>
          <w:sz w:val="24"/>
          <w:szCs w:val="24"/>
          <w:highlight w:val="none"/>
        </w:rPr>
        <w:t>）施工现场周围设置围挡，路面硬化，运输车辆加盖篷布，减轻扬尘对周围</w:t>
      </w:r>
      <w:r>
        <w:rPr>
          <w:rFonts w:hint="default" w:ascii="Times New Roman" w:hAnsi="Times New Roman" w:eastAsia="宋体" w:cs="Times New Roman"/>
          <w:color w:val="auto"/>
          <w:spacing w:val="-2"/>
          <w:sz w:val="24"/>
          <w:szCs w:val="24"/>
          <w:highlight w:val="none"/>
        </w:rPr>
        <w:t>环境的影响。</w:t>
      </w:r>
    </w:p>
    <w:p w14:paraId="6665F6BE">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2</w:t>
      </w:r>
      <w:r>
        <w:rPr>
          <w:rFonts w:hint="default" w:ascii="Times New Roman" w:hAnsi="Times New Roman" w:eastAsia="宋体" w:cs="Times New Roman"/>
          <w:color w:val="auto"/>
          <w:sz w:val="24"/>
          <w:szCs w:val="24"/>
          <w:highlight w:val="none"/>
        </w:rPr>
        <w:t>）合理安排施工现场，所有的砂石料应统一堆放、</w:t>
      </w:r>
      <w:r>
        <w:rPr>
          <w:rFonts w:hint="default" w:ascii="Times New Roman" w:hAnsi="Times New Roman" w:eastAsia="宋体" w:cs="Times New Roman"/>
          <w:color w:val="auto"/>
          <w:spacing w:val="-1"/>
          <w:sz w:val="24"/>
          <w:szCs w:val="24"/>
          <w:highlight w:val="none"/>
        </w:rPr>
        <w:t>保存，应尽可能减少堆场</w:t>
      </w:r>
      <w:r>
        <w:rPr>
          <w:rFonts w:hint="default" w:ascii="Times New Roman" w:hAnsi="Times New Roman" w:eastAsia="宋体" w:cs="Times New Roman"/>
          <w:color w:val="auto"/>
          <w:spacing w:val="-2"/>
          <w:sz w:val="24"/>
          <w:szCs w:val="24"/>
          <w:highlight w:val="none"/>
        </w:rPr>
        <w:t>数量，并加篷布等遮盖，尽量减少运输环节，搬运时要做到轻举轻放。</w:t>
      </w:r>
    </w:p>
    <w:p w14:paraId="6E937E66">
      <w:pPr>
        <w:keepNext w:val="0"/>
        <w:keepLines w:val="0"/>
        <w:pageBreakBefore w:val="0"/>
        <w:widowControl/>
        <w:kinsoku/>
        <w:wordWrap w:val="0"/>
        <w:overflowPunct/>
        <w:topLinePunct/>
        <w:autoSpaceDE/>
        <w:autoSpaceDN/>
        <w:bidi w:val="0"/>
        <w:adjustRightInd w:val="0"/>
        <w:snapToGrid w:val="0"/>
        <w:spacing w:line="360" w:lineRule="auto"/>
        <w:ind w:left="0" w:right="0" w:firstLine="44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8"/>
          <w:sz w:val="24"/>
          <w:szCs w:val="24"/>
          <w:highlight w:val="none"/>
        </w:rPr>
        <w:t>（</w:t>
      </w:r>
      <w:r>
        <w:rPr>
          <w:rFonts w:hint="default" w:ascii="Times New Roman" w:hAnsi="Times New Roman" w:eastAsia="Times New Roman" w:cs="Times New Roman"/>
          <w:color w:val="auto"/>
          <w:spacing w:val="-8"/>
          <w:sz w:val="24"/>
          <w:szCs w:val="24"/>
          <w:highlight w:val="none"/>
        </w:rPr>
        <w:t>3</w:t>
      </w:r>
      <w:r>
        <w:rPr>
          <w:rFonts w:hint="default" w:ascii="Times New Roman" w:hAnsi="Times New Roman" w:eastAsia="宋体" w:cs="Times New Roman"/>
          <w:color w:val="auto"/>
          <w:spacing w:val="-8"/>
          <w:sz w:val="24"/>
          <w:szCs w:val="24"/>
          <w:highlight w:val="none"/>
        </w:rPr>
        <w:t>）指定专人对施工现场附近的运输道路进</w:t>
      </w:r>
      <w:r>
        <w:rPr>
          <w:rFonts w:hint="default" w:ascii="Times New Roman" w:hAnsi="Times New Roman" w:eastAsia="宋体" w:cs="Times New Roman"/>
          <w:color w:val="auto"/>
          <w:spacing w:val="-9"/>
          <w:sz w:val="24"/>
          <w:szCs w:val="24"/>
          <w:highlight w:val="none"/>
        </w:rPr>
        <w:t>行定期喷水，使路面保持一定湿度，</w:t>
      </w:r>
      <w:r>
        <w:rPr>
          <w:rFonts w:hint="default" w:ascii="Times New Roman" w:hAnsi="Times New Roman" w:eastAsia="宋体" w:cs="Times New Roman"/>
          <w:color w:val="auto"/>
          <w:spacing w:val="-4"/>
          <w:sz w:val="24"/>
          <w:szCs w:val="24"/>
          <w:highlight w:val="none"/>
        </w:rPr>
        <w:t>防止运输车辆引起的二次扬尘。</w:t>
      </w:r>
    </w:p>
    <w:p w14:paraId="1A1FFC22">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4</w:t>
      </w:r>
      <w:r>
        <w:rPr>
          <w:rFonts w:hint="default" w:ascii="Times New Roman" w:hAnsi="Times New Roman" w:eastAsia="宋体" w:cs="Times New Roman"/>
          <w:color w:val="auto"/>
          <w:sz w:val="24"/>
          <w:szCs w:val="24"/>
          <w:highlight w:val="none"/>
        </w:rPr>
        <w:t>）谨防运输车辆装载过满，不得超出车厢板高度</w:t>
      </w:r>
      <w:r>
        <w:rPr>
          <w:rFonts w:hint="default" w:ascii="Times New Roman" w:hAnsi="Times New Roman" w:eastAsia="宋体" w:cs="Times New Roman"/>
          <w:color w:val="auto"/>
          <w:spacing w:val="-1"/>
          <w:sz w:val="24"/>
          <w:szCs w:val="24"/>
          <w:highlight w:val="none"/>
        </w:rPr>
        <w:t>，并采取遮盖、密闭措施减</w:t>
      </w:r>
      <w:r>
        <w:rPr>
          <w:rFonts w:hint="default" w:ascii="Times New Roman" w:hAnsi="Times New Roman" w:eastAsia="宋体" w:cs="Times New Roman"/>
          <w:color w:val="auto"/>
          <w:spacing w:val="-6"/>
          <w:sz w:val="24"/>
          <w:szCs w:val="24"/>
          <w:highlight w:val="none"/>
        </w:rPr>
        <w:t>少沿途抛洒、散落；及时清扫散落在路面</w:t>
      </w:r>
      <w:r>
        <w:rPr>
          <w:rFonts w:hint="default" w:ascii="Times New Roman" w:hAnsi="Times New Roman" w:eastAsia="宋体" w:cs="Times New Roman"/>
          <w:color w:val="auto"/>
          <w:spacing w:val="-7"/>
          <w:sz w:val="24"/>
          <w:szCs w:val="24"/>
          <w:highlight w:val="none"/>
        </w:rPr>
        <w:t>上的泥土和建筑材料，定期冲洗轮胎，车辆</w:t>
      </w:r>
      <w:r>
        <w:rPr>
          <w:rFonts w:hint="default" w:ascii="Times New Roman" w:hAnsi="Times New Roman" w:eastAsia="宋体" w:cs="Times New Roman"/>
          <w:color w:val="auto"/>
          <w:spacing w:val="-5"/>
          <w:sz w:val="24"/>
          <w:szCs w:val="24"/>
          <w:highlight w:val="none"/>
        </w:rPr>
        <w:t>不得带泥砂出现场。</w:t>
      </w:r>
    </w:p>
    <w:p w14:paraId="122AFF62">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5</w:t>
      </w:r>
      <w:r>
        <w:rPr>
          <w:rFonts w:hint="default" w:ascii="Times New Roman" w:hAnsi="Times New Roman" w:eastAsia="宋体" w:cs="Times New Roman"/>
          <w:color w:val="auto"/>
          <w:sz w:val="24"/>
          <w:szCs w:val="24"/>
          <w:highlight w:val="none"/>
        </w:rPr>
        <w:t>）开挖的土方及建筑垃圾作为场地平整用土要及</w:t>
      </w:r>
      <w:r>
        <w:rPr>
          <w:rFonts w:hint="default" w:ascii="Times New Roman" w:hAnsi="Times New Roman" w:eastAsia="宋体" w:cs="Times New Roman"/>
          <w:color w:val="auto"/>
          <w:spacing w:val="-1"/>
          <w:sz w:val="24"/>
          <w:szCs w:val="24"/>
          <w:highlight w:val="none"/>
        </w:rPr>
        <w:t>时进行利用，以防因长期堆</w:t>
      </w:r>
      <w:r>
        <w:rPr>
          <w:rFonts w:hint="default" w:ascii="Times New Roman" w:hAnsi="Times New Roman" w:eastAsia="宋体" w:cs="Times New Roman"/>
          <w:color w:val="auto"/>
          <w:spacing w:val="-3"/>
          <w:sz w:val="24"/>
          <w:szCs w:val="24"/>
          <w:highlight w:val="none"/>
        </w:rPr>
        <w:t>放表面干燥而起尘，对作业面和材料、建筑垃圾等堆</w:t>
      </w:r>
      <w:r>
        <w:rPr>
          <w:rFonts w:hint="default" w:ascii="Times New Roman" w:hAnsi="Times New Roman" w:eastAsia="宋体" w:cs="Times New Roman"/>
          <w:color w:val="auto"/>
          <w:spacing w:val="-4"/>
          <w:sz w:val="24"/>
          <w:szCs w:val="24"/>
          <w:highlight w:val="none"/>
        </w:rPr>
        <w:t>放场地定期洒水，使其保持一定的湿度，以减少扬尘量。</w:t>
      </w:r>
    </w:p>
    <w:p w14:paraId="03E9DB8D">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6</w:t>
      </w:r>
      <w:r>
        <w:rPr>
          <w:rFonts w:hint="default" w:ascii="Times New Roman" w:hAnsi="Times New Roman" w:eastAsia="宋体" w:cs="Times New Roman"/>
          <w:color w:val="auto"/>
          <w:spacing w:val="-1"/>
          <w:sz w:val="24"/>
          <w:szCs w:val="24"/>
          <w:highlight w:val="none"/>
        </w:rPr>
        <w:t>）对堆存的砂粉建筑材料进行遮盖，当出现风速过大或不利天气状况时应停</w:t>
      </w:r>
      <w:r>
        <w:rPr>
          <w:rFonts w:hint="default" w:ascii="Times New Roman" w:hAnsi="Times New Roman" w:eastAsia="宋体" w:cs="Times New Roman"/>
          <w:color w:val="auto"/>
          <w:spacing w:val="-7"/>
          <w:sz w:val="24"/>
          <w:szCs w:val="24"/>
          <w:highlight w:val="none"/>
        </w:rPr>
        <w:t>止施工作业。</w:t>
      </w:r>
    </w:p>
    <w:p w14:paraId="109D54C5">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pacing w:val="-6"/>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7</w:t>
      </w:r>
      <w:r>
        <w:rPr>
          <w:rFonts w:hint="default" w:ascii="Times New Roman" w:hAnsi="Times New Roman" w:eastAsia="宋体" w:cs="Times New Roman"/>
          <w:color w:val="auto"/>
          <w:spacing w:val="-1"/>
          <w:sz w:val="24"/>
          <w:szCs w:val="24"/>
          <w:highlight w:val="none"/>
        </w:rPr>
        <w:t>）合理安排工期，尽可能加快施工进度，减少施工时间，并建议施工单位采</w:t>
      </w:r>
      <w:r>
        <w:rPr>
          <w:rFonts w:hint="default" w:ascii="Times New Roman" w:hAnsi="Times New Roman" w:eastAsia="宋体" w:cs="Times New Roman"/>
          <w:color w:val="auto"/>
          <w:spacing w:val="-6"/>
          <w:sz w:val="24"/>
          <w:szCs w:val="24"/>
          <w:highlight w:val="none"/>
        </w:rPr>
        <w:t>取逐段施工方式。</w:t>
      </w:r>
    </w:p>
    <w:p w14:paraId="52F4EC1D">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8</w:t>
      </w:r>
      <w:r>
        <w:rPr>
          <w:rFonts w:hint="default" w:ascii="Times New Roman" w:hAnsi="Times New Roman" w:eastAsia="宋体" w:cs="Times New Roman"/>
          <w:color w:val="auto"/>
          <w:spacing w:val="-1"/>
          <w:sz w:val="24"/>
          <w:szCs w:val="24"/>
          <w:highlight w:val="none"/>
        </w:rPr>
        <w:t>）建设单位在工程概算中要包括用于施工过程扬尘控制的专项资金，并且保</w:t>
      </w:r>
      <w:r>
        <w:rPr>
          <w:rFonts w:hint="default" w:ascii="Times New Roman" w:hAnsi="Times New Roman" w:eastAsia="宋体" w:cs="Times New Roman"/>
          <w:color w:val="auto"/>
          <w:spacing w:val="-4"/>
          <w:sz w:val="24"/>
          <w:szCs w:val="24"/>
          <w:highlight w:val="none"/>
        </w:rPr>
        <w:t>证该项资金专款专用。</w:t>
      </w:r>
    </w:p>
    <w:p w14:paraId="5E802FAB">
      <w:pPr>
        <w:keepNext w:val="0"/>
        <w:keepLines w:val="0"/>
        <w:pageBreakBefore w:val="0"/>
        <w:widowControl/>
        <w:kinsoku/>
        <w:wordWrap w:val="0"/>
        <w:overflowPunct/>
        <w:topLinePunct/>
        <w:autoSpaceDE/>
        <w:autoSpaceDN/>
        <w:bidi w:val="0"/>
        <w:adjustRightInd w:val="0"/>
        <w:snapToGrid w:val="0"/>
        <w:spacing w:line="360" w:lineRule="auto"/>
        <w:ind w:left="0" w:right="0" w:firstLine="492"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建设单位施工时，在认真落实上述扬尘污染防治措施的基础上，扬尘量可减少</w:t>
      </w:r>
      <w:r>
        <w:rPr>
          <w:rFonts w:hint="default" w:ascii="Times New Roman" w:hAnsi="Times New Roman" w:eastAsia="Times New Roman" w:cs="Times New Roman"/>
          <w:color w:val="auto"/>
          <w:sz w:val="24"/>
          <w:szCs w:val="24"/>
          <w:highlight w:val="none"/>
        </w:rPr>
        <w:t>50</w:t>
      </w: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70%</w:t>
      </w:r>
      <w:r>
        <w:rPr>
          <w:rFonts w:hint="default" w:ascii="Times New Roman" w:hAnsi="Times New Roman" w:eastAsia="宋体" w:cs="Times New Roman"/>
          <w:color w:val="auto"/>
          <w:sz w:val="24"/>
          <w:szCs w:val="24"/>
          <w:highlight w:val="none"/>
        </w:rPr>
        <w:t>，可有效减少对环境的影响。施</w:t>
      </w:r>
      <w:r>
        <w:rPr>
          <w:rFonts w:hint="default" w:ascii="Times New Roman" w:hAnsi="Times New Roman" w:eastAsia="宋体" w:cs="Times New Roman"/>
          <w:color w:val="auto"/>
          <w:spacing w:val="-1"/>
          <w:sz w:val="24"/>
          <w:szCs w:val="24"/>
          <w:highlight w:val="none"/>
        </w:rPr>
        <w:t>工期对环境空气的影响是短期的、局部的，</w:t>
      </w:r>
      <w:r>
        <w:rPr>
          <w:rFonts w:hint="default" w:ascii="Times New Roman" w:hAnsi="Times New Roman" w:eastAsia="宋体" w:cs="Times New Roman"/>
          <w:color w:val="auto"/>
          <w:spacing w:val="-2"/>
          <w:sz w:val="24"/>
          <w:szCs w:val="24"/>
          <w:highlight w:val="none"/>
        </w:rPr>
        <w:t>伴随施工期结束，施工过程带来的环境影响也将会消失。</w:t>
      </w:r>
    </w:p>
    <w:p w14:paraId="55AC9171">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08" w:name="_Toc28327"/>
      <w:r>
        <w:rPr>
          <w:rFonts w:hint="default" w:ascii="Times New Roman" w:hAnsi="Times New Roman" w:eastAsia="宋体" w:cs="Times New Roman"/>
          <w:b/>
          <w:bCs/>
          <w:color w:val="auto"/>
          <w:spacing w:val="-2"/>
          <w:sz w:val="24"/>
          <w:szCs w:val="24"/>
          <w:highlight w:val="none"/>
          <w:lang w:val="en-US" w:eastAsia="zh-CN"/>
        </w:rPr>
        <w:t>6.1.3噪声防治措施</w:t>
      </w:r>
      <w:bookmarkEnd w:id="208"/>
    </w:p>
    <w:p w14:paraId="21ED5F02">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1</w:t>
      </w:r>
      <w:r>
        <w:rPr>
          <w:rFonts w:hint="default" w:ascii="Times New Roman" w:hAnsi="Times New Roman" w:eastAsia="宋体" w:cs="Times New Roman"/>
          <w:color w:val="auto"/>
          <w:spacing w:val="-2"/>
          <w:sz w:val="24"/>
          <w:szCs w:val="24"/>
          <w:highlight w:val="none"/>
        </w:rPr>
        <w:t>）合理安排施工进度和作业时间，对主要噪声设备应采取相应的限时作业，</w:t>
      </w:r>
      <w:r>
        <w:rPr>
          <w:rFonts w:hint="default" w:ascii="Times New Roman" w:hAnsi="Times New Roman" w:eastAsia="宋体" w:cs="Times New Roman"/>
          <w:color w:val="auto"/>
          <w:spacing w:val="-3"/>
          <w:sz w:val="24"/>
          <w:szCs w:val="24"/>
          <w:highlight w:val="none"/>
        </w:rPr>
        <w:t>并尽量避开居民休息时间，在</w:t>
      </w:r>
      <w:r>
        <w:rPr>
          <w:rFonts w:hint="default" w:ascii="Times New Roman" w:hAnsi="Times New Roman" w:eastAsia="Times New Roman" w:cs="Times New Roman"/>
          <w:color w:val="auto"/>
          <w:spacing w:val="-3"/>
          <w:sz w:val="24"/>
          <w:szCs w:val="24"/>
          <w:highlight w:val="none"/>
        </w:rPr>
        <w:t>22</w:t>
      </w:r>
      <w:r>
        <w:rPr>
          <w:rFonts w:hint="default" w:ascii="Times New Roman" w:hAnsi="Times New Roman" w:eastAsia="宋体" w:cs="Times New Roman"/>
          <w:color w:val="auto"/>
          <w:spacing w:val="-3"/>
          <w:sz w:val="24"/>
          <w:szCs w:val="24"/>
          <w:highlight w:val="none"/>
        </w:rPr>
        <w:t>点到次日早</w:t>
      </w:r>
      <w:r>
        <w:rPr>
          <w:rFonts w:hint="default" w:ascii="Times New Roman" w:hAnsi="Times New Roman" w:eastAsia="Times New Roman" w:cs="Times New Roman"/>
          <w:color w:val="auto"/>
          <w:spacing w:val="-3"/>
          <w:sz w:val="24"/>
          <w:szCs w:val="24"/>
          <w:highlight w:val="none"/>
        </w:rPr>
        <w:t>6</w:t>
      </w:r>
      <w:r>
        <w:rPr>
          <w:rFonts w:hint="default" w:ascii="Times New Roman" w:hAnsi="Times New Roman" w:eastAsia="宋体" w:cs="Times New Roman"/>
          <w:color w:val="auto"/>
          <w:spacing w:val="-3"/>
          <w:sz w:val="24"/>
          <w:szCs w:val="24"/>
          <w:highlight w:val="none"/>
        </w:rPr>
        <w:t>点之间停止高噪声设施作业与施</w:t>
      </w:r>
      <w:r>
        <w:rPr>
          <w:rFonts w:hint="default" w:ascii="Times New Roman" w:hAnsi="Times New Roman" w:eastAsia="宋体" w:cs="Times New Roman"/>
          <w:color w:val="auto"/>
          <w:spacing w:val="-4"/>
          <w:sz w:val="24"/>
          <w:szCs w:val="24"/>
          <w:highlight w:val="none"/>
        </w:rPr>
        <w:t>工，远离敏感目标等措施。</w:t>
      </w:r>
    </w:p>
    <w:p w14:paraId="281205F2">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2</w:t>
      </w:r>
      <w:r>
        <w:rPr>
          <w:rFonts w:hint="default" w:ascii="Times New Roman" w:hAnsi="Times New Roman" w:eastAsia="宋体" w:cs="Times New Roman"/>
          <w:color w:val="auto"/>
          <w:spacing w:val="-1"/>
          <w:sz w:val="24"/>
          <w:szCs w:val="24"/>
          <w:highlight w:val="none"/>
        </w:rPr>
        <w:t>）合理安排施工机械安放位置，施工机械应尽可能放置于</w:t>
      </w:r>
      <w:r>
        <w:rPr>
          <w:rFonts w:hint="default" w:ascii="Times New Roman" w:hAnsi="Times New Roman" w:eastAsia="宋体" w:cs="Times New Roman"/>
          <w:color w:val="auto"/>
          <w:spacing w:val="-1"/>
          <w:sz w:val="24"/>
          <w:szCs w:val="24"/>
          <w:highlight w:val="none"/>
          <w:lang w:eastAsia="zh-CN"/>
        </w:rPr>
        <w:t>施工</w:t>
      </w:r>
      <w:r>
        <w:rPr>
          <w:rFonts w:hint="eastAsia" w:ascii="Times New Roman" w:hAnsi="Times New Roman" w:eastAsia="宋体" w:cs="Times New Roman"/>
          <w:color w:val="auto"/>
          <w:spacing w:val="-1"/>
          <w:sz w:val="24"/>
          <w:szCs w:val="24"/>
          <w:highlight w:val="none"/>
          <w:lang w:eastAsia="zh-CN"/>
        </w:rPr>
        <w:t>厂界</w:t>
      </w:r>
      <w:r>
        <w:rPr>
          <w:rFonts w:hint="default" w:ascii="Times New Roman" w:hAnsi="Times New Roman" w:eastAsia="宋体" w:cs="Times New Roman"/>
          <w:color w:val="auto"/>
          <w:spacing w:val="-1"/>
          <w:sz w:val="24"/>
          <w:szCs w:val="24"/>
          <w:highlight w:val="none"/>
        </w:rPr>
        <w:t>外造成影</w:t>
      </w:r>
      <w:r>
        <w:rPr>
          <w:rFonts w:hint="default" w:ascii="Times New Roman" w:hAnsi="Times New Roman" w:eastAsia="宋体" w:cs="Times New Roman"/>
          <w:color w:val="auto"/>
          <w:spacing w:val="-7"/>
          <w:sz w:val="24"/>
          <w:szCs w:val="24"/>
          <w:highlight w:val="none"/>
        </w:rPr>
        <w:t>响最小的地点。</w:t>
      </w:r>
    </w:p>
    <w:p w14:paraId="0D632F5C">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）优先选用低噪声设备，尽可能以液压工具代替气压工具。</w:t>
      </w:r>
    </w:p>
    <w:p w14:paraId="1BDDCC3E">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4</w:t>
      </w:r>
      <w:r>
        <w:rPr>
          <w:rFonts w:hint="default" w:ascii="Times New Roman" w:hAnsi="Times New Roman" w:eastAsia="宋体" w:cs="Times New Roman"/>
          <w:color w:val="auto"/>
          <w:spacing w:val="-1"/>
          <w:sz w:val="24"/>
          <w:szCs w:val="24"/>
          <w:highlight w:val="none"/>
        </w:rPr>
        <w:t>）对高噪声设备采取隔声、减震或消声措施，如在声源周围设置遮蔽物、加隔震垫、安装消声器等，可降低噪声源</w:t>
      </w:r>
      <w:r>
        <w:rPr>
          <w:rFonts w:hint="default" w:ascii="Times New Roman" w:hAnsi="Times New Roman" w:eastAsia="Times New Roman" w:cs="Times New Roman"/>
          <w:color w:val="auto"/>
          <w:spacing w:val="-1"/>
          <w:sz w:val="24"/>
          <w:szCs w:val="24"/>
          <w:highlight w:val="none"/>
        </w:rPr>
        <w:t>30</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2"/>
          <w:sz w:val="24"/>
          <w:szCs w:val="24"/>
          <w:highlight w:val="none"/>
        </w:rPr>
        <w:t>50dB(A)</w:t>
      </w:r>
      <w:r>
        <w:rPr>
          <w:rFonts w:hint="default" w:ascii="Times New Roman" w:hAnsi="Times New Roman" w:eastAsia="宋体" w:cs="Times New Roman"/>
          <w:color w:val="auto"/>
          <w:spacing w:val="-2"/>
          <w:sz w:val="24"/>
          <w:szCs w:val="24"/>
          <w:highlight w:val="none"/>
        </w:rPr>
        <w:t>。</w:t>
      </w:r>
    </w:p>
    <w:p w14:paraId="32ADAD0D">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5</w:t>
      </w:r>
      <w:r>
        <w:rPr>
          <w:rFonts w:hint="default" w:ascii="Times New Roman" w:hAnsi="Times New Roman" w:eastAsia="宋体" w:cs="Times New Roman"/>
          <w:color w:val="auto"/>
          <w:spacing w:val="-2"/>
          <w:sz w:val="24"/>
          <w:szCs w:val="24"/>
          <w:highlight w:val="none"/>
        </w:rPr>
        <w:t>）尽量压缩施工期内汽车数量和行车密度，控制汽车鸣笛。</w:t>
      </w:r>
    </w:p>
    <w:p w14:paraId="1D6D6F08">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6</w:t>
      </w:r>
      <w:r>
        <w:rPr>
          <w:rFonts w:hint="default" w:ascii="Times New Roman" w:hAnsi="Times New Roman" w:eastAsia="宋体" w:cs="Times New Roman"/>
          <w:color w:val="auto"/>
          <w:spacing w:val="-2"/>
          <w:sz w:val="24"/>
          <w:szCs w:val="24"/>
          <w:highlight w:val="none"/>
        </w:rPr>
        <w:t>）注意对施工设备的维修、保养，使各种施工机械保持良好的运行状态。</w:t>
      </w:r>
    </w:p>
    <w:p w14:paraId="04408064">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7</w:t>
      </w:r>
      <w:r>
        <w:rPr>
          <w:rFonts w:hint="default" w:ascii="Times New Roman" w:hAnsi="Times New Roman" w:eastAsia="宋体" w:cs="Times New Roman"/>
          <w:color w:val="auto"/>
          <w:spacing w:val="-1"/>
          <w:sz w:val="24"/>
          <w:szCs w:val="24"/>
          <w:highlight w:val="none"/>
        </w:rPr>
        <w:t>）在搬运易产生噪声的施工设备、建筑材料等时，应尽可能轻拿轻放，以避</w:t>
      </w:r>
      <w:r>
        <w:rPr>
          <w:rFonts w:hint="default" w:ascii="Times New Roman" w:hAnsi="Times New Roman" w:eastAsia="宋体" w:cs="Times New Roman"/>
          <w:color w:val="auto"/>
          <w:spacing w:val="-5"/>
          <w:sz w:val="24"/>
          <w:szCs w:val="24"/>
          <w:highlight w:val="none"/>
        </w:rPr>
        <w:t>免相互碰撞而产生噪声。</w:t>
      </w:r>
    </w:p>
    <w:p w14:paraId="72276BF0">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总之，通过选用低噪声施工设备，高噪声设备封闭使用，夜间停止施工等措施后</w:t>
      </w:r>
      <w:r>
        <w:rPr>
          <w:rFonts w:hint="default" w:ascii="Times New Roman" w:hAnsi="Times New Roman" w:eastAsia="宋体" w:cs="Times New Roman"/>
          <w:color w:val="auto"/>
          <w:spacing w:val="-1"/>
          <w:sz w:val="24"/>
          <w:szCs w:val="24"/>
          <w:highlight w:val="none"/>
          <w:lang w:eastAsia="zh-CN"/>
        </w:rPr>
        <w:t>厂界</w:t>
      </w:r>
      <w:r>
        <w:rPr>
          <w:rFonts w:hint="default" w:ascii="Times New Roman" w:hAnsi="Times New Roman" w:eastAsia="宋体" w:cs="Times New Roman"/>
          <w:color w:val="auto"/>
          <w:spacing w:val="-1"/>
          <w:sz w:val="24"/>
          <w:szCs w:val="24"/>
          <w:highlight w:val="none"/>
        </w:rPr>
        <w:t>噪声符合《建筑施工</w:t>
      </w:r>
      <w:r>
        <w:rPr>
          <w:rFonts w:hint="default" w:ascii="Times New Roman" w:hAnsi="Times New Roman" w:eastAsia="宋体" w:cs="Times New Roman"/>
          <w:color w:val="auto"/>
          <w:spacing w:val="-1"/>
          <w:sz w:val="24"/>
          <w:szCs w:val="24"/>
          <w:highlight w:val="none"/>
          <w:lang w:eastAsia="zh-CN"/>
        </w:rPr>
        <w:t>厂界</w:t>
      </w:r>
      <w:r>
        <w:rPr>
          <w:rFonts w:hint="default" w:ascii="Times New Roman" w:hAnsi="Times New Roman" w:eastAsia="宋体" w:cs="Times New Roman"/>
          <w:color w:val="auto"/>
          <w:spacing w:val="-1"/>
          <w:sz w:val="24"/>
          <w:szCs w:val="24"/>
          <w:highlight w:val="none"/>
        </w:rPr>
        <w:t>环境噪声排放标准》</w:t>
      </w:r>
      <w:r>
        <w:rPr>
          <w:rFonts w:hint="default" w:ascii="Times New Roman" w:hAnsi="Times New Roman" w:eastAsia="Times New Roman" w:cs="Times New Roman"/>
          <w:color w:val="auto"/>
          <w:spacing w:val="-1"/>
          <w:sz w:val="24"/>
          <w:szCs w:val="24"/>
          <w:highlight w:val="none"/>
        </w:rPr>
        <w:t>(GB</w:t>
      </w:r>
      <w:r>
        <w:rPr>
          <w:rFonts w:hint="default" w:ascii="Times New Roman" w:hAnsi="Times New Roman" w:eastAsia="Times New Roman" w:cs="Times New Roman"/>
          <w:color w:val="auto"/>
          <w:spacing w:val="-2"/>
          <w:sz w:val="24"/>
          <w:szCs w:val="24"/>
          <w:highlight w:val="none"/>
        </w:rPr>
        <w:t>12523-2011)</w:t>
      </w:r>
      <w:r>
        <w:rPr>
          <w:rFonts w:hint="default" w:ascii="Times New Roman" w:hAnsi="Times New Roman" w:eastAsia="宋体" w:cs="Times New Roman"/>
          <w:color w:val="auto"/>
          <w:spacing w:val="-2"/>
          <w:sz w:val="24"/>
          <w:szCs w:val="24"/>
          <w:highlight w:val="none"/>
        </w:rPr>
        <w:t>要求。</w:t>
      </w:r>
    </w:p>
    <w:p w14:paraId="4ADA3125">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09" w:name="_Toc29930"/>
      <w:r>
        <w:rPr>
          <w:rFonts w:hint="default" w:ascii="Times New Roman" w:hAnsi="Times New Roman" w:eastAsia="宋体" w:cs="Times New Roman"/>
          <w:b/>
          <w:bCs/>
          <w:color w:val="auto"/>
          <w:spacing w:val="-2"/>
          <w:sz w:val="24"/>
          <w:szCs w:val="24"/>
          <w:highlight w:val="none"/>
          <w:lang w:val="en-US" w:eastAsia="zh-CN"/>
        </w:rPr>
        <w:t>6.1.4固体废物防治措施</w:t>
      </w:r>
      <w:bookmarkEnd w:id="209"/>
    </w:p>
    <w:p w14:paraId="26955E8E">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建设施工期固体废物主要为施工弃土及施工人员的少量生活垃圾等。</w:t>
      </w:r>
    </w:p>
    <w:p w14:paraId="15D80EAD">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w:t>
      </w:r>
      <w:r>
        <w:rPr>
          <w:rFonts w:hint="default" w:ascii="Times New Roman" w:hAnsi="Times New Roman" w:eastAsia="宋体" w:cs="Times New Roman"/>
          <w:color w:val="auto"/>
          <w:spacing w:val="-1"/>
          <w:sz w:val="24"/>
          <w:szCs w:val="24"/>
          <w:highlight w:val="none"/>
        </w:rPr>
        <w:t>）施工人员产生的生活垃圾量固定垃圾箱存放</w:t>
      </w:r>
      <w:r>
        <w:rPr>
          <w:rFonts w:hint="default" w:ascii="Times New Roman" w:hAnsi="Times New Roman" w:eastAsia="宋体" w:cs="Times New Roman"/>
          <w:color w:val="auto"/>
          <w:spacing w:val="-2"/>
          <w:sz w:val="24"/>
          <w:szCs w:val="24"/>
          <w:highlight w:val="none"/>
        </w:rPr>
        <w:t>，统一清运，不得随意丢弃。</w:t>
      </w:r>
    </w:p>
    <w:p w14:paraId="15726F13">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2</w:t>
      </w:r>
      <w:r>
        <w:rPr>
          <w:rFonts w:hint="default" w:ascii="Times New Roman" w:hAnsi="Times New Roman" w:eastAsia="宋体" w:cs="Times New Roman"/>
          <w:color w:val="auto"/>
          <w:spacing w:val="-2"/>
          <w:sz w:val="24"/>
          <w:szCs w:val="24"/>
          <w:highlight w:val="none"/>
        </w:rPr>
        <w:t>）建筑垃圾用于场地平整。对施工过程中产生的碎石、碎砖等碎建筑材料，</w:t>
      </w:r>
      <w:r>
        <w:rPr>
          <w:rFonts w:hint="default" w:ascii="Times New Roman" w:hAnsi="Times New Roman" w:eastAsia="宋体" w:cs="Times New Roman"/>
          <w:color w:val="auto"/>
          <w:spacing w:val="-3"/>
          <w:sz w:val="24"/>
          <w:szCs w:val="24"/>
          <w:highlight w:val="none"/>
        </w:rPr>
        <w:t>要尽快利用，以减少堆存时间。</w:t>
      </w:r>
    </w:p>
    <w:p w14:paraId="676442FA">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3</w:t>
      </w:r>
      <w:r>
        <w:rPr>
          <w:rFonts w:hint="default" w:ascii="Times New Roman" w:hAnsi="Times New Roman" w:eastAsia="宋体" w:cs="Times New Roman"/>
          <w:color w:val="auto"/>
          <w:spacing w:val="-1"/>
          <w:sz w:val="24"/>
          <w:szCs w:val="24"/>
          <w:highlight w:val="none"/>
        </w:rPr>
        <w:t>）现场搅拌砂浆和混凝土时，按用量进行调配，尽可能做到不撒、不漏、不</w:t>
      </w:r>
      <w:r>
        <w:rPr>
          <w:rFonts w:hint="default" w:ascii="Times New Roman" w:hAnsi="Times New Roman" w:eastAsia="宋体" w:cs="Times New Roman"/>
          <w:color w:val="auto"/>
          <w:spacing w:val="-8"/>
          <w:sz w:val="24"/>
          <w:szCs w:val="24"/>
          <w:highlight w:val="none"/>
        </w:rPr>
        <w:t>倒、不放。</w:t>
      </w:r>
    </w:p>
    <w:p w14:paraId="602712F8">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4</w:t>
      </w:r>
      <w:r>
        <w:rPr>
          <w:rFonts w:hint="default" w:ascii="Times New Roman" w:hAnsi="Times New Roman" w:eastAsia="宋体" w:cs="Times New Roman"/>
          <w:color w:val="auto"/>
          <w:spacing w:val="-2"/>
          <w:sz w:val="24"/>
          <w:szCs w:val="24"/>
          <w:highlight w:val="none"/>
        </w:rPr>
        <w:t>）指定固定的行车路线，防止随意毁坏地表植被，侵占农田。</w:t>
      </w:r>
    </w:p>
    <w:p w14:paraId="1D40B273">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5</w:t>
      </w:r>
      <w:r>
        <w:rPr>
          <w:rFonts w:hint="default" w:ascii="Times New Roman" w:hAnsi="Times New Roman" w:eastAsia="宋体" w:cs="Times New Roman"/>
          <w:color w:val="auto"/>
          <w:spacing w:val="-1"/>
          <w:sz w:val="24"/>
          <w:szCs w:val="24"/>
          <w:highlight w:val="none"/>
        </w:rPr>
        <w:t>）施工期间，修筑临时施工围墙，防止施工时随意破坏周围植被，防止水土</w:t>
      </w:r>
      <w:r>
        <w:rPr>
          <w:rFonts w:hint="default" w:ascii="Times New Roman" w:hAnsi="Times New Roman" w:eastAsia="宋体" w:cs="Times New Roman"/>
          <w:color w:val="auto"/>
          <w:spacing w:val="-10"/>
          <w:sz w:val="24"/>
          <w:szCs w:val="24"/>
          <w:highlight w:val="none"/>
        </w:rPr>
        <w:t>流失。</w:t>
      </w:r>
    </w:p>
    <w:p w14:paraId="224E83D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10" w:name="_Toc23343"/>
      <w:r>
        <w:rPr>
          <w:rFonts w:hint="default" w:ascii="Times New Roman" w:hAnsi="Times New Roman" w:eastAsia="宋体" w:cs="Times New Roman"/>
          <w:b/>
          <w:bCs/>
          <w:color w:val="auto"/>
          <w:spacing w:val="-2"/>
          <w:sz w:val="24"/>
          <w:szCs w:val="24"/>
          <w:highlight w:val="none"/>
          <w:lang w:val="en-US" w:eastAsia="zh-CN"/>
        </w:rPr>
        <w:t>6.1.5施工期生态保护措施</w:t>
      </w:r>
      <w:bookmarkEnd w:id="210"/>
    </w:p>
    <w:p w14:paraId="194835F4">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bookmarkStart w:id="211" w:name="_Toc8082"/>
      <w:bookmarkStart w:id="212" w:name="_Toc6799"/>
      <w:r>
        <w:rPr>
          <w:rFonts w:hint="default" w:ascii="Times New Roman" w:hAnsi="Times New Roman" w:eastAsia="宋体" w:cs="Times New Roman"/>
          <w:color w:val="FF0000"/>
          <w:spacing w:val="-4"/>
          <w:kern w:val="2"/>
          <w:sz w:val="24"/>
          <w:szCs w:val="21"/>
          <w:highlight w:val="none"/>
          <w:lang w:val="en-US" w:eastAsia="zh-CN" w:bidi="ar-SA"/>
        </w:rPr>
        <w:t>一</w:t>
      </w:r>
      <w:r>
        <w:rPr>
          <w:rFonts w:hint="default" w:ascii="Times New Roman" w:hAnsi="Times New Roman" w:eastAsia="宋体" w:cs="Times New Roman"/>
          <w:color w:val="FF0000"/>
          <w:spacing w:val="-4"/>
          <w:kern w:val="2"/>
          <w:sz w:val="24"/>
          <w:szCs w:val="21"/>
          <w:highlight w:val="none"/>
          <w:lang w:val="zh-CN" w:eastAsia="zh-CN" w:bidi="ar-SA"/>
        </w:rPr>
        <w:t>、施工期主要任务是在项目区内构筑物的建筑、设备安装、场区布置、绿化等可能产生的影响：</w:t>
      </w:r>
    </w:p>
    <w:p w14:paraId="472EA818">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①建筑废弃物随意丢弃，侵占非征用土地；</w:t>
      </w:r>
    </w:p>
    <w:p w14:paraId="4B1E6450">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②如果无固定行车线路，将破坏周围防护林及农田；</w:t>
      </w:r>
    </w:p>
    <w:p w14:paraId="5F1D1DB5">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③运输物料车辆应有遮盖措施，防止扬尘；</w:t>
      </w:r>
    </w:p>
    <w:p w14:paraId="113AA2AD">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④生活垃圾应有固定堆放位置，统一收集，保持场区清洁环境；</w:t>
      </w:r>
    </w:p>
    <w:p w14:paraId="78AB4617">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⑤施工过程中将会造成一定程度的土壤流失。</w:t>
      </w:r>
    </w:p>
    <w:p w14:paraId="0262CDCD">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三、工程施工水土流失生态环境影响评价</w:t>
      </w:r>
    </w:p>
    <w:p w14:paraId="4B47E6D2">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在施工中由于机械碾压、人员践踏等过程，使植被遭到砍伐、铲除、掩覆。植被破坏后，土壤无植被覆盖，土壤必将受到外界的干扰，使表层土壤瘠薄，土体构型、理化性质地发生变化，虽然这种变化比较缓慢，若一旦受到强烈的干扰侵蚀，将比植被更难以恢复。</w:t>
      </w:r>
    </w:p>
    <w:p w14:paraId="31111813">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施工过程水土流失的危害主要表现在：</w:t>
      </w:r>
    </w:p>
    <w:p w14:paraId="19E7A709">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表土流失，破坏土体构型。正常的自然土壤具有A、B和C层等发生层次，土壤侵蚀致使土壤流失，土层变薄，</w:t>
      </w:r>
      <w:r>
        <w:rPr>
          <w:rFonts w:hint="eastAsia" w:ascii="Times New Roman" w:hAnsi="Times New Roman" w:cs="Times New Roman"/>
          <w:color w:val="FF0000"/>
          <w:spacing w:val="-4"/>
          <w:kern w:val="2"/>
          <w:sz w:val="24"/>
          <w:szCs w:val="21"/>
          <w:highlight w:val="none"/>
          <w:lang w:val="zh-CN" w:eastAsia="zh-CN" w:bidi="ar-SA"/>
        </w:rPr>
        <w:t>土壤</w:t>
      </w:r>
      <w:r>
        <w:rPr>
          <w:rFonts w:hint="default" w:ascii="Times New Roman" w:hAnsi="Times New Roman" w:eastAsia="宋体" w:cs="Times New Roman"/>
          <w:color w:val="FF0000"/>
          <w:spacing w:val="-4"/>
          <w:kern w:val="2"/>
          <w:sz w:val="24"/>
          <w:szCs w:val="21"/>
          <w:highlight w:val="none"/>
          <w:lang w:val="zh-CN" w:eastAsia="zh-CN" w:bidi="ar-SA"/>
        </w:rPr>
        <w:t>发生层次缺失，破坏了土体结构。</w:t>
      </w:r>
    </w:p>
    <w:p w14:paraId="46F805D5">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土壤养分流失，降低土壤肥力。土壤无论受到何种形式干扰，首先破坏肥力最高、养分最多、结构最好的表层</w:t>
      </w:r>
      <w:r>
        <w:rPr>
          <w:rFonts w:hint="eastAsia" w:ascii="Times New Roman" w:hAnsi="Times New Roman" w:cs="Times New Roman"/>
          <w:color w:val="FF0000"/>
          <w:spacing w:val="-4"/>
          <w:kern w:val="2"/>
          <w:sz w:val="24"/>
          <w:szCs w:val="21"/>
          <w:highlight w:val="none"/>
          <w:lang w:val="zh-CN" w:eastAsia="zh-CN" w:bidi="ar-SA"/>
        </w:rPr>
        <w:t>土壤</w:t>
      </w:r>
      <w:r>
        <w:rPr>
          <w:rFonts w:hint="default" w:ascii="Times New Roman" w:hAnsi="Times New Roman" w:eastAsia="宋体" w:cs="Times New Roman"/>
          <w:color w:val="FF0000"/>
          <w:spacing w:val="-4"/>
          <w:kern w:val="2"/>
          <w:sz w:val="24"/>
          <w:szCs w:val="21"/>
          <w:highlight w:val="none"/>
          <w:lang w:val="zh-CN" w:eastAsia="zh-CN" w:bidi="ar-SA"/>
        </w:rPr>
        <w:t>，土壤有机质、全氮、全磷含量随着土壤侵蚀强度的加剧而降低。</w:t>
      </w:r>
    </w:p>
    <w:p w14:paraId="54149A99">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拟建项目建设过程中，</w:t>
      </w:r>
      <w:r>
        <w:rPr>
          <w:rFonts w:hint="default" w:ascii="Times New Roman" w:hAnsi="Times New Roman" w:cs="Times New Roman"/>
          <w:color w:val="FF0000"/>
          <w:spacing w:val="-4"/>
          <w:kern w:val="2"/>
          <w:sz w:val="24"/>
          <w:szCs w:val="21"/>
          <w:highlight w:val="none"/>
          <w:lang w:val="en-US" w:eastAsia="zh-CN" w:bidi="ar-SA"/>
        </w:rPr>
        <w:t>不涉及土表剥离，仅为厂房改造，设备安装；</w:t>
      </w:r>
      <w:r>
        <w:rPr>
          <w:rFonts w:hint="default" w:ascii="Times New Roman" w:hAnsi="Times New Roman" w:eastAsia="宋体" w:cs="Times New Roman"/>
          <w:color w:val="FF0000"/>
          <w:spacing w:val="-4"/>
          <w:kern w:val="2"/>
          <w:sz w:val="24"/>
          <w:szCs w:val="21"/>
          <w:highlight w:val="none"/>
          <w:lang w:val="zh-CN" w:eastAsia="zh-CN" w:bidi="ar-SA"/>
        </w:rPr>
        <w:t>由于地表清理，土地平整，使用地范围植被破坏，建筑机械和运输车辆所产生的噪声、扬尘，建材处理和使用过程中产生的废弃物，使该地区生物多样性等生态因子受到影响</w:t>
      </w:r>
      <w:r>
        <w:rPr>
          <w:rFonts w:hint="default" w:ascii="Times New Roman" w:hAnsi="Times New Roman" w:cs="Times New Roman"/>
          <w:color w:val="FF0000"/>
          <w:spacing w:val="-4"/>
          <w:kern w:val="2"/>
          <w:sz w:val="24"/>
          <w:szCs w:val="21"/>
          <w:highlight w:val="none"/>
          <w:lang w:val="zh-CN" w:eastAsia="zh-CN" w:bidi="ar-SA"/>
        </w:rPr>
        <w:t>。</w:t>
      </w:r>
    </w:p>
    <w:p w14:paraId="46095DD0">
      <w:pPr>
        <w:pStyle w:val="18"/>
        <w:keepNext w:val="0"/>
        <w:keepLines w:val="0"/>
        <w:pageBreakBefore w:val="0"/>
        <w:widowControl w:val="0"/>
        <w:kinsoku/>
        <w:wordWrap/>
        <w:overflowPunct/>
        <w:topLinePunct w:val="0"/>
        <w:autoSpaceDE/>
        <w:autoSpaceDN/>
        <w:bidi w:val="0"/>
        <w:adjustRightInd/>
        <w:snapToGrid/>
        <w:spacing w:line="360" w:lineRule="auto"/>
        <w:ind w:firstLine="464" w:firstLineChars="200"/>
        <w:textAlignment w:val="auto"/>
        <w:rPr>
          <w:rFonts w:hint="default" w:ascii="Times New Roman" w:hAnsi="Times New Roman" w:eastAsia="宋体" w:cs="Times New Roman"/>
          <w:color w:val="FF0000"/>
          <w:spacing w:val="-4"/>
          <w:kern w:val="2"/>
          <w:sz w:val="24"/>
          <w:szCs w:val="21"/>
          <w:highlight w:val="none"/>
          <w:lang w:val="zh-CN" w:eastAsia="zh-CN" w:bidi="ar-SA"/>
        </w:rPr>
      </w:pPr>
      <w:r>
        <w:rPr>
          <w:rFonts w:hint="default" w:ascii="Times New Roman" w:hAnsi="Times New Roman" w:eastAsia="宋体" w:cs="Times New Roman"/>
          <w:color w:val="FF0000"/>
          <w:spacing w:val="-4"/>
          <w:kern w:val="2"/>
          <w:sz w:val="24"/>
          <w:szCs w:val="21"/>
          <w:highlight w:val="none"/>
          <w:lang w:val="zh-CN" w:eastAsia="zh-CN" w:bidi="ar-SA"/>
        </w:rPr>
        <w:t>施工单位在施工过程中，应注意科学施工。通过严格的施工管理，对施工期间产生的水土流失进行控制则不会对周围环境产生影响。</w:t>
      </w:r>
    </w:p>
    <w:p w14:paraId="1244D5BA">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213" w:name="_Toc12643"/>
      <w:r>
        <w:rPr>
          <w:rFonts w:hint="default" w:ascii="Times New Roman" w:hAnsi="Times New Roman" w:eastAsia="Times New Roman" w:cs="Times New Roman"/>
          <w:b/>
          <w:bCs/>
          <w:color w:val="auto"/>
          <w:spacing w:val="-5"/>
          <w:sz w:val="28"/>
          <w:szCs w:val="28"/>
          <w:highlight w:val="none"/>
        </w:rPr>
        <w:t>6.2运营期污染物防治措施</w:t>
      </w:r>
      <w:bookmarkEnd w:id="211"/>
      <w:bookmarkEnd w:id="212"/>
      <w:bookmarkEnd w:id="213"/>
    </w:p>
    <w:p w14:paraId="3710F74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14" w:name="_Toc30513"/>
      <w:r>
        <w:rPr>
          <w:rFonts w:hint="default" w:ascii="Times New Roman" w:hAnsi="Times New Roman" w:eastAsia="宋体" w:cs="Times New Roman"/>
          <w:b/>
          <w:bCs/>
          <w:color w:val="auto"/>
          <w:spacing w:val="-2"/>
          <w:sz w:val="24"/>
          <w:szCs w:val="24"/>
          <w:highlight w:val="none"/>
          <w:lang w:val="en-US" w:eastAsia="zh-CN"/>
        </w:rPr>
        <w:t>6.2.1水治理措施及利用可行性分析</w:t>
      </w:r>
      <w:bookmarkEnd w:id="214"/>
    </w:p>
    <w:p w14:paraId="37C25E06">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6.2.1.1废水产生情况</w:t>
      </w:r>
    </w:p>
    <w:p w14:paraId="2D9DB11F">
      <w:pPr>
        <w:keepNext w:val="0"/>
        <w:keepLines w:val="0"/>
        <w:pageBreakBefore w:val="0"/>
        <w:widowControl/>
        <w:kinsoku/>
        <w:wordWrap w:val="0"/>
        <w:overflowPunct/>
        <w:topLinePunct/>
        <w:autoSpaceDE/>
        <w:autoSpaceDN/>
        <w:bidi w:val="0"/>
        <w:adjustRightInd w:val="0"/>
        <w:snapToGrid w:val="0"/>
        <w:spacing w:line="360" w:lineRule="auto"/>
        <w:ind w:left="0" w:right="0" w:firstLine="479"/>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本项目废水主要为</w:t>
      </w:r>
      <w:r>
        <w:rPr>
          <w:rFonts w:hint="default" w:ascii="Times New Roman" w:hAnsi="Times New Roman" w:eastAsia="宋体" w:cs="Times New Roman"/>
          <w:color w:val="auto"/>
          <w:spacing w:val="3"/>
          <w:sz w:val="24"/>
          <w:szCs w:val="24"/>
          <w:highlight w:val="none"/>
          <w:lang w:val="en-US" w:eastAsia="zh-CN"/>
        </w:rPr>
        <w:t>养殖废</w:t>
      </w:r>
      <w:r>
        <w:rPr>
          <w:rFonts w:hint="default" w:ascii="Times New Roman" w:hAnsi="Times New Roman" w:eastAsia="宋体" w:cs="Times New Roman"/>
          <w:color w:val="auto"/>
          <w:spacing w:val="3"/>
          <w:sz w:val="24"/>
          <w:szCs w:val="24"/>
          <w:highlight w:val="none"/>
        </w:rPr>
        <w:t>水</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lang w:val="en-US" w:eastAsia="zh-CN"/>
        </w:rPr>
        <w:t>职工生活污水</w:t>
      </w:r>
      <w:r>
        <w:rPr>
          <w:rFonts w:hint="default" w:ascii="Times New Roman" w:hAnsi="Times New Roman" w:eastAsia="宋体" w:cs="Times New Roman"/>
          <w:color w:val="auto"/>
          <w:spacing w:val="3"/>
          <w:sz w:val="24"/>
          <w:szCs w:val="24"/>
          <w:highlight w:val="none"/>
        </w:rPr>
        <w:t>产生情况见表</w:t>
      </w:r>
      <w:r>
        <w:rPr>
          <w:rFonts w:hint="default" w:ascii="Times New Roman" w:hAnsi="Times New Roman" w:eastAsia="Times New Roman" w:cs="Times New Roman"/>
          <w:color w:val="auto"/>
          <w:spacing w:val="-2"/>
          <w:sz w:val="24"/>
          <w:szCs w:val="24"/>
          <w:highlight w:val="none"/>
        </w:rPr>
        <w:t>6.2-1</w:t>
      </w:r>
      <w:r>
        <w:rPr>
          <w:rFonts w:hint="default" w:ascii="Times New Roman" w:hAnsi="Times New Roman" w:eastAsia="宋体" w:cs="Times New Roman"/>
          <w:color w:val="auto"/>
          <w:spacing w:val="-2"/>
          <w:sz w:val="24"/>
          <w:szCs w:val="24"/>
          <w:highlight w:val="none"/>
        </w:rPr>
        <w:t>。</w:t>
      </w:r>
    </w:p>
    <w:p w14:paraId="10367587">
      <w:pPr>
        <w:keepNext w:val="0"/>
        <w:keepLines w:val="0"/>
        <w:pageBreakBefore w:val="0"/>
        <w:kinsoku/>
        <w:wordWrap w:val="0"/>
        <w:overflowPunct/>
        <w:topLinePunct/>
        <w:autoSpaceDE/>
        <w:autoSpaceDN/>
        <w:bidi w:val="0"/>
        <w:adjustRightInd w:val="0"/>
        <w:snapToGrid w:val="0"/>
        <w:spacing w:before="1" w:line="233" w:lineRule="auto"/>
        <w:ind w:left="265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2"/>
          <w:sz w:val="24"/>
          <w:szCs w:val="24"/>
          <w:highlight w:val="none"/>
        </w:rPr>
        <w:t>表</w:t>
      </w:r>
      <w:r>
        <w:rPr>
          <w:rFonts w:hint="default" w:ascii="Times New Roman" w:hAnsi="Times New Roman" w:eastAsia="Times New Roman" w:cs="Times New Roman"/>
          <w:b/>
          <w:bCs/>
          <w:color w:val="auto"/>
          <w:spacing w:val="-2"/>
          <w:sz w:val="24"/>
          <w:szCs w:val="24"/>
          <w:highlight w:val="none"/>
        </w:rPr>
        <w:t>6.2-1</w:t>
      </w:r>
      <w:r>
        <w:rPr>
          <w:rFonts w:hint="default" w:ascii="Times New Roman" w:hAnsi="Times New Roman" w:eastAsia="宋体" w:cs="Times New Roman"/>
          <w:b/>
          <w:bCs/>
          <w:color w:val="auto"/>
          <w:spacing w:val="-2"/>
          <w:sz w:val="24"/>
          <w:szCs w:val="24"/>
          <w:highlight w:val="none"/>
        </w:rPr>
        <w:t>全厂废水产生情况一览表</w:t>
      </w:r>
    </w:p>
    <w:tbl>
      <w:tblPr>
        <w:tblStyle w:val="34"/>
        <w:tblW w:w="8778"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922"/>
        <w:gridCol w:w="1143"/>
        <w:gridCol w:w="1640"/>
        <w:gridCol w:w="5073"/>
      </w:tblGrid>
      <w:tr w14:paraId="64FBD36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22" w:type="dxa"/>
            <w:tcBorders>
              <w:tl2br w:val="nil"/>
              <w:tr2bl w:val="nil"/>
            </w:tcBorders>
            <w:vAlign w:val="center"/>
          </w:tcPr>
          <w:p w14:paraId="5B3DB47C">
            <w:pPr>
              <w:pStyle w:val="35"/>
              <w:keepNext w:val="0"/>
              <w:keepLines w:val="0"/>
              <w:pageBreakBefore w:val="0"/>
              <w:widowControl/>
              <w:kinsoku/>
              <w:wordWrap w:val="0"/>
              <w:overflowPunct/>
              <w:topLinePunct/>
              <w:autoSpaceDE/>
              <w:autoSpaceDN/>
              <w:bidi w:val="0"/>
              <w:adjustRightInd w:val="0"/>
              <w:snapToGrid w:val="0"/>
              <w:spacing w:before="113" w:line="221"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污染源</w:t>
            </w:r>
          </w:p>
        </w:tc>
        <w:tc>
          <w:tcPr>
            <w:tcW w:w="1143" w:type="dxa"/>
            <w:tcBorders>
              <w:tl2br w:val="nil"/>
              <w:tr2bl w:val="nil"/>
            </w:tcBorders>
            <w:vAlign w:val="center"/>
          </w:tcPr>
          <w:p w14:paraId="0D39458C">
            <w:pPr>
              <w:pStyle w:val="35"/>
              <w:keepNext w:val="0"/>
              <w:keepLines w:val="0"/>
              <w:pageBreakBefore w:val="0"/>
              <w:widowControl/>
              <w:kinsoku/>
              <w:wordWrap w:val="0"/>
              <w:overflowPunct/>
              <w:topLinePunct/>
              <w:autoSpaceDE/>
              <w:autoSpaceDN/>
              <w:bidi w:val="0"/>
              <w:adjustRightInd w:val="0"/>
              <w:snapToGrid w:val="0"/>
              <w:spacing w:before="112" w:line="221"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废水</w:t>
            </w:r>
          </w:p>
        </w:tc>
        <w:tc>
          <w:tcPr>
            <w:tcW w:w="1640" w:type="dxa"/>
            <w:tcBorders>
              <w:tl2br w:val="nil"/>
              <w:tr2bl w:val="nil"/>
            </w:tcBorders>
            <w:vAlign w:val="center"/>
          </w:tcPr>
          <w:p w14:paraId="13630BD0">
            <w:pPr>
              <w:pStyle w:val="35"/>
              <w:keepNext w:val="0"/>
              <w:keepLines w:val="0"/>
              <w:pageBreakBefore w:val="0"/>
              <w:widowControl/>
              <w:kinsoku/>
              <w:wordWrap w:val="0"/>
              <w:overflowPunct/>
              <w:topLinePunct/>
              <w:autoSpaceDE/>
              <w:autoSpaceDN/>
              <w:bidi w:val="0"/>
              <w:adjustRightInd w:val="0"/>
              <w:snapToGrid w:val="0"/>
              <w:spacing w:before="112" w:line="221"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产生量</w:t>
            </w:r>
          </w:p>
        </w:tc>
        <w:tc>
          <w:tcPr>
            <w:tcW w:w="5073" w:type="dxa"/>
            <w:tcBorders>
              <w:tl2br w:val="nil"/>
              <w:tr2bl w:val="nil"/>
            </w:tcBorders>
            <w:vAlign w:val="center"/>
          </w:tcPr>
          <w:p w14:paraId="7F07B61A">
            <w:pPr>
              <w:pStyle w:val="35"/>
              <w:keepNext w:val="0"/>
              <w:keepLines w:val="0"/>
              <w:pageBreakBefore w:val="0"/>
              <w:widowControl/>
              <w:kinsoku/>
              <w:wordWrap w:val="0"/>
              <w:overflowPunct/>
              <w:topLinePunct/>
              <w:autoSpaceDE/>
              <w:autoSpaceDN/>
              <w:bidi w:val="0"/>
              <w:adjustRightInd w:val="0"/>
              <w:snapToGrid w:val="0"/>
              <w:spacing w:before="112" w:line="222"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3"/>
                <w:highlight w:val="none"/>
              </w:rPr>
              <w:t>去向</w:t>
            </w:r>
          </w:p>
        </w:tc>
      </w:tr>
      <w:tr w14:paraId="30223C2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22" w:type="dxa"/>
            <w:tcBorders>
              <w:tl2br w:val="nil"/>
              <w:tr2bl w:val="nil"/>
            </w:tcBorders>
            <w:vAlign w:val="center"/>
          </w:tcPr>
          <w:p w14:paraId="4C5485CB">
            <w:pPr>
              <w:pStyle w:val="35"/>
              <w:keepNext w:val="0"/>
              <w:keepLines w:val="0"/>
              <w:pageBreakBefore w:val="0"/>
              <w:widowControl/>
              <w:kinsoku/>
              <w:wordWrap w:val="0"/>
              <w:overflowPunct/>
              <w:topLinePunct/>
              <w:autoSpaceDE/>
              <w:autoSpaceDN/>
              <w:bidi w:val="0"/>
              <w:adjustRightInd w:val="0"/>
              <w:snapToGrid w:val="0"/>
              <w:spacing w:before="68" w:line="221"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养殖区</w:t>
            </w:r>
          </w:p>
        </w:tc>
        <w:tc>
          <w:tcPr>
            <w:tcW w:w="1143" w:type="dxa"/>
            <w:tcBorders>
              <w:tl2br w:val="nil"/>
              <w:tr2bl w:val="nil"/>
            </w:tcBorders>
            <w:vAlign w:val="center"/>
          </w:tcPr>
          <w:p w14:paraId="6F1C101D">
            <w:pPr>
              <w:pStyle w:val="35"/>
              <w:keepNext w:val="0"/>
              <w:keepLines w:val="0"/>
              <w:pageBreakBefore w:val="0"/>
              <w:widowControl/>
              <w:kinsoku/>
              <w:wordWrap w:val="0"/>
              <w:overflowPunct/>
              <w:topLinePunct/>
              <w:autoSpaceDE/>
              <w:autoSpaceDN/>
              <w:bidi w:val="0"/>
              <w:adjustRightInd w:val="0"/>
              <w:snapToGrid w:val="0"/>
              <w:spacing w:before="68" w:line="222"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3"/>
                <w:highlight w:val="none"/>
              </w:rPr>
              <w:t>牛尿</w:t>
            </w:r>
          </w:p>
        </w:tc>
        <w:tc>
          <w:tcPr>
            <w:tcW w:w="1640" w:type="dxa"/>
            <w:tcBorders>
              <w:tl2br w:val="nil"/>
              <w:tr2bl w:val="nil"/>
            </w:tcBorders>
            <w:vAlign w:val="center"/>
          </w:tcPr>
          <w:p w14:paraId="2C800C5D">
            <w:pPr>
              <w:keepNext w:val="0"/>
              <w:keepLines w:val="0"/>
              <w:pageBreakBefore w:val="0"/>
              <w:widowControl/>
              <w:kinsoku/>
              <w:wordWrap w:val="0"/>
              <w:overflowPunct/>
              <w:topLinePunct/>
              <w:autoSpaceDE/>
              <w:autoSpaceDN/>
              <w:bidi w:val="0"/>
              <w:adjustRightInd w:val="0"/>
              <w:snapToGrid w:val="0"/>
              <w:spacing w:before="60" w:line="228" w:lineRule="auto"/>
              <w:jc w:val="center"/>
              <w:textAlignment w:val="baseline"/>
              <w:rPr>
                <w:rFonts w:hint="default" w:ascii="Times New Roman" w:hAnsi="Times New Roman" w:eastAsia="Times New Roman" w:cs="Times New Roman"/>
                <w:color w:val="FF0000"/>
                <w:spacing w:val="-1"/>
                <w:sz w:val="21"/>
                <w:szCs w:val="21"/>
                <w:highlight w:val="none"/>
              </w:rPr>
            </w:pPr>
            <w:r>
              <w:rPr>
                <w:rFonts w:hint="default" w:ascii="Times New Roman" w:hAnsi="Times New Roman" w:eastAsia="宋体" w:cs="Times New Roman"/>
                <w:color w:val="FF0000"/>
                <w:spacing w:val="-1"/>
                <w:sz w:val="21"/>
                <w:szCs w:val="21"/>
                <w:highlight w:val="none"/>
                <w:lang w:val="en-US" w:eastAsia="zh-CN"/>
              </w:rPr>
              <w:t>50</w:t>
            </w:r>
            <w:r>
              <w:rPr>
                <w:rFonts w:hint="default" w:ascii="Times New Roman" w:hAnsi="Times New Roman" w:eastAsia="Times New Roman" w:cs="Times New Roman"/>
                <w:color w:val="FF0000"/>
                <w:spacing w:val="-1"/>
                <w:sz w:val="21"/>
                <w:szCs w:val="21"/>
                <w:highlight w:val="none"/>
              </w:rPr>
              <w:t>t/d</w:t>
            </w:r>
          </w:p>
          <w:p w14:paraId="60401F78">
            <w:pPr>
              <w:keepNext w:val="0"/>
              <w:keepLines w:val="0"/>
              <w:pageBreakBefore w:val="0"/>
              <w:widowControl/>
              <w:kinsoku/>
              <w:wordWrap w:val="0"/>
              <w:overflowPunct/>
              <w:topLinePunct/>
              <w:autoSpaceDE/>
              <w:autoSpaceDN/>
              <w:bidi w:val="0"/>
              <w:adjustRightInd w:val="0"/>
              <w:snapToGrid w:val="0"/>
              <w:spacing w:before="60" w:line="228" w:lineRule="auto"/>
              <w:jc w:val="center"/>
              <w:textAlignment w:val="baseline"/>
              <w:rPr>
                <w:rFonts w:hint="default" w:ascii="Times New Roman" w:hAnsi="Times New Roman" w:eastAsia="宋体" w:cs="Times New Roman"/>
                <w:color w:val="FF0000"/>
                <w:highlight w:val="none"/>
                <w:lang w:eastAsia="zh-CN"/>
              </w:rPr>
            </w:pPr>
            <w:r>
              <w:rPr>
                <w:rFonts w:hint="default" w:ascii="Times New Roman" w:hAnsi="Times New Roman" w:cs="Times New Roman"/>
                <w:color w:val="FF0000"/>
                <w:spacing w:val="-1"/>
                <w:position w:val="1"/>
                <w:highlight w:val="none"/>
              </w:rPr>
              <w:t>（</w:t>
            </w:r>
            <w:r>
              <w:rPr>
                <w:rFonts w:hint="default" w:ascii="Times New Roman" w:hAnsi="Times New Roman" w:eastAsia="宋体" w:cs="Times New Roman"/>
                <w:color w:val="FF0000"/>
                <w:spacing w:val="-1"/>
                <w:position w:val="1"/>
                <w:highlight w:val="none"/>
                <w:lang w:val="en-US" w:eastAsia="zh-CN"/>
              </w:rPr>
              <w:t>18250</w:t>
            </w:r>
            <w:r>
              <w:rPr>
                <w:rFonts w:hint="default" w:ascii="Times New Roman" w:hAnsi="Times New Roman" w:eastAsia="Times New Roman" w:cs="Times New Roman"/>
                <w:color w:val="FF0000"/>
                <w:spacing w:val="-1"/>
                <w:position w:val="1"/>
                <w:highlight w:val="none"/>
              </w:rPr>
              <w:t>t/a</w:t>
            </w:r>
            <w:r>
              <w:rPr>
                <w:rFonts w:hint="default" w:ascii="Times New Roman" w:hAnsi="Times New Roman" w:eastAsia="宋体" w:cs="Times New Roman"/>
                <w:color w:val="FF0000"/>
                <w:spacing w:val="-1"/>
                <w:position w:val="1"/>
                <w:highlight w:val="none"/>
                <w:lang w:eastAsia="zh-CN"/>
              </w:rPr>
              <w:t>）</w:t>
            </w:r>
          </w:p>
        </w:tc>
        <w:tc>
          <w:tcPr>
            <w:tcW w:w="5073" w:type="dxa"/>
            <w:tcBorders>
              <w:tl2br w:val="nil"/>
              <w:tr2bl w:val="nil"/>
            </w:tcBorders>
            <w:vAlign w:val="center"/>
          </w:tcPr>
          <w:p w14:paraId="0137836E">
            <w:pPr>
              <w:pStyle w:val="35"/>
              <w:keepNext w:val="0"/>
              <w:keepLines w:val="0"/>
              <w:pageBreakBefore w:val="0"/>
              <w:widowControl/>
              <w:kinsoku/>
              <w:wordWrap w:val="0"/>
              <w:overflowPunct/>
              <w:topLinePunct/>
              <w:autoSpaceDE/>
              <w:autoSpaceDN/>
              <w:bidi w:val="0"/>
              <w:adjustRightInd w:val="0"/>
              <w:snapToGrid w:val="0"/>
              <w:spacing w:before="35" w:line="220" w:lineRule="auto"/>
              <w:ind w:left="29"/>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rPr>
              <w:t>干撒式发酵床发酵菌剂可将牛尿、牛粪一部分降解为水蒸气和二氧化碳，另一部分转化为粗蛋白、菌体蛋白和维生素等营养物质。从源头上消除了粪尿对生态环境的污染</w:t>
            </w:r>
            <w:r>
              <w:rPr>
                <w:rFonts w:hint="default" w:ascii="Times New Roman" w:hAnsi="Times New Roman" w:cs="Times New Roman"/>
                <w:color w:val="FF0000"/>
                <w:spacing w:val="-1"/>
                <w:highlight w:val="none"/>
                <w:lang w:eastAsia="zh-CN"/>
              </w:rPr>
              <w:t>，</w:t>
            </w:r>
            <w:r>
              <w:rPr>
                <w:rFonts w:hint="default" w:ascii="Times New Roman" w:hAnsi="Times New Roman" w:cs="Times New Roman"/>
                <w:color w:val="FF0000"/>
                <w:spacing w:val="-1"/>
                <w:highlight w:val="none"/>
                <w:lang w:val="en-US" w:eastAsia="zh-CN"/>
              </w:rPr>
              <w:t>不外排</w:t>
            </w:r>
            <w:r>
              <w:rPr>
                <w:rFonts w:hint="default" w:ascii="Times New Roman" w:hAnsi="Times New Roman" w:cs="Times New Roman"/>
                <w:color w:val="FF0000"/>
                <w:spacing w:val="-1"/>
                <w:highlight w:val="none"/>
              </w:rPr>
              <w:t>。</w:t>
            </w:r>
          </w:p>
        </w:tc>
      </w:tr>
      <w:tr w14:paraId="5EA2CA4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22" w:type="dxa"/>
            <w:tcBorders>
              <w:tl2br w:val="nil"/>
              <w:tr2bl w:val="nil"/>
            </w:tcBorders>
            <w:vAlign w:val="center"/>
          </w:tcPr>
          <w:p w14:paraId="2078A61C">
            <w:pPr>
              <w:pStyle w:val="35"/>
              <w:keepNext w:val="0"/>
              <w:keepLines w:val="0"/>
              <w:pageBreakBefore w:val="0"/>
              <w:widowControl/>
              <w:kinsoku/>
              <w:wordWrap w:val="0"/>
              <w:overflowPunct/>
              <w:topLinePunct/>
              <w:autoSpaceDE/>
              <w:autoSpaceDN/>
              <w:bidi w:val="0"/>
              <w:adjustRightInd w:val="0"/>
              <w:snapToGrid w:val="0"/>
              <w:spacing w:before="182" w:line="221"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生活区</w:t>
            </w:r>
          </w:p>
        </w:tc>
        <w:tc>
          <w:tcPr>
            <w:tcW w:w="1143" w:type="dxa"/>
            <w:tcBorders>
              <w:tl2br w:val="nil"/>
              <w:tr2bl w:val="nil"/>
            </w:tcBorders>
            <w:vAlign w:val="center"/>
          </w:tcPr>
          <w:p w14:paraId="055EE3C1">
            <w:pPr>
              <w:pStyle w:val="35"/>
              <w:keepNext w:val="0"/>
              <w:keepLines w:val="0"/>
              <w:pageBreakBefore w:val="0"/>
              <w:widowControl/>
              <w:kinsoku/>
              <w:wordWrap w:val="0"/>
              <w:overflowPunct/>
              <w:topLinePunct/>
              <w:autoSpaceDE/>
              <w:autoSpaceDN/>
              <w:bidi w:val="0"/>
              <w:adjustRightInd w:val="0"/>
              <w:snapToGrid w:val="0"/>
              <w:spacing w:before="182" w:line="221"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生活废水</w:t>
            </w:r>
          </w:p>
        </w:tc>
        <w:tc>
          <w:tcPr>
            <w:tcW w:w="1640" w:type="dxa"/>
            <w:tcBorders>
              <w:tl2br w:val="nil"/>
              <w:tr2bl w:val="nil"/>
            </w:tcBorders>
            <w:vAlign w:val="center"/>
          </w:tcPr>
          <w:p w14:paraId="093971D4">
            <w:pPr>
              <w:pStyle w:val="35"/>
              <w:keepNext w:val="0"/>
              <w:keepLines w:val="0"/>
              <w:pageBreakBefore w:val="0"/>
              <w:widowControl/>
              <w:kinsoku/>
              <w:wordWrap w:val="0"/>
              <w:overflowPunct/>
              <w:topLinePunct/>
              <w:autoSpaceDE/>
              <w:autoSpaceDN/>
              <w:bidi w:val="0"/>
              <w:adjustRightInd w:val="0"/>
              <w:snapToGrid w:val="0"/>
              <w:spacing w:before="182" w:line="281" w:lineRule="exact"/>
              <w:jc w:val="center"/>
              <w:textAlignment w:val="baseline"/>
              <w:rPr>
                <w:rFonts w:hint="default" w:ascii="Times New Roman" w:hAnsi="Times New Roman" w:cs="Times New Roman"/>
                <w:color w:val="FF0000"/>
                <w:highlight w:val="none"/>
              </w:rPr>
            </w:pPr>
            <w:r>
              <w:rPr>
                <w:rFonts w:hint="default" w:ascii="Times New Roman" w:hAnsi="Times New Roman" w:eastAsia="宋体" w:cs="Times New Roman"/>
                <w:color w:val="FF0000"/>
                <w:spacing w:val="-10"/>
                <w:position w:val="1"/>
                <w:highlight w:val="none"/>
                <w:lang w:val="en-US" w:eastAsia="zh-CN"/>
              </w:rPr>
              <w:t>1.6</w:t>
            </w:r>
            <w:r>
              <w:rPr>
                <w:rFonts w:hint="default" w:ascii="Times New Roman" w:hAnsi="Times New Roman" w:eastAsia="Times New Roman" w:cs="Times New Roman"/>
                <w:color w:val="FF0000"/>
                <w:spacing w:val="-10"/>
                <w:position w:val="1"/>
                <w:highlight w:val="none"/>
              </w:rPr>
              <w:t>t/d</w:t>
            </w:r>
            <w:r>
              <w:rPr>
                <w:rFonts w:hint="default" w:ascii="Times New Roman" w:hAnsi="Times New Roman" w:cs="Times New Roman"/>
                <w:color w:val="FF0000"/>
                <w:spacing w:val="-10"/>
                <w:position w:val="1"/>
                <w:highlight w:val="none"/>
              </w:rPr>
              <w:t>（</w:t>
            </w:r>
            <w:r>
              <w:rPr>
                <w:rFonts w:hint="default" w:ascii="Times New Roman" w:hAnsi="Times New Roman" w:eastAsia="宋体" w:cs="Times New Roman"/>
                <w:color w:val="FF0000"/>
                <w:spacing w:val="-10"/>
                <w:position w:val="1"/>
                <w:highlight w:val="none"/>
                <w:lang w:val="en-US" w:eastAsia="zh-CN"/>
              </w:rPr>
              <w:t>584</w:t>
            </w:r>
            <w:r>
              <w:rPr>
                <w:rFonts w:hint="default" w:ascii="Times New Roman" w:hAnsi="Times New Roman" w:eastAsia="Times New Roman" w:cs="Times New Roman"/>
                <w:color w:val="FF0000"/>
                <w:spacing w:val="-10"/>
                <w:position w:val="1"/>
                <w:highlight w:val="none"/>
              </w:rPr>
              <w:t>/a</w:t>
            </w:r>
            <w:r>
              <w:rPr>
                <w:rFonts w:hint="default" w:ascii="Times New Roman" w:hAnsi="Times New Roman" w:cs="Times New Roman"/>
                <w:color w:val="FF0000"/>
                <w:spacing w:val="-10"/>
                <w:position w:val="1"/>
                <w:highlight w:val="none"/>
              </w:rPr>
              <w:t>）</w:t>
            </w:r>
          </w:p>
        </w:tc>
        <w:tc>
          <w:tcPr>
            <w:tcW w:w="5073" w:type="dxa"/>
            <w:tcBorders>
              <w:tl2br w:val="nil"/>
              <w:tr2bl w:val="nil"/>
            </w:tcBorders>
            <w:vAlign w:val="center"/>
          </w:tcPr>
          <w:p w14:paraId="4C692254">
            <w:pPr>
              <w:pStyle w:val="35"/>
              <w:keepNext w:val="0"/>
              <w:keepLines w:val="0"/>
              <w:pageBreakBefore w:val="0"/>
              <w:widowControl/>
              <w:kinsoku/>
              <w:wordWrap w:val="0"/>
              <w:overflowPunct/>
              <w:topLinePunct/>
              <w:autoSpaceDE/>
              <w:autoSpaceDN/>
              <w:bidi w:val="0"/>
              <w:adjustRightInd w:val="0"/>
              <w:snapToGrid w:val="0"/>
              <w:spacing w:before="44" w:line="215" w:lineRule="auto"/>
              <w:ind w:right="122"/>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rPr>
              <w:t>生活污水排入化粪池，定期清掏。</w:t>
            </w:r>
          </w:p>
        </w:tc>
      </w:tr>
      <w:tr w14:paraId="41627BB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2065" w:type="dxa"/>
            <w:gridSpan w:val="2"/>
            <w:tcBorders>
              <w:tl2br w:val="nil"/>
              <w:tr2bl w:val="nil"/>
            </w:tcBorders>
            <w:vAlign w:val="center"/>
          </w:tcPr>
          <w:p w14:paraId="4D1C527F">
            <w:pPr>
              <w:pStyle w:val="35"/>
              <w:keepNext w:val="0"/>
              <w:keepLines w:val="0"/>
              <w:pageBreakBefore w:val="0"/>
              <w:widowControl/>
              <w:kinsoku/>
              <w:wordWrap w:val="0"/>
              <w:overflowPunct/>
              <w:topLinePunct/>
              <w:autoSpaceDE/>
              <w:autoSpaceDN/>
              <w:bidi w:val="0"/>
              <w:adjustRightInd w:val="0"/>
              <w:snapToGrid w:val="0"/>
              <w:spacing w:before="127" w:line="222" w:lineRule="auto"/>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合计</w:t>
            </w:r>
          </w:p>
        </w:tc>
        <w:tc>
          <w:tcPr>
            <w:tcW w:w="1640" w:type="dxa"/>
            <w:tcBorders>
              <w:tl2br w:val="nil"/>
              <w:tr2bl w:val="nil"/>
            </w:tcBorders>
            <w:vAlign w:val="center"/>
          </w:tcPr>
          <w:p w14:paraId="48225494">
            <w:pPr>
              <w:keepNext w:val="0"/>
              <w:keepLines w:val="0"/>
              <w:pageBreakBefore w:val="0"/>
              <w:widowControl/>
              <w:kinsoku/>
              <w:wordWrap w:val="0"/>
              <w:overflowPunct/>
              <w:topLinePunct/>
              <w:autoSpaceDE/>
              <w:autoSpaceDN/>
              <w:bidi w:val="0"/>
              <w:adjustRightInd w:val="0"/>
              <w:snapToGrid w:val="0"/>
              <w:spacing w:before="158" w:line="233" w:lineRule="auto"/>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宋体" w:cs="Times New Roman"/>
                <w:color w:val="FF0000"/>
                <w:spacing w:val="-1"/>
                <w:sz w:val="21"/>
                <w:szCs w:val="21"/>
                <w:highlight w:val="none"/>
                <w:lang w:val="en-US" w:eastAsia="zh-CN"/>
              </w:rPr>
              <w:t>18834</w:t>
            </w:r>
            <w:r>
              <w:rPr>
                <w:rFonts w:hint="default" w:ascii="Times New Roman" w:hAnsi="Times New Roman" w:eastAsia="Times New Roman" w:cs="Times New Roman"/>
                <w:color w:val="FF0000"/>
                <w:spacing w:val="-1"/>
                <w:sz w:val="21"/>
                <w:szCs w:val="21"/>
                <w:highlight w:val="none"/>
              </w:rPr>
              <w:t>t/a</w:t>
            </w:r>
          </w:p>
        </w:tc>
        <w:tc>
          <w:tcPr>
            <w:tcW w:w="5073" w:type="dxa"/>
            <w:tcBorders>
              <w:tl2br w:val="nil"/>
              <w:tr2bl w:val="nil"/>
            </w:tcBorders>
            <w:vAlign w:val="center"/>
          </w:tcPr>
          <w:p w14:paraId="3CE801DB">
            <w:pPr>
              <w:keepNext w:val="0"/>
              <w:keepLines w:val="0"/>
              <w:pageBreakBefore w:val="0"/>
              <w:widowControl/>
              <w:kinsoku/>
              <w:wordWrap w:val="0"/>
              <w:overflowPunct/>
              <w:topLinePunct/>
              <w:autoSpaceDE/>
              <w:autoSpaceDN/>
              <w:bidi w:val="0"/>
              <w:adjustRightInd w:val="0"/>
              <w:snapToGrid w:val="0"/>
              <w:spacing w:before="158" w:line="233" w:lineRule="auto"/>
              <w:ind w:left="2509"/>
              <w:jc w:val="both"/>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Times New Roman" w:cs="Times New Roman"/>
                <w:color w:val="FF0000"/>
                <w:sz w:val="21"/>
                <w:szCs w:val="21"/>
                <w:highlight w:val="none"/>
              </w:rPr>
              <w:t>/</w:t>
            </w:r>
          </w:p>
        </w:tc>
      </w:tr>
    </w:tbl>
    <w:p w14:paraId="27B06624">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6.2.1.2废水治理措施可行性分析</w:t>
      </w:r>
    </w:p>
    <w:p w14:paraId="15DF0C07">
      <w:pPr>
        <w:pStyle w:val="41"/>
        <w:keepNext w:val="0"/>
        <w:keepLines w:val="0"/>
        <w:pageBreakBefore w:val="0"/>
        <w:wordWrap/>
        <w:overflowPunct/>
        <w:topLinePunct w:val="0"/>
        <w:bidi w:val="0"/>
        <w:adjustRightInd/>
        <w:snapToGrid/>
        <w:spacing w:line="360" w:lineRule="auto"/>
        <w:ind w:firstLine="480" w:firstLineChars="200"/>
        <w:outlineLvl w:val="9"/>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zh-CN" w:bidi="ar-SA"/>
        </w:rPr>
        <w:t>（</w:t>
      </w:r>
      <w:r>
        <w:rPr>
          <w:rFonts w:hint="default" w:ascii="Times New Roman" w:hAnsi="Times New Roman" w:cs="Times New Roman"/>
          <w:snapToGrid w:val="0"/>
          <w:color w:val="auto"/>
          <w:kern w:val="0"/>
          <w:sz w:val="24"/>
          <w:szCs w:val="24"/>
          <w:highlight w:val="none"/>
          <w:lang w:val="en-US" w:eastAsia="zh-CN" w:bidi="ar-SA"/>
        </w:rPr>
        <w:t>1</w:t>
      </w:r>
      <w:r>
        <w:rPr>
          <w:rFonts w:hint="default" w:ascii="Times New Roman" w:hAnsi="Times New Roman" w:eastAsia="宋体" w:cs="Times New Roman"/>
          <w:snapToGrid w:val="0"/>
          <w:color w:val="auto"/>
          <w:kern w:val="0"/>
          <w:sz w:val="24"/>
          <w:szCs w:val="24"/>
          <w:highlight w:val="none"/>
          <w:lang w:val="en-US" w:eastAsia="zh-CN" w:bidi="ar-SA"/>
        </w:rPr>
        <w:t>）</w:t>
      </w:r>
      <w:r>
        <w:rPr>
          <w:rFonts w:hint="default" w:ascii="Times New Roman" w:hAnsi="Times New Roman" w:eastAsia="宋体" w:cs="Times New Roman"/>
          <w:snapToGrid w:val="0"/>
          <w:color w:val="auto"/>
          <w:kern w:val="0"/>
          <w:sz w:val="24"/>
          <w:szCs w:val="24"/>
          <w:highlight w:val="none"/>
          <w:lang w:val="en-US" w:eastAsia="en-US" w:bidi="ar-SA"/>
        </w:rPr>
        <w:t>废水处理措施可行性分析</w:t>
      </w:r>
    </w:p>
    <w:p w14:paraId="7883A574">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FF0000"/>
          <w:sz w:val="24"/>
          <w:szCs w:val="24"/>
          <w:highlight w:val="none"/>
          <w:lang w:eastAsia="zh-CN"/>
        </w:rPr>
      </w:pPr>
      <w:r>
        <w:rPr>
          <w:rFonts w:hint="default" w:ascii="Times New Roman" w:hAnsi="Times New Roman" w:eastAsia="宋体" w:cs="Times New Roman"/>
          <w:color w:val="auto"/>
          <w:sz w:val="24"/>
          <w:szCs w:val="24"/>
          <w:highlight w:val="none"/>
        </w:rPr>
        <w:t>根据《排污许可证申请与核发技术规范 畜禽养殖行业》（HJ1029</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2019），</w:t>
      </w:r>
      <w:r>
        <w:rPr>
          <w:rFonts w:hint="default" w:ascii="Times New Roman" w:hAnsi="Times New Roman" w:eastAsia="宋体" w:cs="Times New Roman"/>
          <w:color w:val="FF0000"/>
          <w:sz w:val="24"/>
          <w:szCs w:val="24"/>
          <w:highlight w:val="none"/>
        </w:rPr>
        <w:t>废水污染防治可行技术分为间接排放和直接排放；本项目废水预处理方式为</w:t>
      </w:r>
      <w:r>
        <w:rPr>
          <w:rFonts w:hint="default" w:ascii="Times New Roman" w:hAnsi="Times New Roman" w:eastAsia="宋体" w:cs="Times New Roman"/>
          <w:color w:val="FF0000"/>
          <w:kern w:val="2"/>
          <w:sz w:val="24"/>
          <w:szCs w:val="24"/>
          <w:highlight w:val="none"/>
          <w:lang w:val="en-US" w:eastAsia="zh-CN" w:bidi="ar-SA"/>
        </w:rPr>
        <w:t>干撒式发酵床工艺</w:t>
      </w:r>
      <w:r>
        <w:rPr>
          <w:rFonts w:hint="default" w:ascii="Times New Roman" w:hAnsi="Times New Roman" w:eastAsia="宋体" w:cs="Times New Roman"/>
          <w:color w:val="FF0000"/>
          <w:sz w:val="24"/>
          <w:szCs w:val="24"/>
          <w:highlight w:val="none"/>
        </w:rPr>
        <w:t>，</w:t>
      </w:r>
      <w:r>
        <w:rPr>
          <w:rFonts w:hint="default" w:ascii="Times New Roman" w:hAnsi="Times New Roman" w:eastAsia="宋体" w:cs="Times New Roman"/>
          <w:color w:val="FF0000"/>
          <w:sz w:val="24"/>
          <w:szCs w:val="24"/>
          <w:highlight w:val="none"/>
          <w:lang w:val="en-US" w:eastAsia="zh-CN"/>
        </w:rPr>
        <w:t>该工艺运用于牛舍及运动场，</w:t>
      </w:r>
      <w:r>
        <w:rPr>
          <w:rFonts w:hint="default" w:ascii="Times New Roman" w:hAnsi="Times New Roman" w:eastAsia="宋体" w:cs="Times New Roman"/>
          <w:color w:val="FF0000"/>
          <w:spacing w:val="-4"/>
          <w:sz w:val="24"/>
          <w:szCs w:val="24"/>
          <w:highlight w:val="none"/>
          <w:lang w:val="en-US" w:eastAsia="zh-CN"/>
        </w:rPr>
        <w:t>在圈舍内均匀铺撒干撒式发酵床发酵菌剂与锯末混匀垫料，</w:t>
      </w:r>
      <w:r>
        <w:rPr>
          <w:rFonts w:hint="default" w:ascii="Times New Roman" w:hAnsi="Times New Roman" w:eastAsia="宋体" w:cs="Times New Roman"/>
          <w:color w:val="FF0000"/>
          <w:spacing w:val="-4"/>
          <w:sz w:val="24"/>
          <w:szCs w:val="24"/>
          <w:highlight w:val="none"/>
        </w:rPr>
        <w:t>发酵菌剂可将牛尿、牛粪</w:t>
      </w:r>
      <w:r>
        <w:rPr>
          <w:rFonts w:hint="default" w:ascii="Times New Roman" w:hAnsi="Times New Roman" w:eastAsia="宋体" w:cs="Times New Roman"/>
          <w:color w:val="FF0000"/>
          <w:spacing w:val="-4"/>
          <w:sz w:val="24"/>
          <w:szCs w:val="24"/>
          <w:highlight w:val="none"/>
          <w:lang w:val="en-US" w:eastAsia="zh-CN"/>
        </w:rPr>
        <w:t>完全分解</w:t>
      </w:r>
      <w:r>
        <w:rPr>
          <w:rFonts w:hint="default" w:ascii="Times New Roman" w:hAnsi="Times New Roman" w:eastAsia="宋体" w:cs="Times New Roman"/>
          <w:color w:val="FF0000"/>
          <w:spacing w:val="-4"/>
          <w:sz w:val="24"/>
          <w:szCs w:val="24"/>
          <w:highlight w:val="none"/>
        </w:rPr>
        <w:t>。从源头上消除了粪尿对生态环境的污染</w:t>
      </w:r>
      <w:r>
        <w:rPr>
          <w:rFonts w:hint="default" w:ascii="Times New Roman" w:hAnsi="Times New Roman" w:eastAsia="宋体" w:cs="Times New Roman"/>
          <w:color w:val="FF0000"/>
          <w:spacing w:val="-4"/>
          <w:sz w:val="24"/>
          <w:szCs w:val="24"/>
          <w:highlight w:val="none"/>
          <w:lang w:eastAsia="zh-CN"/>
        </w:rPr>
        <w:t>，</w:t>
      </w:r>
      <w:r>
        <w:rPr>
          <w:rFonts w:hint="default" w:ascii="Times New Roman" w:hAnsi="Times New Roman" w:eastAsia="宋体" w:cs="Times New Roman"/>
          <w:color w:val="FF0000"/>
          <w:spacing w:val="-4"/>
          <w:sz w:val="24"/>
          <w:szCs w:val="24"/>
          <w:highlight w:val="none"/>
          <w:lang w:val="en-US" w:eastAsia="zh-CN"/>
        </w:rPr>
        <w:t>垫料每年更换一次，</w:t>
      </w:r>
      <w:r>
        <w:rPr>
          <w:rFonts w:hint="default" w:ascii="Times New Roman" w:hAnsi="Times New Roman" w:eastAsia="宋体" w:cs="Times New Roman"/>
          <w:color w:val="FF0000"/>
          <w:sz w:val="24"/>
          <w:highlight w:val="none"/>
          <w:lang w:val="en-US" w:eastAsia="zh-CN"/>
        </w:rPr>
        <w:t>进行分批次清运，暂存至粪污储存间，外售有机肥公司清运制肥，</w:t>
      </w:r>
      <w:r>
        <w:rPr>
          <w:rFonts w:hint="default" w:ascii="Times New Roman" w:hAnsi="Times New Roman" w:eastAsia="宋体" w:cs="Times New Roman"/>
          <w:color w:val="FF0000"/>
          <w:spacing w:val="-4"/>
          <w:sz w:val="24"/>
          <w:szCs w:val="24"/>
          <w:highlight w:val="none"/>
          <w:lang w:val="en-US" w:eastAsia="zh-CN"/>
        </w:rPr>
        <w:t>使</w:t>
      </w:r>
      <w:r>
        <w:rPr>
          <w:rFonts w:hint="default" w:ascii="Times New Roman" w:hAnsi="Times New Roman" w:eastAsia="宋体" w:cs="Times New Roman"/>
          <w:color w:val="FF0000"/>
          <w:sz w:val="24"/>
          <w:szCs w:val="24"/>
          <w:highlight w:val="none"/>
        </w:rPr>
        <w:t>本项目废水均不外排</w:t>
      </w:r>
      <w:r>
        <w:rPr>
          <w:rFonts w:hint="default" w:ascii="Times New Roman" w:hAnsi="Times New Roman" w:eastAsia="宋体" w:cs="Times New Roman"/>
          <w:color w:val="FF0000"/>
          <w:sz w:val="24"/>
          <w:szCs w:val="24"/>
          <w:highlight w:val="none"/>
          <w:lang w:eastAsia="zh-CN"/>
        </w:rPr>
        <w:t>。</w:t>
      </w:r>
    </w:p>
    <w:p w14:paraId="0F5F3FCD">
      <w:pPr>
        <w:pStyle w:val="40"/>
        <w:keepNext w:val="0"/>
        <w:keepLines w:val="0"/>
        <w:pageBreakBefore w:val="0"/>
        <w:wordWrap/>
        <w:overflowPunct/>
        <w:topLinePunct w:val="0"/>
        <w:bidi w:val="0"/>
        <w:adjustRightInd/>
        <w:snapToGrid/>
        <w:spacing w:line="360" w:lineRule="auto"/>
        <w:ind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不采用《排污许可证申请与核发技术规范 畜禽养殖行业》（HJ1029</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2019）中场内综合污水处理站的技术。</w:t>
      </w:r>
    </w:p>
    <w:p w14:paraId="446F040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color w:val="auto"/>
          <w:sz w:val="24"/>
          <w:szCs w:val="24"/>
          <w:highlight w:val="none"/>
        </w:rPr>
        <w:t>根据《畜禽养殖业污染防治技术规范》(HJ/T81-2001)有关要求，畜禽养殖过程中产生的废水经无害化处理后，施肥农田，充分利用。</w:t>
      </w:r>
    </w:p>
    <w:p w14:paraId="56EAA9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snapToGrid w:val="0"/>
          <w:color w:val="auto"/>
          <w:kern w:val="0"/>
          <w:sz w:val="24"/>
          <w:szCs w:val="24"/>
          <w:highlight w:val="none"/>
        </w:rPr>
        <w:t>根据</w:t>
      </w:r>
      <w:r>
        <w:rPr>
          <w:rFonts w:hint="default" w:ascii="Times New Roman" w:hAnsi="Times New Roman" w:eastAsia="宋体" w:cs="Times New Roman"/>
          <w:color w:val="auto"/>
          <w:sz w:val="24"/>
          <w:szCs w:val="24"/>
          <w:highlight w:val="none"/>
        </w:rPr>
        <w:t>《畜禽养殖业污染治理工程技术规范》（HJ497-2009）</w:t>
      </w:r>
      <w:r>
        <w:rPr>
          <w:rFonts w:hint="default" w:ascii="Times New Roman" w:hAnsi="Times New Roman" w:eastAsia="宋体" w:cs="Times New Roman"/>
          <w:color w:val="auto"/>
          <w:sz w:val="24"/>
          <w:szCs w:val="24"/>
          <w:highlight w:val="none"/>
          <w:lang w:val="en-US" w:eastAsia="zh-CN"/>
        </w:rPr>
        <w:t>的规定如下：</w:t>
      </w:r>
    </w:p>
    <w:p w14:paraId="7F523C2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一、畜禽养殖业污染治理应从源头控制，严格执行雨污分离，通过优化饲料配方、提高饲养技术、管理水平、改善畜舍结构和通风供暖工艺、改进清粪工艺等措施减少养殖场环境污染。</w:t>
      </w:r>
    </w:p>
    <w:p w14:paraId="112D7A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二、畜禽养殖业污染治理应按照资源化、减量化、无害化的原则，以综合利用为出发点，提高资源化利用率。</w:t>
      </w:r>
    </w:p>
    <w:p w14:paraId="029094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4"/>
          <w:highlight w:val="none"/>
        </w:rPr>
      </w:pPr>
      <w:r>
        <w:rPr>
          <w:rFonts w:hint="default" w:ascii="Times New Roman" w:hAnsi="Times New Roman" w:eastAsia="宋体" w:cs="Times New Roman"/>
          <w:snapToGrid w:val="0"/>
          <w:color w:val="auto"/>
          <w:kern w:val="0"/>
          <w:sz w:val="24"/>
          <w:szCs w:val="24"/>
          <w:highlight w:val="none"/>
        </w:rPr>
        <w:t>本项目</w:t>
      </w:r>
      <w:r>
        <w:rPr>
          <w:rFonts w:hint="default" w:ascii="Times New Roman" w:hAnsi="Times New Roman" w:eastAsia="宋体" w:cs="Times New Roman"/>
          <w:snapToGrid w:val="0"/>
          <w:color w:val="auto"/>
          <w:kern w:val="0"/>
          <w:sz w:val="24"/>
          <w:szCs w:val="24"/>
          <w:highlight w:val="none"/>
          <w:lang w:val="en-US" w:eastAsia="zh-CN"/>
        </w:rPr>
        <w:t>采取的措施</w:t>
      </w:r>
      <w:r>
        <w:rPr>
          <w:rFonts w:hint="default" w:ascii="Times New Roman" w:hAnsi="Times New Roman" w:eastAsia="宋体" w:cs="Times New Roman"/>
          <w:snapToGrid w:val="0"/>
          <w:color w:val="auto"/>
          <w:kern w:val="0"/>
          <w:sz w:val="24"/>
          <w:szCs w:val="24"/>
          <w:highlight w:val="none"/>
        </w:rPr>
        <w:t>符合</w:t>
      </w:r>
      <w:r>
        <w:rPr>
          <w:rFonts w:hint="default" w:ascii="Times New Roman" w:hAnsi="Times New Roman" w:eastAsia="宋体" w:cs="Times New Roman"/>
          <w:color w:val="auto"/>
          <w:sz w:val="24"/>
          <w:szCs w:val="24"/>
          <w:highlight w:val="none"/>
        </w:rPr>
        <w:t>《畜禽养殖业污染治理工程技术规范》（HJ497-2009）</w:t>
      </w:r>
      <w:r>
        <w:rPr>
          <w:rFonts w:hint="default" w:ascii="Times New Roman" w:hAnsi="Times New Roman" w:eastAsia="宋体" w:cs="Times New Roman"/>
          <w:snapToGrid w:val="0"/>
          <w:color w:val="auto"/>
          <w:kern w:val="0"/>
          <w:sz w:val="24"/>
          <w:szCs w:val="24"/>
          <w:highlight w:val="none"/>
        </w:rPr>
        <w:t>的规定，</w:t>
      </w:r>
      <w:r>
        <w:rPr>
          <w:rFonts w:hint="default" w:ascii="Times New Roman" w:hAnsi="Times New Roman" w:eastAsia="宋体" w:cs="Times New Roman"/>
          <w:color w:val="auto"/>
          <w:sz w:val="24"/>
          <w:szCs w:val="24"/>
          <w:highlight w:val="none"/>
        </w:rPr>
        <w:t>技术上是可行的</w:t>
      </w:r>
      <w:r>
        <w:rPr>
          <w:rFonts w:hint="default" w:ascii="Times New Roman" w:hAnsi="Times New Roman" w:eastAsia="宋体" w:cs="Times New Roman"/>
          <w:snapToGrid w:val="0"/>
          <w:color w:val="auto"/>
          <w:kern w:val="0"/>
          <w:sz w:val="24"/>
          <w:szCs w:val="24"/>
          <w:highlight w:val="none"/>
        </w:rPr>
        <w:t>。</w:t>
      </w:r>
    </w:p>
    <w:p w14:paraId="4F0606CB">
      <w:pPr>
        <w:pStyle w:val="41"/>
        <w:keepNext w:val="0"/>
        <w:keepLines w:val="0"/>
        <w:pageBreakBefore w:val="0"/>
        <w:numPr>
          <w:ilvl w:val="0"/>
          <w:numId w:val="0"/>
        </w:numPr>
        <w:wordWrap/>
        <w:overflowPunct/>
        <w:topLinePunct w:val="0"/>
        <w:bidi w:val="0"/>
        <w:adjustRightInd/>
        <w:snapToGrid/>
        <w:spacing w:line="360" w:lineRule="auto"/>
        <w:ind w:firstLine="480" w:firstLineChars="200"/>
        <w:outlineLvl w:val="9"/>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snapToGrid w:val="0"/>
          <w:color w:val="auto"/>
          <w:kern w:val="0"/>
          <w:sz w:val="24"/>
          <w:szCs w:val="24"/>
          <w:lang w:val="en-US" w:eastAsia="zh-CN" w:bidi="ar-SA"/>
        </w:rPr>
        <w:t>（</w:t>
      </w:r>
      <w:r>
        <w:rPr>
          <w:rFonts w:hint="default" w:ascii="Times New Roman" w:hAnsi="Times New Roman" w:cs="Times New Roman"/>
          <w:snapToGrid w:val="0"/>
          <w:color w:val="auto"/>
          <w:kern w:val="0"/>
          <w:sz w:val="24"/>
          <w:szCs w:val="24"/>
          <w:lang w:val="en-US" w:eastAsia="zh-CN" w:bidi="ar-SA"/>
        </w:rPr>
        <w:t>2</w:t>
      </w:r>
      <w:r>
        <w:rPr>
          <w:rFonts w:hint="default" w:ascii="Times New Roman" w:hAnsi="Times New Roman" w:eastAsia="宋体" w:cs="Times New Roman"/>
          <w:snapToGrid w:val="0"/>
          <w:color w:val="auto"/>
          <w:kern w:val="0"/>
          <w:sz w:val="24"/>
          <w:szCs w:val="24"/>
          <w:lang w:val="en-US" w:eastAsia="zh-CN" w:bidi="ar-SA"/>
        </w:rPr>
        <w:t>）</w:t>
      </w:r>
      <w:r>
        <w:rPr>
          <w:rFonts w:hint="default" w:ascii="Times New Roman" w:hAnsi="Times New Roman" w:eastAsia="宋体" w:cs="Times New Roman"/>
          <w:color w:val="auto"/>
          <w:sz w:val="24"/>
          <w:szCs w:val="24"/>
          <w:highlight w:val="none"/>
          <w:lang w:val="en-US" w:eastAsia="zh-CN"/>
        </w:rPr>
        <w:t>其他配套措施</w:t>
      </w:r>
    </w:p>
    <w:p w14:paraId="3415D100">
      <w:pPr>
        <w:pStyle w:val="40"/>
        <w:keepNext w:val="0"/>
        <w:keepLines w:val="0"/>
        <w:pageBreakBefore w:val="0"/>
        <w:wordWrap/>
        <w:overflowPunct/>
        <w:topLinePunct w:val="0"/>
        <w:bidi w:val="0"/>
        <w:adjustRightInd/>
        <w:snapToGrid/>
        <w:spacing w:line="360" w:lineRule="auto"/>
        <w:ind w:firstLine="480" w:firstLineChars="200"/>
        <w:rPr>
          <w:rFonts w:hint="eastAsia" w:ascii="Times New Roman" w:hAnsi="Times New Roman" w:eastAsia="宋体" w:cs="Times New Roman"/>
          <w:snapToGrid w:val="0"/>
          <w:color w:val="auto"/>
          <w:kern w:val="0"/>
          <w:sz w:val="24"/>
          <w:szCs w:val="21"/>
          <w:highlight w:val="green"/>
          <w:lang w:val="en-US" w:eastAsia="zh-CN" w:bidi="ar-SA"/>
        </w:rPr>
      </w:pPr>
      <w:r>
        <w:rPr>
          <w:rFonts w:hint="default" w:ascii="Times New Roman" w:hAnsi="Times New Roman" w:eastAsia="宋体" w:cs="Times New Roman"/>
          <w:color w:val="auto"/>
          <w:sz w:val="24"/>
          <w:szCs w:val="24"/>
          <w:highlight w:val="green"/>
          <w:lang w:val="en-US" w:eastAsia="zh-CN" w:bidi="ar-SA"/>
        </w:rPr>
        <w:t>雨污分流：建设500m</w:t>
      </w:r>
      <w:r>
        <w:rPr>
          <w:rFonts w:hint="default" w:ascii="Times New Roman" w:hAnsi="Times New Roman" w:eastAsia="宋体" w:cs="Times New Roman"/>
          <w:color w:val="auto"/>
          <w:sz w:val="24"/>
          <w:szCs w:val="24"/>
          <w:highlight w:val="green"/>
          <w:vertAlign w:val="superscript"/>
          <w:lang w:val="en-US" w:eastAsia="zh-CN" w:bidi="ar-SA"/>
        </w:rPr>
        <w:t>3</w:t>
      </w:r>
      <w:r>
        <w:rPr>
          <w:rFonts w:hint="default" w:ascii="Times New Roman" w:hAnsi="Times New Roman" w:eastAsia="宋体" w:cs="Times New Roman"/>
          <w:color w:val="auto"/>
          <w:sz w:val="24"/>
          <w:szCs w:val="24"/>
          <w:highlight w:val="green"/>
          <w:lang w:val="en-US" w:eastAsia="zh-CN" w:bidi="ar-SA"/>
        </w:rPr>
        <w:t>初期雨水池，初期</w:t>
      </w:r>
      <w:r>
        <w:rPr>
          <w:rFonts w:hint="default" w:ascii="Times New Roman" w:hAnsi="Times New Roman" w:eastAsia="宋体" w:cs="Times New Roman"/>
          <w:snapToGrid w:val="0"/>
          <w:color w:val="auto"/>
          <w:kern w:val="0"/>
          <w:sz w:val="24"/>
          <w:szCs w:val="21"/>
          <w:highlight w:val="green"/>
          <w:lang w:val="en-US" w:eastAsia="zh-CN" w:bidi="ar-SA"/>
        </w:rPr>
        <w:t>雨水收集后拉运至集贤县碧蓝新环境治理有限责任公司进行处理</w:t>
      </w:r>
      <w:r>
        <w:rPr>
          <w:rFonts w:hint="eastAsia" w:ascii="Times New Roman" w:hAnsi="Times New Roman" w:eastAsia="宋体" w:cs="Times New Roman"/>
          <w:snapToGrid w:val="0"/>
          <w:color w:val="auto"/>
          <w:kern w:val="0"/>
          <w:sz w:val="24"/>
          <w:szCs w:val="21"/>
          <w:highlight w:val="green"/>
          <w:lang w:val="en-US" w:eastAsia="zh-CN" w:bidi="ar-SA"/>
        </w:rPr>
        <w:t>，运动场周围设置围堰，围堰高度40cm，运动场上面设置挡雨棚，牛舍与运动场四周设置雨水导流沟，收集的雨水排入雨水管网。</w:t>
      </w:r>
    </w:p>
    <w:p w14:paraId="68019F9C">
      <w:pPr>
        <w:pStyle w:val="40"/>
        <w:keepNext w:val="0"/>
        <w:keepLines w:val="0"/>
        <w:pageBreakBefore w:val="0"/>
        <w:wordWrap/>
        <w:overflowPunct/>
        <w:topLinePunct w:val="0"/>
        <w:bidi w:val="0"/>
        <w:adjustRightInd/>
        <w:snapToGrid/>
        <w:spacing w:line="360" w:lineRule="auto"/>
        <w:ind w:firstLine="480" w:firstLineChars="200"/>
        <w:rPr>
          <w:rFonts w:hint="default" w:ascii="Times New Roman" w:hAnsi="Times New Roman" w:eastAsia="宋体" w:cs="Times New Roman"/>
          <w:snapToGrid w:val="0"/>
          <w:color w:val="FF0000"/>
          <w:kern w:val="0"/>
          <w:sz w:val="24"/>
          <w:szCs w:val="24"/>
          <w:highlight w:val="none"/>
          <w:lang w:val="en-US" w:eastAsia="en-US" w:bidi="ar-SA"/>
        </w:rPr>
      </w:pPr>
      <w:r>
        <w:rPr>
          <w:rFonts w:hint="default" w:ascii="Times New Roman" w:hAnsi="Times New Roman" w:eastAsia="宋体" w:cs="Times New Roman"/>
          <w:snapToGrid w:val="0"/>
          <w:color w:val="FF0000"/>
          <w:kern w:val="0"/>
          <w:sz w:val="24"/>
          <w:szCs w:val="24"/>
          <w:lang w:val="en-US" w:eastAsia="en-US" w:bidi="ar-SA"/>
        </w:rPr>
        <w:t>（3）</w:t>
      </w:r>
      <w:r>
        <w:rPr>
          <w:rFonts w:hint="default" w:ascii="Times New Roman" w:hAnsi="Times New Roman" w:eastAsia="宋体" w:cs="Times New Roman"/>
          <w:color w:val="FF0000"/>
          <w:sz w:val="24"/>
          <w:szCs w:val="24"/>
          <w:highlight w:val="none"/>
          <w:lang w:val="en-US" w:eastAsia="zh-CN" w:bidi="ar-SA"/>
        </w:rPr>
        <w:t>生活污水</w:t>
      </w:r>
      <w:r>
        <w:rPr>
          <w:rFonts w:hint="default" w:ascii="Times New Roman" w:hAnsi="Times New Roman" w:eastAsia="宋体" w:cs="Times New Roman"/>
          <w:snapToGrid w:val="0"/>
          <w:color w:val="FF0000"/>
          <w:kern w:val="0"/>
          <w:sz w:val="24"/>
          <w:szCs w:val="24"/>
          <w:highlight w:val="none"/>
          <w:lang w:val="en-US" w:eastAsia="en-US" w:bidi="ar-SA"/>
        </w:rPr>
        <w:t>处理措施可行性分析</w:t>
      </w:r>
    </w:p>
    <w:p w14:paraId="146C837E">
      <w:pPr>
        <w:pStyle w:val="40"/>
        <w:keepNext w:val="0"/>
        <w:keepLines w:val="0"/>
        <w:pageBreakBefore w:val="0"/>
        <w:numPr>
          <w:ilvl w:val="0"/>
          <w:numId w:val="0"/>
        </w:numPr>
        <w:wordWrap/>
        <w:overflowPunct/>
        <w:topLinePunct w:val="0"/>
        <w:bidi w:val="0"/>
        <w:adjustRightInd/>
        <w:snapToGrid/>
        <w:spacing w:line="360" w:lineRule="auto"/>
        <w:ind w:firstLine="480" w:firstLineChars="200"/>
        <w:rPr>
          <w:rFonts w:hint="default" w:ascii="Times New Roman" w:hAnsi="Times New Roman" w:eastAsia="宋体" w:cs="Times New Roman"/>
          <w:snapToGrid w:val="0"/>
          <w:color w:val="FF0000"/>
          <w:kern w:val="0"/>
          <w:sz w:val="24"/>
          <w:szCs w:val="24"/>
          <w:highlight w:val="none"/>
          <w:lang w:val="en-US" w:eastAsia="zh-CN" w:bidi="ar-SA"/>
        </w:rPr>
      </w:pPr>
      <w:r>
        <w:rPr>
          <w:rFonts w:hint="default" w:ascii="Times New Roman" w:hAnsi="Times New Roman" w:eastAsia="宋体" w:cs="Times New Roman"/>
          <w:snapToGrid w:val="0"/>
          <w:color w:val="FF0000"/>
          <w:kern w:val="0"/>
          <w:sz w:val="24"/>
          <w:szCs w:val="24"/>
          <w:highlight w:val="none"/>
          <w:lang w:val="en-US" w:eastAsia="zh-CN" w:bidi="ar-SA"/>
        </w:rPr>
        <w:t>本项目化粪池位于厂区东北侧，占地面积约为20平方米，由钢筋混凝土结构构成，内部设有隔板将池体分为若干个独立的处理单元。化粪池的设计容量为50立方米。项目生活污水产生量为1.6m</w:t>
      </w:r>
      <w:r>
        <w:rPr>
          <w:rFonts w:hint="default" w:ascii="Times New Roman" w:hAnsi="Times New Roman" w:eastAsia="宋体" w:cs="Times New Roman"/>
          <w:snapToGrid w:val="0"/>
          <w:color w:val="FF0000"/>
          <w:kern w:val="0"/>
          <w:sz w:val="24"/>
          <w:szCs w:val="24"/>
          <w:highlight w:val="none"/>
          <w:vertAlign w:val="superscript"/>
          <w:lang w:val="en-US" w:eastAsia="zh-CN" w:bidi="ar-SA"/>
        </w:rPr>
        <w:t>3</w:t>
      </w:r>
      <w:r>
        <w:rPr>
          <w:rFonts w:hint="default" w:ascii="Times New Roman" w:hAnsi="Times New Roman" w:eastAsia="宋体" w:cs="Times New Roman"/>
          <w:snapToGrid w:val="0"/>
          <w:color w:val="FF0000"/>
          <w:kern w:val="0"/>
          <w:sz w:val="24"/>
          <w:szCs w:val="24"/>
          <w:highlight w:val="none"/>
          <w:lang w:val="en-US" w:eastAsia="zh-CN" w:bidi="ar-SA"/>
        </w:rPr>
        <w:t>/d，故化粪池每月一清运，清掏设备使用吸粪车，在清掏过程中，要严格遵守相关安全规定，确保工作人员的安全。同时，注意保护环境，避免对周边环境造成不良影响。故本项目</w:t>
      </w:r>
      <w:r>
        <w:rPr>
          <w:rFonts w:hint="default" w:ascii="Times New Roman" w:hAnsi="Times New Roman" w:eastAsia="宋体" w:cs="Times New Roman"/>
          <w:color w:val="FF0000"/>
          <w:sz w:val="24"/>
          <w:szCs w:val="24"/>
          <w:highlight w:val="none"/>
          <w:lang w:val="en-US" w:eastAsia="zh-CN" w:bidi="ar-SA"/>
        </w:rPr>
        <w:t>生活污水</w:t>
      </w:r>
      <w:r>
        <w:rPr>
          <w:rFonts w:hint="default" w:ascii="Times New Roman" w:hAnsi="Times New Roman" w:eastAsia="宋体" w:cs="Times New Roman"/>
          <w:snapToGrid w:val="0"/>
          <w:color w:val="FF0000"/>
          <w:kern w:val="0"/>
          <w:sz w:val="24"/>
          <w:szCs w:val="24"/>
          <w:highlight w:val="none"/>
          <w:lang w:val="en-US" w:eastAsia="en-US" w:bidi="ar-SA"/>
        </w:rPr>
        <w:t>处理措施可行</w:t>
      </w:r>
      <w:r>
        <w:rPr>
          <w:rFonts w:hint="default" w:ascii="Times New Roman" w:hAnsi="Times New Roman" w:eastAsia="宋体" w:cs="Times New Roman"/>
          <w:snapToGrid w:val="0"/>
          <w:color w:val="FF0000"/>
          <w:kern w:val="0"/>
          <w:sz w:val="24"/>
          <w:szCs w:val="24"/>
          <w:highlight w:val="none"/>
          <w:lang w:val="en-US" w:eastAsia="zh-CN" w:bidi="ar-SA"/>
        </w:rPr>
        <w:t>。</w:t>
      </w:r>
    </w:p>
    <w:p w14:paraId="1077E0EB">
      <w:pPr>
        <w:pStyle w:val="40"/>
        <w:keepNext w:val="0"/>
        <w:keepLines w:val="0"/>
        <w:pageBreakBefore w:val="0"/>
        <w:numPr>
          <w:ilvl w:val="0"/>
          <w:numId w:val="0"/>
        </w:numPr>
        <w:wordWrap/>
        <w:overflowPunct/>
        <w:topLinePunct w:val="0"/>
        <w:bidi w:val="0"/>
        <w:adjustRightInd/>
        <w:snapToGrid/>
        <w:spacing w:line="360" w:lineRule="auto"/>
        <w:outlineLvl w:val="2"/>
        <w:rPr>
          <w:rFonts w:hint="default" w:ascii="Times New Roman" w:hAnsi="Times New Roman" w:eastAsia="宋体" w:cs="Times New Roman"/>
          <w:b/>
          <w:bCs/>
          <w:color w:val="auto"/>
          <w:spacing w:val="-2"/>
          <w:sz w:val="24"/>
          <w:szCs w:val="24"/>
          <w:highlight w:val="none"/>
          <w:lang w:val="en-US" w:eastAsia="zh-CN"/>
        </w:rPr>
      </w:pPr>
      <w:bookmarkStart w:id="215" w:name="_Toc25145"/>
      <w:r>
        <w:rPr>
          <w:rFonts w:hint="default" w:ascii="Times New Roman" w:hAnsi="Times New Roman" w:eastAsia="宋体" w:cs="Times New Roman"/>
          <w:b/>
          <w:bCs/>
          <w:color w:val="auto"/>
          <w:spacing w:val="-2"/>
          <w:sz w:val="24"/>
          <w:szCs w:val="24"/>
          <w:highlight w:val="none"/>
          <w:lang w:val="en-US" w:eastAsia="zh-CN"/>
        </w:rPr>
        <w:t>6.2.2大气污染防治措施及利用可行性分析</w:t>
      </w:r>
      <w:bookmarkEnd w:id="215"/>
    </w:p>
    <w:p w14:paraId="7B434B67">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6.2.2.1恶臭污染防治措施及可行性分析</w:t>
      </w:r>
    </w:p>
    <w:p w14:paraId="29DAA1F0">
      <w:pPr>
        <w:pStyle w:val="40"/>
        <w:keepNext w:val="0"/>
        <w:keepLines w:val="0"/>
        <w:pageBreakBefore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Times New Roman" w:cs="Times New Roman"/>
          <w:snapToGrid w:val="0"/>
          <w:color w:val="FF0000"/>
          <w:kern w:val="0"/>
          <w:sz w:val="24"/>
          <w:szCs w:val="24"/>
          <w:highlight w:val="none"/>
          <w:lang w:val="en-US" w:eastAsia="en-US" w:bidi="ar-SA"/>
        </w:rPr>
      </w:pPr>
      <w:r>
        <w:rPr>
          <w:rFonts w:hint="default" w:ascii="Times New Roman" w:hAnsi="Times New Roman" w:eastAsia="Times New Roman" w:cs="Times New Roman"/>
          <w:snapToGrid w:val="0"/>
          <w:color w:val="FF0000"/>
          <w:kern w:val="0"/>
          <w:sz w:val="24"/>
          <w:szCs w:val="24"/>
          <w:highlight w:val="none"/>
          <w:lang w:val="en-US" w:eastAsia="en-US" w:bidi="ar-SA"/>
        </w:rPr>
        <w:t>针对恶臭气体本项目采取的</w:t>
      </w:r>
      <w:r>
        <w:rPr>
          <w:rFonts w:hint="default" w:ascii="Times New Roman" w:hAnsi="Times New Roman" w:eastAsia="Times New Roman" w:cs="Times New Roman"/>
          <w:snapToGrid w:val="0"/>
          <w:color w:val="FF0000"/>
          <w:kern w:val="0"/>
          <w:sz w:val="24"/>
          <w:szCs w:val="24"/>
          <w:highlight w:val="none"/>
          <w:lang w:val="en-US" w:eastAsia="zh-CN" w:bidi="ar-SA"/>
        </w:rPr>
        <w:t>污染</w:t>
      </w:r>
      <w:r>
        <w:rPr>
          <w:rFonts w:hint="default" w:ascii="Times New Roman" w:hAnsi="Times New Roman" w:eastAsia="Times New Roman" w:cs="Times New Roman"/>
          <w:snapToGrid w:val="0"/>
          <w:color w:val="FF0000"/>
          <w:kern w:val="0"/>
          <w:sz w:val="24"/>
          <w:szCs w:val="24"/>
          <w:highlight w:val="none"/>
          <w:lang w:val="en-US" w:eastAsia="en-US" w:bidi="ar-SA"/>
        </w:rPr>
        <w:t>防治措施如下：</w:t>
      </w:r>
    </w:p>
    <w:p w14:paraId="6B094373">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bookmarkStart w:id="216" w:name="_Hlk28353799"/>
      <w:r>
        <w:rPr>
          <w:rFonts w:hint="default" w:ascii="Times New Roman" w:hAnsi="Times New Roman" w:eastAsia="宋体" w:cs="Times New Roman"/>
          <w:color w:val="FF0000"/>
          <w:sz w:val="24"/>
          <w:szCs w:val="24"/>
          <w:highlight w:val="none"/>
          <w:lang w:val="en-US" w:eastAsia="zh-CN"/>
        </w:rPr>
        <w:t>1、牛舍恶臭气体</w:t>
      </w:r>
    </w:p>
    <w:p w14:paraId="474CCAE7">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项目牛舍恶臭气体主要是采取加强牛舍卫生管理、改善饲料营养结构和增加清粪次数等措施，具体方法如下：</w:t>
      </w:r>
    </w:p>
    <w:bookmarkEnd w:id="216"/>
    <w:p w14:paraId="2BF414DC">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①保持牛舍的清洁：要经常清扫，及时清除牛舍粪便，定时对牛舍进行冲洗，保持干燥清洁；并加强牛舍的通风换气，及时排除有害气体，保持牛舍空气清新。</w:t>
      </w:r>
    </w:p>
    <w:p w14:paraId="01324413">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②本项目牛棚臭气主要通过喷洒除臭剂处理，属于无组织排放。</w:t>
      </w:r>
    </w:p>
    <w:p w14:paraId="78B0BA0D">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fldChar w:fldCharType="begin"/>
      </w:r>
      <w:r>
        <w:rPr>
          <w:rFonts w:hint="default" w:ascii="Times New Roman" w:hAnsi="Times New Roman" w:eastAsia="宋体" w:cs="Times New Roman"/>
          <w:color w:val="FF0000"/>
          <w:sz w:val="24"/>
          <w:szCs w:val="24"/>
          <w:highlight w:val="none"/>
          <w:lang w:val="en-US" w:eastAsia="zh-CN"/>
        </w:rPr>
        <w:instrText xml:space="preserve"> = 3 \* GB3 </w:instrText>
      </w:r>
      <w:r>
        <w:rPr>
          <w:rFonts w:hint="default" w:ascii="Times New Roman" w:hAnsi="Times New Roman" w:eastAsia="宋体" w:cs="Times New Roman"/>
          <w:color w:val="FF0000"/>
          <w:sz w:val="24"/>
          <w:szCs w:val="24"/>
          <w:highlight w:val="none"/>
          <w:lang w:val="en-US" w:eastAsia="zh-CN"/>
        </w:rPr>
        <w:fldChar w:fldCharType="separate"/>
      </w:r>
      <w:r>
        <w:rPr>
          <w:rFonts w:hint="default" w:ascii="Times New Roman" w:hAnsi="Times New Roman" w:eastAsia="宋体" w:cs="Times New Roman"/>
          <w:color w:val="FF0000"/>
          <w:sz w:val="24"/>
          <w:szCs w:val="24"/>
          <w:highlight w:val="none"/>
          <w:lang w:val="en-US" w:eastAsia="zh-CN"/>
        </w:rPr>
        <w:t>③</w:t>
      </w:r>
      <w:r>
        <w:rPr>
          <w:rFonts w:hint="default" w:ascii="Times New Roman" w:hAnsi="Times New Roman" w:eastAsia="宋体" w:cs="Times New Roman"/>
          <w:color w:val="FF0000"/>
          <w:sz w:val="24"/>
          <w:szCs w:val="24"/>
          <w:highlight w:val="none"/>
          <w:lang w:val="en-US" w:eastAsia="zh-CN"/>
        </w:rPr>
        <w:fldChar w:fldCharType="end"/>
      </w:r>
      <w:r>
        <w:rPr>
          <w:rFonts w:hint="default" w:ascii="Times New Roman" w:hAnsi="Times New Roman" w:eastAsia="宋体" w:cs="Times New Roman"/>
          <w:color w:val="FF0000"/>
          <w:sz w:val="24"/>
          <w:szCs w:val="24"/>
          <w:highlight w:val="none"/>
          <w:lang w:val="en-US" w:eastAsia="zh-CN"/>
        </w:rPr>
        <w:t>在畜舍内、粪便和日粮中投放EM菌剂等有益微生物复合制剂，能有效地降解NH</w:t>
      </w:r>
      <w:r>
        <w:rPr>
          <w:rFonts w:hint="default" w:ascii="Times New Roman" w:hAnsi="Times New Roman" w:eastAsia="宋体" w:cs="Times New Roman"/>
          <w:color w:val="FF0000"/>
          <w:sz w:val="24"/>
          <w:szCs w:val="24"/>
          <w:highlight w:val="none"/>
          <w:vertAlign w:val="subscript"/>
          <w:lang w:val="en-US" w:eastAsia="zh-CN"/>
        </w:rPr>
        <w:t>3</w:t>
      </w:r>
      <w:r>
        <w:rPr>
          <w:rFonts w:hint="default" w:ascii="Times New Roman" w:hAnsi="Times New Roman" w:eastAsia="宋体" w:cs="Times New Roman"/>
          <w:color w:val="FF0000"/>
          <w:sz w:val="24"/>
          <w:szCs w:val="24"/>
          <w:highlight w:val="none"/>
          <w:lang w:val="en-US" w:eastAsia="zh-CN"/>
        </w:rPr>
        <w:t>、H</w:t>
      </w:r>
      <w:r>
        <w:rPr>
          <w:rFonts w:hint="default" w:ascii="Times New Roman" w:hAnsi="Times New Roman" w:eastAsia="宋体" w:cs="Times New Roman"/>
          <w:color w:val="FF0000"/>
          <w:sz w:val="24"/>
          <w:szCs w:val="24"/>
          <w:highlight w:val="none"/>
          <w:vertAlign w:val="subscript"/>
          <w:lang w:val="en-US" w:eastAsia="zh-CN"/>
        </w:rPr>
        <w:t>2</w:t>
      </w:r>
      <w:r>
        <w:rPr>
          <w:rFonts w:hint="default" w:ascii="Times New Roman" w:hAnsi="Times New Roman" w:eastAsia="宋体" w:cs="Times New Roman"/>
          <w:color w:val="FF0000"/>
          <w:sz w:val="24"/>
          <w:szCs w:val="24"/>
          <w:highlight w:val="none"/>
          <w:lang w:val="en-US" w:eastAsia="zh-CN"/>
        </w:rPr>
        <w:t>S等有害气体，EM菌剂中含有多种有效微生物菌群，其中的好气和光合微生物能利用H</w:t>
      </w:r>
      <w:r>
        <w:rPr>
          <w:rFonts w:hint="default" w:ascii="Times New Roman" w:hAnsi="Times New Roman" w:eastAsia="宋体" w:cs="Times New Roman"/>
          <w:color w:val="FF0000"/>
          <w:sz w:val="24"/>
          <w:szCs w:val="24"/>
          <w:highlight w:val="none"/>
          <w:vertAlign w:val="subscript"/>
          <w:lang w:val="en-US" w:eastAsia="zh-CN"/>
        </w:rPr>
        <w:t>2</w:t>
      </w:r>
      <w:r>
        <w:rPr>
          <w:rFonts w:hint="default" w:ascii="Times New Roman" w:hAnsi="Times New Roman" w:eastAsia="宋体" w:cs="Times New Roman"/>
          <w:color w:val="FF0000"/>
          <w:sz w:val="24"/>
          <w:szCs w:val="24"/>
          <w:highlight w:val="none"/>
          <w:lang w:val="en-US" w:eastAsia="zh-CN"/>
        </w:rPr>
        <w:t>S进行光合作用，放线菌产生的分泌物对病原微生物有抑制作用等；一方面抑制臭气成分的产生，另一方面对上述有害成分直接利用，从而达到净化空气的目的。</w:t>
      </w:r>
    </w:p>
    <w:p w14:paraId="0F4149E0">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fldChar w:fldCharType="begin"/>
      </w:r>
      <w:r>
        <w:rPr>
          <w:rFonts w:hint="default" w:ascii="Times New Roman" w:hAnsi="Times New Roman" w:eastAsia="宋体" w:cs="Times New Roman"/>
          <w:color w:val="FF0000"/>
          <w:sz w:val="24"/>
          <w:szCs w:val="24"/>
          <w:highlight w:val="none"/>
          <w:lang w:val="en-US" w:eastAsia="zh-CN"/>
        </w:rPr>
        <w:instrText xml:space="preserve"> = 4 \* GB3 </w:instrText>
      </w:r>
      <w:r>
        <w:rPr>
          <w:rFonts w:hint="default" w:ascii="Times New Roman" w:hAnsi="Times New Roman" w:eastAsia="宋体" w:cs="Times New Roman"/>
          <w:color w:val="FF0000"/>
          <w:sz w:val="24"/>
          <w:szCs w:val="24"/>
          <w:highlight w:val="none"/>
          <w:lang w:val="en-US" w:eastAsia="zh-CN"/>
        </w:rPr>
        <w:fldChar w:fldCharType="separate"/>
      </w:r>
      <w:r>
        <w:rPr>
          <w:rFonts w:hint="default" w:ascii="Times New Roman" w:hAnsi="Times New Roman" w:eastAsia="宋体" w:cs="Times New Roman"/>
          <w:color w:val="FF0000"/>
          <w:sz w:val="24"/>
          <w:szCs w:val="24"/>
          <w:highlight w:val="none"/>
          <w:lang w:val="en-US" w:eastAsia="zh-CN"/>
        </w:rPr>
        <w:t>④</w:t>
      </w:r>
      <w:r>
        <w:rPr>
          <w:rFonts w:hint="default" w:ascii="Times New Roman" w:hAnsi="Times New Roman" w:eastAsia="宋体" w:cs="Times New Roman"/>
          <w:color w:val="FF0000"/>
          <w:sz w:val="24"/>
          <w:szCs w:val="24"/>
          <w:highlight w:val="none"/>
          <w:lang w:val="en-US" w:eastAsia="zh-CN"/>
        </w:rPr>
        <w:fldChar w:fldCharType="end"/>
      </w:r>
      <w:r>
        <w:rPr>
          <w:rFonts w:hint="default" w:ascii="Times New Roman" w:hAnsi="Times New Roman" w:eastAsia="宋体" w:cs="Times New Roman"/>
          <w:color w:val="FF0000"/>
          <w:sz w:val="24"/>
          <w:szCs w:val="24"/>
          <w:highlight w:val="none"/>
          <w:lang w:val="en-US" w:eastAsia="zh-CN"/>
        </w:rPr>
        <w:t>合理配合日粮和使用添加剂以减少有害气体的排放量。采用理想蛋白质体系，适当降低日粮中粗蛋白质含量，添加必要的必需氨基酸，提高日粮蛋白质的利用率，可以尽量减少粪便中氮、磷、硫的含量，减少粪便和肠道臭气的排放量。</w:t>
      </w:r>
    </w:p>
    <w:p w14:paraId="2ADFA893">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在场区内道路两边种植灌木，</w:t>
      </w:r>
      <w:r>
        <w:rPr>
          <w:rFonts w:hint="eastAsia" w:ascii="Times New Roman" w:hAnsi="Times New Roman" w:eastAsia="宋体" w:cs="Times New Roman"/>
          <w:color w:val="FF0000"/>
          <w:sz w:val="24"/>
          <w:szCs w:val="24"/>
          <w:highlight w:val="none"/>
          <w:lang w:val="en-US" w:eastAsia="zh-CN"/>
        </w:rPr>
        <w:t>厂界</w:t>
      </w:r>
      <w:r>
        <w:rPr>
          <w:rFonts w:hint="default" w:ascii="Times New Roman" w:hAnsi="Times New Roman" w:eastAsia="宋体" w:cs="Times New Roman"/>
          <w:color w:val="FF0000"/>
          <w:sz w:val="24"/>
          <w:szCs w:val="24"/>
          <w:highlight w:val="none"/>
          <w:lang w:val="en-US" w:eastAsia="zh-CN"/>
        </w:rPr>
        <w:t>边缘地带种植杨、槐等高大乔木树种，形成多层防护林带，以降低恶臭污染的影响。</w:t>
      </w:r>
    </w:p>
    <w:p w14:paraId="66844405">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 xml:space="preserve">根据《畜牧场恶臭及其控制措施》、《日粮不同种类的饲草料对澳大利亚青年母牛粪尿中总氮、氨态氮和粪中 </w:t>
      </w:r>
      <w:r>
        <w:rPr>
          <w:rFonts w:hint="default" w:ascii="Times New Roman" w:hAnsi="Times New Roman" w:eastAsia="宋体" w:cs="Times New Roman"/>
          <w:color w:val="FF0000"/>
          <w:sz w:val="24"/>
          <w:szCs w:val="24"/>
          <w:highlight w:val="none"/>
          <w:lang w:val="en-US" w:eastAsia="zh-CN"/>
        </w:rPr>
        <w:t>NH</w:t>
      </w:r>
      <w:r>
        <w:rPr>
          <w:rFonts w:hint="default" w:ascii="Times New Roman" w:hAnsi="Times New Roman" w:eastAsia="宋体" w:cs="Times New Roman"/>
          <w:color w:val="FF0000"/>
          <w:sz w:val="24"/>
          <w:szCs w:val="24"/>
          <w:highlight w:val="none"/>
          <w:vertAlign w:val="subscript"/>
          <w:lang w:val="en-US" w:eastAsia="zh-CN"/>
        </w:rPr>
        <w:t>3</w:t>
      </w:r>
      <w:r>
        <w:rPr>
          <w:rFonts w:hint="eastAsia" w:ascii="Times New Roman" w:hAnsi="Times New Roman" w:eastAsia="宋体" w:cs="Times New Roman"/>
          <w:color w:val="FF0000"/>
          <w:sz w:val="24"/>
          <w:szCs w:val="24"/>
          <w:highlight w:val="none"/>
          <w:lang w:val="en-US" w:eastAsia="zh-CN"/>
        </w:rPr>
        <w:t>、</w:t>
      </w:r>
      <w:r>
        <w:rPr>
          <w:rFonts w:hint="default" w:ascii="Times New Roman" w:hAnsi="Times New Roman" w:eastAsia="宋体" w:cs="Times New Roman"/>
          <w:color w:val="FF0000"/>
          <w:sz w:val="24"/>
          <w:szCs w:val="24"/>
          <w:highlight w:val="none"/>
          <w:lang w:val="en-US" w:eastAsia="zh-CN"/>
        </w:rPr>
        <w:t>H</w:t>
      </w:r>
      <w:r>
        <w:rPr>
          <w:rFonts w:hint="default" w:ascii="Times New Roman" w:hAnsi="Times New Roman" w:eastAsia="宋体" w:cs="Times New Roman"/>
          <w:color w:val="FF0000"/>
          <w:sz w:val="24"/>
          <w:szCs w:val="24"/>
          <w:highlight w:val="none"/>
          <w:vertAlign w:val="subscript"/>
          <w:lang w:val="en-US" w:eastAsia="zh-CN"/>
        </w:rPr>
        <w:t>2</w:t>
      </w:r>
      <w:r>
        <w:rPr>
          <w:rFonts w:hint="default" w:ascii="Times New Roman" w:hAnsi="Times New Roman" w:eastAsia="宋体" w:cs="Times New Roman"/>
          <w:color w:val="FF0000"/>
          <w:sz w:val="24"/>
          <w:szCs w:val="24"/>
          <w:highlight w:val="none"/>
          <w:lang w:val="en-US" w:eastAsia="zh-CN"/>
        </w:rPr>
        <w:t xml:space="preserve">S </w:t>
      </w:r>
      <w:r>
        <w:rPr>
          <w:rFonts w:hint="eastAsia" w:ascii="Times New Roman" w:hAnsi="Times New Roman" w:eastAsia="宋体" w:cs="Times New Roman"/>
          <w:color w:val="FF0000"/>
          <w:sz w:val="24"/>
          <w:szCs w:val="24"/>
          <w:highlight w:val="none"/>
          <w:lang w:val="en-US" w:eastAsia="zh-CN"/>
        </w:rPr>
        <w:t>散发量的影响》等研究资料，养殖饲料采取合理配方，提高蛋白质及其他营养的吸收效率，可减少氮的排放量和粪的产生量，可有效地降低牛舍臭气浓度，以及合理使用添加剂，如酶制剂、酸制剂、</w:t>
      </w:r>
      <w:r>
        <w:rPr>
          <w:rFonts w:hint="default" w:ascii="Times New Roman" w:hAnsi="Times New Roman" w:eastAsia="宋体" w:cs="Times New Roman"/>
          <w:color w:val="FF0000"/>
          <w:sz w:val="24"/>
          <w:szCs w:val="24"/>
          <w:highlight w:val="none"/>
          <w:lang w:val="en-US" w:eastAsia="zh-CN"/>
        </w:rPr>
        <w:t xml:space="preserve">EM </w:t>
      </w:r>
      <w:r>
        <w:rPr>
          <w:rFonts w:hint="eastAsia" w:ascii="Times New Roman" w:hAnsi="Times New Roman" w:eastAsia="宋体" w:cs="Times New Roman"/>
          <w:color w:val="FF0000"/>
          <w:sz w:val="24"/>
          <w:szCs w:val="24"/>
          <w:highlight w:val="none"/>
          <w:lang w:val="en-US" w:eastAsia="zh-CN"/>
        </w:rPr>
        <w:t xml:space="preserve">制剂、沸石、抗生素、丝兰属提取物等可以减少恶臭的产生。采用此类饲料添加剂后，可减少粪尿中氨的排放量 </w:t>
      </w:r>
      <w:r>
        <w:rPr>
          <w:rFonts w:hint="default" w:ascii="Times New Roman" w:hAnsi="Times New Roman" w:eastAsia="宋体" w:cs="Times New Roman"/>
          <w:color w:val="FF0000"/>
          <w:sz w:val="24"/>
          <w:szCs w:val="24"/>
          <w:highlight w:val="none"/>
          <w:lang w:val="en-US" w:eastAsia="zh-CN"/>
        </w:rPr>
        <w:t>40-62%</w:t>
      </w:r>
      <w:r>
        <w:rPr>
          <w:rFonts w:hint="eastAsia" w:ascii="Times New Roman" w:hAnsi="Times New Roman" w:eastAsia="宋体" w:cs="Times New Roman"/>
          <w:color w:val="FF0000"/>
          <w:sz w:val="24"/>
          <w:szCs w:val="24"/>
          <w:highlight w:val="none"/>
          <w:lang w:val="en-US" w:eastAsia="zh-CN"/>
        </w:rPr>
        <w:t>之多。从而减少了场区恶臭的产生量。</w:t>
      </w:r>
    </w:p>
    <w:p w14:paraId="765C0392">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根据估算模型预测结果，项目无组织排放的氨、硫化氢最大落地浓度满足《恶臭污染物排放标准</w:t>
      </w:r>
      <w:r>
        <w:rPr>
          <w:rFonts w:hint="eastAsia" w:ascii="Times New Roman" w:hAnsi="Times New Roman" w:eastAsia="宋体" w:cs="Times New Roman"/>
          <w:color w:val="FF0000"/>
          <w:sz w:val="24"/>
          <w:szCs w:val="24"/>
          <w:highlight w:val="none"/>
          <w:lang w:val="en-US" w:eastAsia="zh-CN"/>
        </w:rPr>
        <w:t>》</w:t>
      </w:r>
      <w:r>
        <w:rPr>
          <w:rFonts w:hint="default" w:ascii="Times New Roman" w:hAnsi="Times New Roman" w:eastAsia="宋体" w:cs="Times New Roman"/>
          <w:color w:val="FF0000"/>
          <w:sz w:val="24"/>
          <w:szCs w:val="24"/>
          <w:highlight w:val="none"/>
          <w:lang w:val="en-US" w:eastAsia="zh-CN"/>
        </w:rPr>
        <w:t>（GB14554-93)中表 1</w:t>
      </w:r>
      <w:r>
        <w:rPr>
          <w:rFonts w:hint="default" w:ascii="Times New Roman" w:hAnsi="Times New Roman" w:eastAsia="宋体" w:cs="Times New Roman"/>
          <w:color w:val="0000FF"/>
          <w:sz w:val="24"/>
          <w:szCs w:val="24"/>
          <w:highlight w:val="none"/>
          <w:lang w:val="en-US" w:eastAsia="zh-CN"/>
        </w:rPr>
        <w:t>二级新扩改建标准</w:t>
      </w:r>
      <w:r>
        <w:rPr>
          <w:rFonts w:hint="default" w:ascii="Times New Roman" w:hAnsi="Times New Roman" w:eastAsia="宋体" w:cs="Times New Roman"/>
          <w:color w:val="FF0000"/>
          <w:sz w:val="24"/>
          <w:szCs w:val="24"/>
          <w:highlight w:val="none"/>
          <w:lang w:val="en-US" w:eastAsia="zh-CN"/>
        </w:rPr>
        <w:t>，措施可行。</w:t>
      </w:r>
    </w:p>
    <w:p w14:paraId="6EF0D9D3">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（2）粪污储存间</w:t>
      </w:r>
    </w:p>
    <w:p w14:paraId="46EE2F8D">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0000FF"/>
          <w:sz w:val="24"/>
          <w:szCs w:val="24"/>
          <w:highlight w:val="none"/>
          <w:lang w:val="en-US" w:eastAsia="zh-CN"/>
        </w:rPr>
        <w:t>粪污储存间密闭形式</w:t>
      </w:r>
      <w:r>
        <w:rPr>
          <w:rFonts w:hint="eastAsia" w:ascii="Times New Roman" w:hAnsi="Times New Roman" w:eastAsia="宋体" w:cs="Times New Roman"/>
          <w:color w:val="0000FF"/>
          <w:sz w:val="24"/>
          <w:szCs w:val="24"/>
          <w:highlight w:val="none"/>
          <w:lang w:val="en-US" w:eastAsia="zh-CN"/>
        </w:rPr>
        <w:t>车间</w:t>
      </w:r>
      <w:r>
        <w:rPr>
          <w:rFonts w:hint="eastAsia" w:ascii="Times New Roman" w:hAnsi="Times New Roman" w:eastAsia="宋体" w:cs="Times New Roman"/>
          <w:color w:val="0000FF"/>
          <w:sz w:val="24"/>
          <w:szCs w:val="24"/>
          <w:lang w:val="en-US" w:eastAsia="zh-CN"/>
        </w:rPr>
        <w:t>经集气罩收集后</w:t>
      </w:r>
      <w:r>
        <w:rPr>
          <w:rFonts w:hint="eastAsia" w:ascii="Times New Roman" w:hAnsi="Times New Roman" w:eastAsia="宋体" w:cs="Times New Roman"/>
          <w:color w:val="0000FF"/>
          <w:sz w:val="24"/>
          <w:szCs w:val="24"/>
          <w:highlight w:val="none"/>
          <w:lang w:val="en-US" w:eastAsia="zh-CN"/>
        </w:rPr>
        <w:t>，产生的恶臭气体通过活性炭吸附处理后经过15m高排气筒排放，粪污储存间四周定期喷洒微生物除臭剂，</w:t>
      </w:r>
      <w:r>
        <w:rPr>
          <w:rFonts w:hint="default" w:ascii="Times New Roman" w:hAnsi="Times New Roman" w:eastAsia="宋体" w:cs="Times New Roman"/>
          <w:color w:val="0000FF"/>
          <w:sz w:val="24"/>
          <w:szCs w:val="24"/>
          <w:highlight w:val="none"/>
          <w:lang w:val="en-US" w:eastAsia="zh-CN"/>
        </w:rPr>
        <w:t>在采取以上措施后，</w:t>
      </w:r>
      <w:r>
        <w:rPr>
          <w:rFonts w:hint="default" w:ascii="Times New Roman" w:hAnsi="Times New Roman" w:eastAsia="宋体" w:cs="Times New Roman"/>
          <w:color w:val="0000FF"/>
          <w:sz w:val="24"/>
          <w:szCs w:val="24"/>
          <w:highlight w:val="green"/>
          <w:lang w:val="en-US" w:eastAsia="zh-CN"/>
        </w:rPr>
        <w:t>臭气浓度参照执行《恶臭污染物排放标准》(GB14554-93）表 1 中二级新改扩建标准</w:t>
      </w:r>
      <w:r>
        <w:rPr>
          <w:rFonts w:hint="default" w:ascii="Times New Roman" w:hAnsi="Times New Roman" w:eastAsia="宋体" w:cs="Times New Roman"/>
          <w:color w:val="0000FF"/>
          <w:sz w:val="24"/>
          <w:szCs w:val="24"/>
          <w:highlight w:val="none"/>
          <w:lang w:val="en-US" w:eastAsia="zh-CN"/>
        </w:rPr>
        <w:t>，硫化氢、氨在</w:t>
      </w:r>
      <w:r>
        <w:rPr>
          <w:rFonts w:hint="eastAsia" w:ascii="Times New Roman" w:hAnsi="Times New Roman" w:eastAsia="宋体" w:cs="Times New Roman"/>
          <w:color w:val="0000FF"/>
          <w:sz w:val="24"/>
          <w:szCs w:val="24"/>
          <w:highlight w:val="none"/>
          <w:lang w:val="en-US" w:eastAsia="zh-CN"/>
        </w:rPr>
        <w:t>厂界</w:t>
      </w:r>
      <w:r>
        <w:rPr>
          <w:rFonts w:hint="default" w:ascii="Times New Roman" w:hAnsi="Times New Roman" w:eastAsia="宋体" w:cs="Times New Roman"/>
          <w:color w:val="0000FF"/>
          <w:sz w:val="24"/>
          <w:szCs w:val="24"/>
          <w:highlight w:val="none"/>
          <w:lang w:val="en-US" w:eastAsia="zh-CN"/>
        </w:rPr>
        <w:t>浓度满足《恶臭污染物排放标准》（GB14554-93）表1中二级新扩改建标准。故大气污染防治措施可行。</w:t>
      </w:r>
    </w:p>
    <w:p w14:paraId="277B4E34">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17" w:name="_Toc27319"/>
      <w:r>
        <w:rPr>
          <w:rFonts w:hint="default" w:ascii="Times New Roman" w:hAnsi="Times New Roman" w:eastAsia="宋体" w:cs="Times New Roman"/>
          <w:b/>
          <w:bCs/>
          <w:color w:val="auto"/>
          <w:spacing w:val="-2"/>
          <w:sz w:val="24"/>
          <w:szCs w:val="24"/>
          <w:highlight w:val="none"/>
          <w:lang w:val="en-US" w:eastAsia="zh-CN"/>
        </w:rPr>
        <w:t>6.2.3噪声污染防治措施及利用可行性分析</w:t>
      </w:r>
      <w:bookmarkEnd w:id="217"/>
    </w:p>
    <w:p w14:paraId="1100FA37">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项目</w:t>
      </w:r>
      <w:r>
        <w:rPr>
          <w:rFonts w:hint="default" w:ascii="Times New Roman" w:hAnsi="Times New Roman" w:eastAsia="宋体" w:cs="Times New Roman"/>
          <w:color w:val="auto"/>
          <w:sz w:val="24"/>
          <w:szCs w:val="24"/>
          <w:highlight w:val="none"/>
          <w:lang w:eastAsia="zh-CN"/>
        </w:rPr>
        <w:t>运营期</w:t>
      </w:r>
      <w:r>
        <w:rPr>
          <w:rFonts w:hint="default" w:ascii="Times New Roman" w:hAnsi="Times New Roman" w:eastAsia="宋体" w:cs="Times New Roman"/>
          <w:color w:val="auto"/>
          <w:sz w:val="24"/>
          <w:szCs w:val="24"/>
          <w:highlight w:val="none"/>
        </w:rPr>
        <w:t>间产生的噪声主要是风机、</w:t>
      </w:r>
      <w:r>
        <w:rPr>
          <w:rFonts w:hint="default" w:ascii="Times New Roman" w:hAnsi="Times New Roman" w:eastAsia="宋体" w:cs="Times New Roman"/>
          <w:color w:val="auto"/>
          <w:sz w:val="24"/>
          <w:szCs w:val="24"/>
          <w:highlight w:val="none"/>
          <w:lang w:val="en-US" w:eastAsia="zh-CN"/>
        </w:rPr>
        <w:t>牛叫</w:t>
      </w:r>
      <w:r>
        <w:rPr>
          <w:rFonts w:hint="default" w:ascii="Times New Roman" w:hAnsi="Times New Roman" w:eastAsia="宋体" w:cs="Times New Roman"/>
          <w:color w:val="auto"/>
          <w:sz w:val="24"/>
          <w:szCs w:val="24"/>
          <w:highlight w:val="none"/>
        </w:rPr>
        <w:t>等设备产生的机械噪声，为降低噪声对外环境的影响，应采取以下措施：</w:t>
      </w:r>
    </w:p>
    <w:p w14:paraId="667612A1">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（1）建议在设计和设备采购阶段，充分选用先进的低噪设备，从声源上降低设备本身噪声。</w:t>
      </w:r>
    </w:p>
    <w:p w14:paraId="2C54B082">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（2）在噪声设备放置的生产车间的建设上，应安装隔声窗、加装吸声材料，避免露天布置</w:t>
      </w:r>
      <w:r>
        <w:rPr>
          <w:rFonts w:hint="default" w:ascii="Times New Roman" w:hAnsi="Times New Roman" w:eastAsia="宋体" w:cs="Times New Roman"/>
          <w:color w:val="auto"/>
          <w:sz w:val="24"/>
          <w:szCs w:val="24"/>
          <w:highlight w:val="none"/>
          <w:lang w:eastAsia="zh-CN"/>
        </w:rPr>
        <w:t>。</w:t>
      </w:r>
    </w:p>
    <w:p w14:paraId="24C4FE36">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（3）风机应设</w:t>
      </w:r>
      <w:r>
        <w:rPr>
          <w:rFonts w:hint="default" w:ascii="Times New Roman" w:hAnsi="Times New Roman" w:cs="Times New Roman"/>
          <w:color w:val="auto"/>
          <w:sz w:val="24"/>
          <w:szCs w:val="24"/>
          <w:highlight w:val="none"/>
          <w:lang w:eastAsia="zh-CN"/>
        </w:rPr>
        <w:t>减振</w:t>
      </w:r>
      <w:r>
        <w:rPr>
          <w:rFonts w:hint="default" w:ascii="Times New Roman" w:hAnsi="Times New Roman" w:eastAsia="宋体" w:cs="Times New Roman"/>
          <w:color w:val="auto"/>
          <w:sz w:val="24"/>
          <w:szCs w:val="24"/>
          <w:highlight w:val="none"/>
        </w:rPr>
        <w:t>垫；加强设备的维护，确保设备处于良好的运转状态，杜绝因设备不正常运转时产生的高噪声现象。</w:t>
      </w:r>
    </w:p>
    <w:p w14:paraId="6765263C">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w:t>
      </w:r>
      <w:r>
        <w:rPr>
          <w:rFonts w:hint="default" w:ascii="Times New Roman" w:hAnsi="Times New Roman" w:eastAsia="宋体" w:cs="Times New Roman"/>
          <w:color w:val="auto"/>
          <w:sz w:val="24"/>
          <w:szCs w:val="24"/>
          <w:highlight w:val="none"/>
          <w:lang w:val="en-US" w:eastAsia="zh-CN"/>
        </w:rPr>
        <w:t>加强</w:t>
      </w:r>
      <w:r>
        <w:rPr>
          <w:rFonts w:hint="default" w:ascii="Times New Roman" w:hAnsi="Times New Roman" w:eastAsia="宋体" w:cs="Times New Roman"/>
          <w:color w:val="auto"/>
          <w:sz w:val="24"/>
          <w:szCs w:val="24"/>
          <w:highlight w:val="none"/>
        </w:rPr>
        <w:t>场区绿化，既美化环境又减轻噪声对厂界环境的影响。</w:t>
      </w:r>
    </w:p>
    <w:p w14:paraId="0B7FE901">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（5）货物运输车辆应配备低音喇叭，在运输过程中做到不鸣或少鸣笛，以减轻交通噪声对场区周围地区的影响。</w:t>
      </w:r>
    </w:p>
    <w:p w14:paraId="7A9C0A21">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综上所述，本项目采取上述防噪措施后，噪声对周围环境影响较小，</w:t>
      </w:r>
      <w:r>
        <w:rPr>
          <w:rFonts w:hint="default" w:ascii="Times New Roman" w:hAnsi="Times New Roman" w:eastAsia="宋体" w:cs="Times New Roman"/>
          <w:snapToGrid w:val="0"/>
          <w:color w:val="auto"/>
          <w:sz w:val="24"/>
          <w:szCs w:val="24"/>
          <w:highlight w:val="none"/>
        </w:rPr>
        <w:t>厂界</w:t>
      </w:r>
      <w:r>
        <w:rPr>
          <w:rFonts w:hint="default" w:ascii="Times New Roman" w:hAnsi="Times New Roman" w:eastAsia="宋体" w:cs="Times New Roman"/>
          <w:snapToGrid w:val="0"/>
          <w:color w:val="auto"/>
          <w:sz w:val="24"/>
          <w:szCs w:val="24"/>
          <w:highlight w:val="none"/>
          <w:lang w:val="en-US" w:eastAsia="zh-CN"/>
        </w:rPr>
        <w:t>外1m处能够</w:t>
      </w:r>
      <w:r>
        <w:rPr>
          <w:rFonts w:hint="default" w:ascii="Times New Roman" w:hAnsi="Times New Roman" w:eastAsia="宋体" w:cs="Times New Roman"/>
          <w:snapToGrid w:val="0"/>
          <w:color w:val="auto"/>
          <w:sz w:val="24"/>
          <w:szCs w:val="24"/>
          <w:highlight w:val="none"/>
        </w:rPr>
        <w:t>满足</w:t>
      </w:r>
      <w:r>
        <w:rPr>
          <w:rFonts w:hint="default" w:ascii="Times New Roman" w:hAnsi="Times New Roman" w:eastAsia="宋体" w:cs="Times New Roman"/>
          <w:color w:val="auto"/>
          <w:sz w:val="24"/>
          <w:szCs w:val="24"/>
          <w:highlight w:val="none"/>
        </w:rPr>
        <w:t>《工业企业厂界环境噪声排放标准》（GB12348-2008）</w:t>
      </w:r>
      <w:r>
        <w:rPr>
          <w:rFonts w:hint="default" w:ascii="Times New Roman" w:hAnsi="Times New Roman" w:eastAsia="宋体" w:cs="Times New Roman"/>
          <w:color w:val="auto"/>
          <w:sz w:val="24"/>
          <w:szCs w:val="24"/>
          <w:highlight w:val="none"/>
          <w:lang w:val="en-US" w:eastAsia="zh-CN"/>
        </w:rPr>
        <w:t>表1中</w:t>
      </w:r>
      <w:r>
        <w:rPr>
          <w:rFonts w:hint="default" w:ascii="Times New Roman" w:hAnsi="Times New Roman" w:eastAsia="宋体" w:cs="Times New Roman"/>
          <w:color w:val="FF0000"/>
          <w:sz w:val="24"/>
          <w:szCs w:val="24"/>
          <w:highlight w:val="none"/>
          <w:lang w:val="en-US" w:eastAsia="zh-CN"/>
        </w:rPr>
        <w:t>1</w:t>
      </w:r>
      <w:r>
        <w:rPr>
          <w:rFonts w:hint="default" w:ascii="Times New Roman" w:hAnsi="Times New Roman" w:eastAsia="宋体" w:cs="Times New Roman"/>
          <w:color w:val="FF0000"/>
          <w:sz w:val="24"/>
          <w:szCs w:val="24"/>
          <w:highlight w:val="none"/>
        </w:rPr>
        <w:t>类</w:t>
      </w:r>
      <w:r>
        <w:rPr>
          <w:rFonts w:hint="default" w:ascii="Times New Roman" w:hAnsi="Times New Roman" w:eastAsia="宋体" w:cs="Times New Roman"/>
          <w:color w:val="auto"/>
          <w:sz w:val="24"/>
          <w:szCs w:val="24"/>
          <w:highlight w:val="none"/>
        </w:rPr>
        <w:t>标准</w:t>
      </w:r>
      <w:r>
        <w:rPr>
          <w:rFonts w:hint="default" w:ascii="Times New Roman" w:hAnsi="Times New Roman" w:eastAsia="宋体" w:cs="Times New Roman"/>
          <w:color w:val="auto"/>
          <w:sz w:val="24"/>
          <w:szCs w:val="24"/>
          <w:highlight w:val="none"/>
          <w:lang w:val="en-US" w:eastAsia="zh-CN"/>
        </w:rPr>
        <w:t>限值的要求</w:t>
      </w:r>
      <w:r>
        <w:rPr>
          <w:rFonts w:hint="default" w:ascii="Times New Roman" w:hAnsi="Times New Roman" w:eastAsia="宋体" w:cs="Times New Roman"/>
          <w:color w:val="auto"/>
          <w:sz w:val="24"/>
          <w:szCs w:val="24"/>
          <w:highlight w:val="none"/>
        </w:rPr>
        <w:t>。</w:t>
      </w:r>
    </w:p>
    <w:p w14:paraId="4CE5532B">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18" w:name="_Toc14249"/>
      <w:r>
        <w:rPr>
          <w:rFonts w:hint="default" w:ascii="Times New Roman" w:hAnsi="Times New Roman" w:eastAsia="宋体" w:cs="Times New Roman"/>
          <w:b/>
          <w:bCs/>
          <w:color w:val="auto"/>
          <w:spacing w:val="-2"/>
          <w:sz w:val="24"/>
          <w:szCs w:val="24"/>
          <w:highlight w:val="none"/>
          <w:lang w:val="en-US" w:eastAsia="zh-CN"/>
        </w:rPr>
        <w:t>6.2.4固体废物处理处置及利用可行性分析</w:t>
      </w:r>
      <w:bookmarkEnd w:id="218"/>
    </w:p>
    <w:p w14:paraId="2253420D">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本项目固体废物主要是牛粪便及垫草、医疗废物</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防疫过程产生的废注射器和废药瓶、病牛治疗过程产生的废注射器和废药瓶）</w:t>
      </w:r>
      <w:r>
        <w:rPr>
          <w:rFonts w:hint="default" w:ascii="Times New Roman" w:hAnsi="Times New Roman" w:eastAsia="宋体" w:cs="Times New Roman"/>
          <w:color w:val="auto"/>
          <w:spacing w:val="-4"/>
          <w:sz w:val="24"/>
          <w:szCs w:val="24"/>
          <w:highlight w:val="none"/>
        </w:rPr>
        <w:t>、病死牛</w:t>
      </w:r>
      <w:r>
        <w:rPr>
          <w:rFonts w:hint="default" w:ascii="Times New Roman" w:hAnsi="Times New Roman" w:eastAsia="宋体" w:cs="Times New Roman"/>
          <w:color w:val="auto"/>
          <w:spacing w:val="-4"/>
          <w:sz w:val="24"/>
          <w:szCs w:val="24"/>
          <w:highlight w:val="none"/>
          <w:lang w:val="en-US" w:eastAsia="zh-CN"/>
        </w:rPr>
        <w:t>分娩胎盘</w:t>
      </w:r>
      <w:r>
        <w:rPr>
          <w:rFonts w:hint="default" w:ascii="Times New Roman" w:hAnsi="Times New Roman" w:eastAsia="宋体" w:cs="Times New Roman"/>
          <w:color w:val="auto"/>
          <w:spacing w:val="-4"/>
          <w:sz w:val="24"/>
          <w:szCs w:val="24"/>
          <w:highlight w:val="none"/>
        </w:rPr>
        <w:t>和生活垃圾</w:t>
      </w:r>
      <w:r>
        <w:rPr>
          <w:rFonts w:hint="default" w:ascii="Times New Roman" w:hAnsi="Times New Roman" w:eastAsia="宋体" w:cs="Times New Roman"/>
          <w:color w:val="auto"/>
          <w:spacing w:val="-5"/>
          <w:sz w:val="24"/>
          <w:szCs w:val="24"/>
          <w:highlight w:val="none"/>
        </w:rPr>
        <w:t>等。固体废物的暂存措施如下：</w:t>
      </w:r>
    </w:p>
    <w:p w14:paraId="0B3EA31B">
      <w:pPr>
        <w:pageBreakBefore w:val="0"/>
        <w:kinsoku/>
        <w:wordWrap/>
        <w:overflowPunct/>
        <w:topLinePunct w:val="0"/>
        <w:autoSpaceDE/>
        <w:autoSpaceDN/>
        <w:bidi w:val="0"/>
        <w:adjustRightInd/>
        <w:snapToGrid/>
        <w:spacing w:line="360" w:lineRule="auto"/>
        <w:contextualSpacing/>
        <w:textAlignment w:val="auto"/>
        <w:outlineLvl w:val="3"/>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lang w:val="zh-CN"/>
        </w:rPr>
        <w:t>6.2.</w:t>
      </w:r>
      <w:r>
        <w:rPr>
          <w:rFonts w:hint="default" w:ascii="Times New Roman" w:hAnsi="Times New Roman" w:eastAsia="宋体" w:cs="Times New Roman"/>
          <w:b/>
          <w:bCs/>
          <w:color w:val="auto"/>
          <w:sz w:val="24"/>
          <w:szCs w:val="24"/>
          <w:highlight w:val="none"/>
          <w:lang w:val="en-US" w:eastAsia="zh-CN"/>
        </w:rPr>
        <w:t>4</w:t>
      </w:r>
      <w:r>
        <w:rPr>
          <w:rFonts w:hint="default" w:ascii="Times New Roman" w:hAnsi="Times New Roman" w:eastAsia="宋体" w:cs="Times New Roman"/>
          <w:b/>
          <w:bCs/>
          <w:color w:val="auto"/>
          <w:sz w:val="24"/>
          <w:szCs w:val="24"/>
          <w:highlight w:val="none"/>
          <w:lang w:val="zh-CN"/>
        </w:rPr>
        <w:t>.1</w:t>
      </w:r>
      <w:r>
        <w:rPr>
          <w:rFonts w:hint="default" w:ascii="Times New Roman" w:hAnsi="Times New Roman" w:eastAsia="宋体" w:cs="Times New Roman"/>
          <w:b/>
          <w:bCs/>
          <w:color w:val="auto"/>
          <w:sz w:val="24"/>
          <w:szCs w:val="24"/>
          <w:highlight w:val="none"/>
          <w:lang w:val="en-US" w:eastAsia="zh-CN"/>
        </w:rPr>
        <w:t>固体废物处置</w:t>
      </w:r>
      <w:r>
        <w:rPr>
          <w:rFonts w:hint="default" w:ascii="Times New Roman" w:hAnsi="Times New Roman" w:eastAsia="宋体" w:cs="Times New Roman"/>
          <w:b/>
          <w:bCs/>
          <w:color w:val="auto"/>
          <w:sz w:val="24"/>
          <w:szCs w:val="24"/>
          <w:highlight w:val="none"/>
        </w:rPr>
        <w:t>措施</w:t>
      </w:r>
    </w:p>
    <w:p w14:paraId="1390CA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w:t>
      </w:r>
      <w:r>
        <w:rPr>
          <w:rFonts w:hint="default" w:ascii="Times New Roman" w:hAnsi="Times New Roman" w:eastAsia="宋体" w:cs="Times New Roman"/>
          <w:color w:val="auto"/>
          <w:sz w:val="24"/>
          <w:szCs w:val="24"/>
          <w:highlight w:val="none"/>
          <w:lang w:val="en-US" w:eastAsia="zh-CN"/>
        </w:rPr>
        <w:t>牛舍更换的发酵床垫料</w:t>
      </w:r>
    </w:p>
    <w:p w14:paraId="2F59C1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FF0000"/>
          <w:sz w:val="24"/>
          <w:highlight w:val="none"/>
          <w:lang w:eastAsia="zh-CN"/>
        </w:rPr>
      </w:pPr>
      <w:r>
        <w:rPr>
          <w:rFonts w:hint="default" w:ascii="Times New Roman" w:hAnsi="Times New Roman" w:eastAsia="宋体" w:cs="Times New Roman"/>
          <w:color w:val="auto"/>
          <w:sz w:val="24"/>
          <w:szCs w:val="24"/>
          <w:highlight w:val="none"/>
          <w:lang w:val="en-US" w:eastAsia="zh-CN"/>
        </w:rPr>
        <w:t>①</w:t>
      </w:r>
      <w:r>
        <w:rPr>
          <w:rFonts w:hint="default" w:ascii="Times New Roman" w:hAnsi="Times New Roman" w:eastAsia="宋体" w:cs="Times New Roman"/>
          <w:color w:val="auto"/>
          <w:sz w:val="24"/>
          <w:szCs w:val="24"/>
          <w:highlight w:val="none"/>
        </w:rPr>
        <w:t>根据《排污许可证申请与核发技术规范 畜禽养殖行业》（HJ1029</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2019）“表9 各类畜禽污染物产生量：肉牛粪便产生量为10.88kg/d·头”</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年存栏量</w:t>
      </w:r>
      <w:r>
        <w:rPr>
          <w:rFonts w:hint="default" w:ascii="Times New Roman" w:hAnsi="Times New Roman" w:cs="Times New Roman"/>
          <w:color w:val="auto"/>
          <w:sz w:val="24"/>
          <w:szCs w:val="24"/>
          <w:highlight w:val="none"/>
          <w:lang w:val="en-US" w:eastAsia="zh-CN"/>
        </w:rPr>
        <w:t>5000</w:t>
      </w:r>
      <w:r>
        <w:rPr>
          <w:rFonts w:hint="default" w:ascii="Times New Roman" w:hAnsi="Times New Roman" w:eastAsia="宋体" w:cs="Times New Roman"/>
          <w:color w:val="auto"/>
          <w:sz w:val="24"/>
          <w:szCs w:val="24"/>
          <w:highlight w:val="none"/>
          <w:lang w:val="en-US" w:eastAsia="zh-CN"/>
        </w:rPr>
        <w:t>头</w:t>
      </w:r>
      <w:r>
        <w:rPr>
          <w:rFonts w:hint="default" w:ascii="Times New Roman" w:hAnsi="Times New Roman" w:eastAsia="宋体" w:cs="Times New Roman"/>
          <w:color w:val="auto"/>
          <w:sz w:val="24"/>
          <w:szCs w:val="24"/>
          <w:highlight w:val="none"/>
        </w:rPr>
        <w:t>，则养殖场牛粪产生量为</w:t>
      </w:r>
      <w:r>
        <w:rPr>
          <w:rFonts w:hint="default" w:ascii="Times New Roman" w:hAnsi="Times New Roman" w:eastAsia="宋体" w:cs="Times New Roman"/>
          <w:color w:val="auto"/>
          <w:sz w:val="24"/>
          <w:szCs w:val="24"/>
          <w:highlight w:val="none"/>
          <w:lang w:val="en-US" w:eastAsia="zh-CN"/>
        </w:rPr>
        <w:t>19856</w:t>
      </w:r>
      <w:r>
        <w:rPr>
          <w:rFonts w:hint="default" w:ascii="Times New Roman" w:hAnsi="Times New Roman" w:eastAsia="宋体" w:cs="Times New Roman"/>
          <w:color w:val="auto"/>
          <w:sz w:val="24"/>
          <w:szCs w:val="24"/>
          <w:highlight w:val="none"/>
        </w:rPr>
        <w:t>t/a（</w:t>
      </w:r>
      <w:r>
        <w:rPr>
          <w:rFonts w:hint="default" w:ascii="Times New Roman" w:hAnsi="Times New Roman" w:cs="Times New Roman"/>
          <w:color w:val="auto"/>
          <w:sz w:val="24"/>
          <w:szCs w:val="24"/>
          <w:highlight w:val="none"/>
          <w:lang w:val="en-US" w:eastAsia="zh-CN"/>
        </w:rPr>
        <w:t>54.4</w:t>
      </w:r>
      <w:r>
        <w:rPr>
          <w:rFonts w:hint="default" w:ascii="Times New Roman" w:hAnsi="Times New Roman" w:eastAsia="宋体" w:cs="Times New Roman"/>
          <w:color w:val="auto"/>
          <w:sz w:val="24"/>
          <w:szCs w:val="24"/>
          <w:highlight w:val="none"/>
        </w:rPr>
        <w:t>t/d）。</w:t>
      </w:r>
      <w:r>
        <w:rPr>
          <w:rFonts w:hint="default" w:ascii="Times New Roman" w:hAnsi="Times New Roman" w:eastAsia="宋体" w:cs="Times New Roman"/>
          <w:color w:val="auto"/>
          <w:sz w:val="24"/>
          <w:szCs w:val="24"/>
          <w:highlight w:val="none"/>
          <w:lang w:val="en-US" w:eastAsia="zh-CN"/>
        </w:rPr>
        <w:t>本项目采用</w:t>
      </w:r>
      <w:r>
        <w:rPr>
          <w:rFonts w:hint="default" w:ascii="Times New Roman" w:hAnsi="Times New Roman" w:eastAsia="宋体" w:cs="Times New Roman"/>
          <w:snapToGrid w:val="0"/>
          <w:color w:val="auto"/>
          <w:kern w:val="0"/>
          <w:sz w:val="24"/>
          <w:szCs w:val="24"/>
          <w:highlight w:val="none"/>
        </w:rPr>
        <w:t>干撒式发酵床发酵菌剂可将牛尿、牛粪一部分降解为水蒸气和二氧化碳，另一部分转化为粗蛋白、菌体蛋白和维生素等营养物质。</w:t>
      </w:r>
      <w:r>
        <w:rPr>
          <w:rFonts w:hint="default" w:ascii="Times New Roman" w:hAnsi="Times New Roman" w:eastAsia="宋体" w:cs="Times New Roman"/>
          <w:color w:val="auto"/>
          <w:sz w:val="24"/>
          <w:szCs w:val="24"/>
          <w:highlight w:val="none"/>
        </w:rPr>
        <w:t>根据前文工程分析，</w:t>
      </w:r>
      <w:r>
        <w:rPr>
          <w:rFonts w:hint="default"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kern w:val="2"/>
          <w:sz w:val="24"/>
          <w:szCs w:val="24"/>
          <w:highlight w:val="none"/>
          <w:lang w:val="zh-CN" w:eastAsia="zh-CN"/>
        </w:rPr>
        <w:t>产生的牛尿</w:t>
      </w:r>
      <w:r>
        <w:rPr>
          <w:rFonts w:hint="default" w:ascii="Times New Roman" w:hAnsi="Times New Roman" w:eastAsia="宋体" w:cs="Times New Roman"/>
          <w:color w:val="auto"/>
          <w:kern w:val="2"/>
          <w:sz w:val="24"/>
          <w:szCs w:val="24"/>
          <w:highlight w:val="none"/>
          <w:lang w:val="en-US" w:eastAsia="zh-CN"/>
        </w:rPr>
        <w:t>为18250</w:t>
      </w:r>
      <w:r>
        <w:rPr>
          <w:rFonts w:hint="default" w:ascii="Times New Roman" w:hAnsi="Times New Roman" w:eastAsia="宋体" w:cs="Times New Roman"/>
          <w:color w:val="auto"/>
          <w:sz w:val="24"/>
          <w:szCs w:val="24"/>
          <w:highlight w:val="none"/>
        </w:rPr>
        <w:t>t/a</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本项目牛粪和牛尿产生总量为</w:t>
      </w:r>
      <w:r>
        <w:rPr>
          <w:rFonts w:hint="default" w:ascii="Times New Roman" w:hAnsi="Times New Roman" w:eastAsia="宋体" w:cs="Times New Roman"/>
          <w:color w:val="auto"/>
          <w:sz w:val="24"/>
          <w:highlight w:val="none"/>
          <w:lang w:val="en-US" w:eastAsia="zh-CN"/>
        </w:rPr>
        <w:t>38106</w:t>
      </w:r>
      <w:r>
        <w:rPr>
          <w:rFonts w:hint="default" w:ascii="Times New Roman" w:hAnsi="Times New Roman" w:eastAsia="宋体" w:cs="Times New Roman"/>
          <w:color w:val="auto"/>
          <w:sz w:val="24"/>
          <w:szCs w:val="24"/>
          <w:highlight w:val="none"/>
        </w:rPr>
        <w:t>t/a</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snapToGrid w:val="0"/>
          <w:color w:val="auto"/>
          <w:kern w:val="0"/>
          <w:sz w:val="24"/>
          <w:szCs w:val="24"/>
          <w:highlight w:val="none"/>
        </w:rPr>
        <w:t>发酵床</w:t>
      </w:r>
      <w:r>
        <w:rPr>
          <w:rFonts w:hint="default" w:ascii="Times New Roman" w:hAnsi="Times New Roman" w:eastAsia="宋体" w:cs="Times New Roman"/>
          <w:color w:val="auto"/>
          <w:sz w:val="24"/>
          <w:szCs w:val="24"/>
          <w:highlight w:val="none"/>
          <w:lang w:eastAsia="zh-CN"/>
        </w:rPr>
        <w:t>中大量微生物通过呼吸作用能将粪尿</w:t>
      </w:r>
      <w:r>
        <w:rPr>
          <w:rFonts w:hint="default" w:ascii="Times New Roman" w:hAnsi="Times New Roman" w:eastAsia="宋体" w:cs="Times New Roman"/>
          <w:snapToGrid w:val="0"/>
          <w:color w:val="auto"/>
          <w:kern w:val="0"/>
          <w:sz w:val="24"/>
          <w:szCs w:val="24"/>
          <w:highlight w:val="none"/>
        </w:rPr>
        <w:t>降解为水蒸气和二氧化碳</w:t>
      </w:r>
      <w:r>
        <w:rPr>
          <w:rFonts w:hint="default" w:ascii="Times New Roman" w:hAnsi="Times New Roman" w:eastAsia="宋体" w:cs="Times New Roman"/>
          <w:color w:val="auto"/>
          <w:sz w:val="24"/>
          <w:szCs w:val="24"/>
          <w:highlight w:val="none"/>
          <w:lang w:eastAsia="zh-CN"/>
        </w:rPr>
        <w:t>，同时产生大量的热量，</w:t>
      </w:r>
      <w:r>
        <w:rPr>
          <w:rFonts w:hint="default" w:ascii="Times New Roman" w:hAnsi="Times New Roman" w:eastAsia="宋体" w:cs="Times New Roman"/>
          <w:color w:val="auto"/>
          <w:sz w:val="24"/>
          <w:szCs w:val="24"/>
          <w:highlight w:val="none"/>
          <w:lang w:val="en-US" w:eastAsia="zh-CN"/>
        </w:rPr>
        <w:t>,其中牛尿倍完全分解，牛粪含水率为60%，</w:t>
      </w:r>
      <w:r>
        <w:rPr>
          <w:rFonts w:hint="default" w:ascii="Times New Roman" w:hAnsi="Times New Roman" w:eastAsia="宋体" w:cs="Times New Roman"/>
          <w:color w:val="auto"/>
          <w:sz w:val="24"/>
          <w:szCs w:val="24"/>
          <w:highlight w:val="none"/>
          <w:lang w:eastAsia="zh-CN"/>
        </w:rPr>
        <w:t>剩余固体部分为</w:t>
      </w:r>
      <w:r>
        <w:rPr>
          <w:rFonts w:hint="default" w:ascii="Times New Roman" w:hAnsi="Times New Roman" w:eastAsia="宋体" w:cs="Times New Roman"/>
          <w:color w:val="auto"/>
          <w:sz w:val="24"/>
          <w:highlight w:val="none"/>
          <w:lang w:val="en-US" w:eastAsia="zh-CN"/>
        </w:rPr>
        <w:t>7942.4</w:t>
      </w:r>
      <w:r>
        <w:rPr>
          <w:rFonts w:hint="default" w:ascii="Times New Roman" w:hAnsi="Times New Roman" w:eastAsia="宋体" w:cs="Times New Roman"/>
          <w:color w:val="auto"/>
          <w:sz w:val="24"/>
          <w:szCs w:val="24"/>
          <w:highlight w:val="none"/>
        </w:rPr>
        <w:t>t/a</w:t>
      </w:r>
      <w:r>
        <w:rPr>
          <w:rFonts w:hint="default" w:ascii="Times New Roman" w:hAnsi="Times New Roman" w:eastAsia="宋体" w:cs="Times New Roman"/>
          <w:color w:val="FF0000"/>
          <w:sz w:val="24"/>
          <w:szCs w:val="24"/>
          <w:highlight w:val="none"/>
          <w:lang w:eastAsia="zh-CN"/>
        </w:rPr>
        <w:t>。</w:t>
      </w:r>
      <w:r>
        <w:rPr>
          <w:rFonts w:hint="default" w:ascii="Times New Roman" w:hAnsi="Times New Roman" w:eastAsia="宋体" w:cs="Times New Roman"/>
          <w:color w:val="FF0000"/>
          <w:sz w:val="24"/>
          <w:szCs w:val="24"/>
          <w:highlight w:val="none"/>
        </w:rPr>
        <w:t>根据项目</w:t>
      </w:r>
      <w:r>
        <w:rPr>
          <w:rFonts w:hint="eastAsia" w:ascii="Times New Roman" w:hAnsi="Times New Roman" w:eastAsia="宋体" w:cs="Times New Roman"/>
          <w:color w:val="FF0000"/>
          <w:sz w:val="24"/>
          <w:highlight w:val="none"/>
          <w:lang w:val="en-US" w:eastAsia="zh-CN"/>
        </w:rPr>
        <w:t>干撒式发酵床设计</w:t>
      </w:r>
      <w:r>
        <w:rPr>
          <w:rFonts w:hint="default" w:ascii="Times New Roman" w:hAnsi="Times New Roman" w:eastAsia="宋体" w:cs="Times New Roman"/>
          <w:color w:val="FF0000"/>
          <w:sz w:val="24"/>
          <w:highlight w:val="none"/>
          <w:lang w:eastAsia="zh-CN"/>
        </w:rPr>
        <w:t>单位</w:t>
      </w:r>
      <w:r>
        <w:rPr>
          <w:rFonts w:hint="default" w:ascii="Times New Roman" w:hAnsi="Times New Roman" w:eastAsia="宋体" w:cs="Times New Roman"/>
          <w:color w:val="FF0000"/>
          <w:sz w:val="24"/>
          <w:szCs w:val="24"/>
          <w:highlight w:val="none"/>
        </w:rPr>
        <w:t>提供的资料计算，垫料铺设厚度在</w:t>
      </w:r>
      <w:r>
        <w:rPr>
          <w:rFonts w:hint="default" w:ascii="Times New Roman" w:hAnsi="Times New Roman" w:eastAsia="宋体" w:cs="Times New Roman"/>
          <w:color w:val="FF0000"/>
          <w:sz w:val="24"/>
          <w:szCs w:val="24"/>
          <w:highlight w:val="none"/>
          <w:lang w:val="en-US" w:eastAsia="zh-CN"/>
        </w:rPr>
        <w:t>50</w:t>
      </w:r>
      <w:r>
        <w:rPr>
          <w:rFonts w:hint="default" w:ascii="Times New Roman" w:hAnsi="Times New Roman" w:eastAsia="宋体" w:cs="Times New Roman"/>
          <w:color w:val="FF0000"/>
          <w:sz w:val="24"/>
          <w:szCs w:val="24"/>
          <w:highlight w:val="none"/>
        </w:rPr>
        <w:t>cm</w:t>
      </w:r>
      <w:r>
        <w:rPr>
          <w:rFonts w:hint="default" w:ascii="Times New Roman" w:hAnsi="Times New Roman" w:eastAsia="宋体" w:cs="Times New Roman"/>
          <w:color w:val="FF0000"/>
          <w:sz w:val="24"/>
          <w:szCs w:val="24"/>
          <w:highlight w:val="none"/>
          <w:lang w:eastAsia="zh-CN"/>
        </w:rPr>
        <w:t>左右</w:t>
      </w:r>
      <w:r>
        <w:rPr>
          <w:rFonts w:hint="default" w:ascii="Times New Roman" w:hAnsi="Times New Roman" w:eastAsia="宋体" w:cs="Times New Roman"/>
          <w:color w:val="FF0000"/>
          <w:sz w:val="24"/>
          <w:szCs w:val="24"/>
          <w:highlight w:val="none"/>
        </w:rPr>
        <w:t>，</w:t>
      </w:r>
      <w:r>
        <w:rPr>
          <w:rFonts w:hint="default" w:ascii="Times New Roman" w:hAnsi="Times New Roman" w:eastAsia="宋体" w:cs="Times New Roman"/>
          <w:snapToGrid w:val="0"/>
          <w:color w:val="FF0000"/>
          <w:kern w:val="0"/>
          <w:sz w:val="24"/>
          <w:szCs w:val="24"/>
          <w:highlight w:val="none"/>
        </w:rPr>
        <w:t>发酵床</w:t>
      </w:r>
      <w:r>
        <w:rPr>
          <w:rFonts w:hint="default" w:ascii="Times New Roman" w:hAnsi="Times New Roman" w:eastAsia="宋体" w:cs="Times New Roman"/>
          <w:color w:val="FF0000"/>
          <w:sz w:val="24"/>
          <w:szCs w:val="24"/>
          <w:highlight w:val="none"/>
        </w:rPr>
        <w:t>占地面积</w:t>
      </w:r>
      <w:r>
        <w:rPr>
          <w:rFonts w:hint="default" w:ascii="Times New Roman" w:hAnsi="Times New Roman" w:eastAsia="宋体" w:cs="Times New Roman"/>
          <w:color w:val="FF0000"/>
          <w:sz w:val="24"/>
          <w:szCs w:val="24"/>
          <w:highlight w:val="none"/>
          <w:lang w:val="en-US" w:eastAsia="zh-CN"/>
        </w:rPr>
        <w:t>27900</w:t>
      </w:r>
      <w:r>
        <w:rPr>
          <w:rFonts w:hint="default" w:ascii="Times New Roman" w:hAnsi="Times New Roman" w:eastAsia="宋体" w:cs="Times New Roman"/>
          <w:color w:val="FF0000"/>
          <w:sz w:val="24"/>
          <w:szCs w:val="24"/>
          <w:highlight w:val="none"/>
        </w:rPr>
        <w:t>m</w:t>
      </w:r>
      <w:r>
        <w:rPr>
          <w:rFonts w:hint="default" w:ascii="Times New Roman" w:hAnsi="Times New Roman" w:eastAsia="宋体" w:cs="Times New Roman"/>
          <w:color w:val="FF0000"/>
          <w:sz w:val="24"/>
          <w:szCs w:val="24"/>
          <w:highlight w:val="none"/>
          <w:vertAlign w:val="superscript"/>
        </w:rPr>
        <w:t>2</w:t>
      </w:r>
      <w:r>
        <w:rPr>
          <w:rFonts w:hint="default" w:ascii="Times New Roman" w:hAnsi="Times New Roman" w:eastAsia="宋体" w:cs="Times New Roman"/>
          <w:color w:val="FF0000"/>
          <w:sz w:val="24"/>
          <w:szCs w:val="24"/>
          <w:highlight w:val="none"/>
        </w:rPr>
        <w:t>，则需要的垫料量约为</w:t>
      </w:r>
      <w:r>
        <w:rPr>
          <w:rFonts w:hint="default" w:ascii="Times New Roman" w:hAnsi="Times New Roman" w:eastAsia="宋体" w:cs="Times New Roman"/>
          <w:color w:val="FF0000"/>
          <w:sz w:val="24"/>
          <w:szCs w:val="24"/>
          <w:highlight w:val="none"/>
          <w:lang w:val="en-US" w:eastAsia="zh-CN"/>
        </w:rPr>
        <w:t>13950</w:t>
      </w:r>
      <w:r>
        <w:rPr>
          <w:rFonts w:hint="default" w:ascii="Times New Roman" w:hAnsi="Times New Roman" w:eastAsia="宋体" w:cs="Times New Roman"/>
          <w:color w:val="FF0000"/>
          <w:sz w:val="24"/>
          <w:szCs w:val="24"/>
          <w:highlight w:val="none"/>
        </w:rPr>
        <w:t>m</w:t>
      </w:r>
      <w:r>
        <w:rPr>
          <w:rFonts w:hint="default" w:ascii="Times New Roman" w:hAnsi="Times New Roman" w:eastAsia="宋体" w:cs="Times New Roman"/>
          <w:color w:val="FF0000"/>
          <w:sz w:val="24"/>
          <w:szCs w:val="24"/>
          <w:highlight w:val="none"/>
          <w:vertAlign w:val="superscript"/>
        </w:rPr>
        <w:t>3</w:t>
      </w:r>
      <w:r>
        <w:rPr>
          <w:rFonts w:hint="default" w:ascii="Times New Roman" w:hAnsi="Times New Roman" w:eastAsia="宋体" w:cs="Times New Roman"/>
          <w:color w:val="FF0000"/>
          <w:sz w:val="24"/>
          <w:szCs w:val="24"/>
          <w:highlight w:val="none"/>
        </w:rPr>
        <w:t>（1m</w:t>
      </w:r>
      <w:r>
        <w:rPr>
          <w:rFonts w:hint="default" w:ascii="Times New Roman" w:hAnsi="Times New Roman" w:eastAsia="宋体" w:cs="Times New Roman"/>
          <w:color w:val="FF0000"/>
          <w:sz w:val="24"/>
          <w:szCs w:val="24"/>
          <w:highlight w:val="none"/>
          <w:vertAlign w:val="superscript"/>
        </w:rPr>
        <w:t>3</w:t>
      </w:r>
      <w:r>
        <w:rPr>
          <w:rFonts w:hint="default" w:ascii="Times New Roman" w:hAnsi="Times New Roman" w:eastAsia="宋体" w:cs="Times New Roman"/>
          <w:color w:val="FF0000"/>
          <w:sz w:val="24"/>
          <w:szCs w:val="24"/>
          <w:highlight w:val="none"/>
        </w:rPr>
        <w:t>垫料约为0.2</w:t>
      </w:r>
      <w:r>
        <w:rPr>
          <w:rFonts w:hint="default" w:ascii="Times New Roman" w:hAnsi="Times New Roman" w:eastAsia="宋体" w:cs="Times New Roman"/>
          <w:color w:val="FF0000"/>
          <w:sz w:val="24"/>
          <w:szCs w:val="24"/>
          <w:highlight w:val="none"/>
          <w:lang w:val="en-US" w:eastAsia="zh-CN"/>
        </w:rPr>
        <w:t>0</w:t>
      </w:r>
      <w:r>
        <w:rPr>
          <w:rFonts w:hint="default" w:ascii="Times New Roman" w:hAnsi="Times New Roman" w:eastAsia="宋体" w:cs="Times New Roman"/>
          <w:color w:val="FF0000"/>
          <w:sz w:val="24"/>
          <w:szCs w:val="24"/>
          <w:highlight w:val="none"/>
        </w:rPr>
        <w:t>t）</w:t>
      </w:r>
      <w:r>
        <w:rPr>
          <w:rFonts w:hint="default" w:ascii="Times New Roman" w:hAnsi="Times New Roman" w:eastAsia="宋体" w:cs="Times New Roman"/>
          <w:color w:val="FF0000"/>
          <w:sz w:val="24"/>
          <w:highlight w:val="none"/>
        </w:rPr>
        <w:t>，垫料按</w:t>
      </w:r>
      <w:r>
        <w:rPr>
          <w:rFonts w:hint="default" w:ascii="Times New Roman" w:hAnsi="Times New Roman" w:eastAsia="宋体" w:cs="Times New Roman"/>
          <w:color w:val="FF0000"/>
          <w:sz w:val="24"/>
          <w:szCs w:val="24"/>
          <w:highlight w:val="none"/>
          <w:lang w:val="en-US" w:eastAsia="zh-CN"/>
        </w:rPr>
        <w:t>一</w:t>
      </w:r>
      <w:r>
        <w:rPr>
          <w:rFonts w:hint="default" w:ascii="Times New Roman" w:hAnsi="Times New Roman" w:eastAsia="宋体" w:cs="Times New Roman"/>
          <w:color w:val="FF0000"/>
          <w:sz w:val="24"/>
          <w:highlight w:val="none"/>
        </w:rPr>
        <w:t>年更换</w:t>
      </w:r>
      <w:r>
        <w:rPr>
          <w:rFonts w:hint="default" w:ascii="Times New Roman" w:hAnsi="Times New Roman" w:eastAsia="宋体" w:cs="Times New Roman"/>
          <w:color w:val="FF0000"/>
          <w:sz w:val="24"/>
          <w:highlight w:val="none"/>
          <w:lang w:val="en-US" w:eastAsia="zh-CN"/>
        </w:rPr>
        <w:t>1</w:t>
      </w:r>
      <w:r>
        <w:rPr>
          <w:rFonts w:hint="default" w:ascii="Times New Roman" w:hAnsi="Times New Roman" w:eastAsia="宋体" w:cs="Times New Roman"/>
          <w:color w:val="FF0000"/>
          <w:sz w:val="24"/>
          <w:highlight w:val="none"/>
        </w:rPr>
        <w:t>次，则需要</w:t>
      </w:r>
      <w:r>
        <w:rPr>
          <w:rFonts w:hint="default" w:ascii="Times New Roman" w:hAnsi="Times New Roman" w:eastAsia="宋体" w:cs="Times New Roman"/>
          <w:color w:val="FF0000"/>
          <w:sz w:val="24"/>
          <w:highlight w:val="none"/>
          <w:lang w:val="en-US" w:eastAsia="zh-CN"/>
        </w:rPr>
        <w:t>发酵床垫2790</w:t>
      </w:r>
      <w:r>
        <w:rPr>
          <w:rFonts w:hint="default" w:ascii="Times New Roman" w:hAnsi="Times New Roman" w:eastAsia="宋体" w:cs="Times New Roman"/>
          <w:color w:val="FF0000"/>
          <w:sz w:val="24"/>
          <w:highlight w:val="none"/>
        </w:rPr>
        <w:t>t/a</w:t>
      </w:r>
      <w:r>
        <w:rPr>
          <w:rFonts w:hint="default" w:ascii="Times New Roman" w:hAnsi="Times New Roman" w:eastAsia="宋体" w:cs="Times New Roman"/>
          <w:color w:val="FF0000"/>
          <w:sz w:val="24"/>
          <w:highlight w:val="none"/>
          <w:lang w:eastAsia="zh-CN"/>
        </w:rPr>
        <w:t>。</w:t>
      </w:r>
    </w:p>
    <w:p w14:paraId="3463BF5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color w:val="FF0000"/>
          <w:kern w:val="2"/>
          <w:sz w:val="24"/>
          <w:szCs w:val="24"/>
          <w:highlight w:val="none"/>
          <w:lang w:val="en-US" w:eastAsia="zh-CN"/>
        </w:rPr>
      </w:pPr>
      <w:r>
        <w:rPr>
          <w:rFonts w:hint="default" w:ascii="Times New Roman" w:hAnsi="Times New Roman" w:eastAsia="宋体" w:cs="Times New Roman"/>
          <w:color w:val="FF0000"/>
          <w:sz w:val="24"/>
          <w:highlight w:val="none"/>
          <w:lang w:eastAsia="zh-CN"/>
        </w:rPr>
        <w:t>需要添加菌剂</w:t>
      </w:r>
      <w:r>
        <w:rPr>
          <w:rFonts w:hint="default" w:ascii="Times New Roman" w:hAnsi="Times New Roman" w:eastAsia="宋体" w:cs="Times New Roman"/>
          <w:color w:val="FF0000"/>
          <w:sz w:val="24"/>
          <w:highlight w:val="none"/>
          <w:lang w:val="en-US" w:eastAsia="zh-CN"/>
        </w:rPr>
        <w:t>10t/a</w:t>
      </w:r>
      <w:r>
        <w:rPr>
          <w:rFonts w:hint="default" w:ascii="Times New Roman" w:hAnsi="Times New Roman" w:eastAsia="宋体" w:cs="Times New Roman"/>
          <w:color w:val="FF0000"/>
          <w:sz w:val="24"/>
          <w:highlight w:val="none"/>
        </w:rPr>
        <w:t>。牛舍垫料更换期间会有一定的水分挥发，</w:t>
      </w:r>
      <w:r>
        <w:rPr>
          <w:rFonts w:hint="default" w:ascii="Times New Roman" w:hAnsi="Times New Roman" w:eastAsia="宋体" w:cs="Times New Roman"/>
          <w:color w:val="FF0000"/>
          <w:sz w:val="24"/>
          <w:highlight w:val="none"/>
          <w:lang w:val="en-US" w:eastAsia="zh-CN"/>
        </w:rPr>
        <w:t>其中</w:t>
      </w:r>
      <w:r>
        <w:rPr>
          <w:rFonts w:hint="default" w:ascii="Times New Roman" w:hAnsi="Times New Roman" w:eastAsia="宋体" w:cs="Times New Roman"/>
          <w:color w:val="FF0000"/>
          <w:sz w:val="24"/>
          <w:highlight w:val="none"/>
        </w:rPr>
        <w:t>挥发量占20%左右</w:t>
      </w:r>
      <w:r>
        <w:rPr>
          <w:rFonts w:hint="default" w:ascii="Times New Roman" w:hAnsi="Times New Roman" w:eastAsia="宋体" w:cs="Times New Roman"/>
          <w:color w:val="FF0000"/>
          <w:sz w:val="24"/>
          <w:highlight w:val="none"/>
          <w:lang w:eastAsia="zh-CN"/>
        </w:rPr>
        <w:t>，</w:t>
      </w:r>
      <w:r>
        <w:rPr>
          <w:rFonts w:hint="default" w:ascii="Times New Roman" w:hAnsi="Times New Roman" w:eastAsia="宋体" w:cs="Times New Roman"/>
          <w:color w:val="FF0000"/>
          <w:sz w:val="24"/>
          <w:highlight w:val="none"/>
          <w:lang w:val="en-US" w:eastAsia="zh-CN"/>
        </w:rPr>
        <w:t>则</w:t>
      </w:r>
      <w:r>
        <w:rPr>
          <w:rFonts w:hint="default" w:ascii="Times New Roman" w:hAnsi="Times New Roman" w:eastAsia="宋体" w:cs="Times New Roman"/>
          <w:color w:val="FF0000"/>
          <w:sz w:val="24"/>
          <w:highlight w:val="none"/>
        </w:rPr>
        <w:t>牛舍垫料</w:t>
      </w:r>
      <w:r>
        <w:rPr>
          <w:rFonts w:hint="default" w:ascii="Times New Roman" w:hAnsi="Times New Roman" w:eastAsia="宋体" w:cs="Times New Roman"/>
          <w:color w:val="FF0000"/>
          <w:sz w:val="24"/>
          <w:highlight w:val="none"/>
          <w:lang w:eastAsia="zh-CN"/>
        </w:rPr>
        <w:t>为</w:t>
      </w:r>
      <w:r>
        <w:rPr>
          <w:rFonts w:hint="default" w:ascii="Times New Roman" w:hAnsi="Times New Roman" w:eastAsia="宋体" w:cs="Times New Roman"/>
          <w:color w:val="FF0000"/>
          <w:sz w:val="24"/>
          <w:highlight w:val="none"/>
          <w:lang w:val="en-US" w:eastAsia="zh-CN"/>
        </w:rPr>
        <w:t>2240</w:t>
      </w:r>
      <w:r>
        <w:rPr>
          <w:rFonts w:hint="default" w:ascii="Times New Roman" w:hAnsi="Times New Roman" w:eastAsia="宋体" w:cs="Times New Roman"/>
          <w:color w:val="FF0000"/>
          <w:sz w:val="24"/>
          <w:highlight w:val="none"/>
        </w:rPr>
        <w:t>t/a，因此，牛舍更换的发酵床垫料最终产生</w:t>
      </w:r>
      <w:r>
        <w:rPr>
          <w:rFonts w:hint="default" w:ascii="Times New Roman" w:hAnsi="Times New Roman" w:eastAsia="宋体" w:cs="Times New Roman"/>
          <w:color w:val="FF0000"/>
          <w:sz w:val="24"/>
          <w:highlight w:val="none"/>
          <w:lang w:val="en-US" w:eastAsia="zh-CN"/>
        </w:rPr>
        <w:t>固体</w:t>
      </w:r>
      <w:r>
        <w:rPr>
          <w:rFonts w:hint="default" w:ascii="Times New Roman" w:hAnsi="Times New Roman" w:eastAsia="宋体" w:cs="Times New Roman"/>
          <w:color w:val="FF0000"/>
          <w:sz w:val="24"/>
          <w:highlight w:val="none"/>
        </w:rPr>
        <w:t>总量约为</w:t>
      </w:r>
      <w:r>
        <w:rPr>
          <w:rFonts w:hint="default" w:ascii="Times New Roman" w:hAnsi="Times New Roman" w:eastAsia="宋体" w:cs="Times New Roman"/>
          <w:color w:val="FF0000"/>
          <w:sz w:val="24"/>
          <w:highlight w:val="none"/>
          <w:lang w:val="en-US" w:eastAsia="zh-CN"/>
        </w:rPr>
        <w:t>10182.4</w:t>
      </w:r>
      <w:r>
        <w:rPr>
          <w:rFonts w:hint="default" w:ascii="Times New Roman" w:hAnsi="Times New Roman" w:eastAsia="宋体" w:cs="Times New Roman"/>
          <w:color w:val="FF0000"/>
          <w:sz w:val="24"/>
          <w:highlight w:val="none"/>
        </w:rPr>
        <w:t>t/a。</w:t>
      </w:r>
      <w:r>
        <w:rPr>
          <w:rFonts w:hint="default" w:ascii="Times New Roman" w:hAnsi="Times New Roman" w:eastAsia="宋体" w:cs="Times New Roman"/>
          <w:b w:val="0"/>
          <w:bCs w:val="0"/>
          <w:color w:val="FF0000"/>
          <w:kern w:val="2"/>
          <w:sz w:val="24"/>
          <w:szCs w:val="24"/>
          <w:highlight w:val="none"/>
          <w:lang w:eastAsia="zh-CN"/>
        </w:rPr>
        <w:t>牛舍更换的发酵床垫料</w:t>
      </w:r>
      <w:r>
        <w:rPr>
          <w:rFonts w:hint="default" w:ascii="Times New Roman" w:hAnsi="Times New Roman" w:eastAsia="宋体" w:cs="Times New Roman"/>
          <w:b w:val="0"/>
          <w:bCs w:val="0"/>
          <w:color w:val="FF0000"/>
          <w:kern w:val="2"/>
          <w:sz w:val="24"/>
          <w:szCs w:val="24"/>
          <w:highlight w:val="none"/>
        </w:rPr>
        <w:t>，暂存于</w:t>
      </w:r>
      <w:r>
        <w:rPr>
          <w:rFonts w:hint="default" w:ascii="Times New Roman" w:hAnsi="Times New Roman" w:eastAsia="宋体" w:cs="Times New Roman"/>
          <w:b w:val="0"/>
          <w:bCs w:val="0"/>
          <w:color w:val="FF0000"/>
          <w:kern w:val="2"/>
          <w:sz w:val="24"/>
          <w:szCs w:val="24"/>
          <w:highlight w:val="none"/>
          <w:lang w:eastAsia="zh-CN"/>
        </w:rPr>
        <w:t>粪污储存间，</w:t>
      </w:r>
      <w:r>
        <w:rPr>
          <w:rFonts w:hint="default" w:ascii="Times New Roman" w:hAnsi="Times New Roman" w:eastAsia="宋体" w:cs="Times New Roman"/>
          <w:b w:val="0"/>
          <w:bCs w:val="0"/>
          <w:color w:val="FF0000"/>
          <w:kern w:val="2"/>
          <w:sz w:val="24"/>
          <w:szCs w:val="24"/>
          <w:highlight w:val="none"/>
        </w:rPr>
        <w:t>定期外售至有机肥厂</w:t>
      </w:r>
      <w:r>
        <w:rPr>
          <w:rFonts w:hint="default" w:ascii="Times New Roman" w:hAnsi="Times New Roman" w:eastAsia="宋体" w:cs="Times New Roman"/>
          <w:b w:val="0"/>
          <w:bCs w:val="0"/>
          <w:color w:val="FF0000"/>
          <w:kern w:val="2"/>
          <w:sz w:val="24"/>
          <w:szCs w:val="24"/>
          <w:highlight w:val="none"/>
          <w:lang w:eastAsia="zh-CN"/>
        </w:rPr>
        <w:t>。</w:t>
      </w:r>
    </w:p>
    <w:p w14:paraId="7F676231">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rPr>
          <w:rFonts w:hint="default" w:ascii="Times New Roman" w:hAnsi="Times New Roman" w:eastAsia="宋体" w:cs="Times New Roman"/>
          <w:color w:val="FF0000"/>
          <w:sz w:val="24"/>
          <w:szCs w:val="24"/>
          <w:highlight w:val="none"/>
        </w:rPr>
      </w:pPr>
      <w:r>
        <w:rPr>
          <w:rFonts w:hint="default" w:ascii="Times New Roman" w:hAnsi="Times New Roman" w:eastAsia="宋体" w:cs="Times New Roman"/>
          <w:b w:val="0"/>
          <w:bCs w:val="0"/>
          <w:color w:val="FF0000"/>
          <w:kern w:val="2"/>
          <w:sz w:val="24"/>
          <w:szCs w:val="24"/>
          <w:highlight w:val="none"/>
          <w:lang w:eastAsia="zh-CN"/>
        </w:rPr>
        <w:t>粪污储存间</w:t>
      </w:r>
      <w:r>
        <w:rPr>
          <w:rFonts w:hint="default" w:ascii="Times New Roman" w:hAnsi="Times New Roman" w:eastAsia="宋体" w:cs="Times New Roman"/>
          <w:color w:val="FF0000"/>
          <w:sz w:val="24"/>
          <w:szCs w:val="24"/>
          <w:highlight w:val="none"/>
          <w:lang w:val="en-US" w:eastAsia="zh-CN"/>
        </w:rPr>
        <w:t>3500</w:t>
      </w:r>
      <w:r>
        <w:rPr>
          <w:rFonts w:hint="default" w:ascii="Times New Roman" w:hAnsi="Times New Roman" w:eastAsia="宋体" w:cs="Times New Roman"/>
          <w:color w:val="FF0000"/>
          <w:sz w:val="24"/>
          <w:szCs w:val="24"/>
          <w:highlight w:val="none"/>
        </w:rPr>
        <w:t>m</w:t>
      </w:r>
      <w:r>
        <w:rPr>
          <w:rFonts w:hint="default" w:ascii="Times New Roman" w:hAnsi="Times New Roman" w:eastAsia="宋体" w:cs="Times New Roman"/>
          <w:color w:val="FF0000"/>
          <w:sz w:val="24"/>
          <w:szCs w:val="24"/>
          <w:highlight w:val="none"/>
          <w:vertAlign w:val="superscript"/>
        </w:rPr>
        <w:t>2</w:t>
      </w:r>
      <w:r>
        <w:rPr>
          <w:rFonts w:hint="default" w:ascii="Times New Roman" w:hAnsi="Times New Roman" w:eastAsia="宋体" w:cs="Times New Roman"/>
          <w:color w:val="FF0000"/>
          <w:sz w:val="24"/>
          <w:szCs w:val="24"/>
          <w:highlight w:val="none"/>
          <w:lang w:eastAsia="zh-CN"/>
        </w:rPr>
        <w:t>，存放高度</w:t>
      </w:r>
      <w:r>
        <w:rPr>
          <w:rFonts w:hint="default" w:ascii="Times New Roman" w:hAnsi="Times New Roman" w:eastAsia="宋体" w:cs="Times New Roman"/>
          <w:color w:val="FF0000"/>
          <w:sz w:val="24"/>
          <w:szCs w:val="24"/>
          <w:highlight w:val="none"/>
          <w:lang w:val="en-US" w:eastAsia="zh-CN"/>
        </w:rPr>
        <w:t>5m，存放3000</w:t>
      </w:r>
      <w:r>
        <w:rPr>
          <w:rFonts w:hint="default" w:ascii="Times New Roman" w:hAnsi="Times New Roman" w:eastAsia="宋体" w:cs="Times New Roman"/>
          <w:color w:val="FF0000"/>
          <w:sz w:val="24"/>
          <w:szCs w:val="24"/>
          <w:highlight w:val="none"/>
          <w:vertAlign w:val="baseline"/>
          <w:lang w:val="en-US" w:eastAsia="zh-CN"/>
        </w:rPr>
        <w:t>0t</w:t>
      </w:r>
      <w:r>
        <w:rPr>
          <w:rFonts w:hint="default" w:ascii="Times New Roman" w:hAnsi="Times New Roman" w:eastAsia="宋体" w:cs="Times New Roman"/>
          <w:b w:val="0"/>
          <w:bCs w:val="0"/>
          <w:color w:val="FF0000"/>
          <w:kern w:val="2"/>
          <w:sz w:val="24"/>
          <w:szCs w:val="24"/>
          <w:highlight w:val="none"/>
          <w:lang w:eastAsia="zh-CN"/>
        </w:rPr>
        <w:t>牛舍更换的发酵床垫料</w:t>
      </w:r>
      <w:r>
        <w:rPr>
          <w:rFonts w:hint="default" w:ascii="Times New Roman" w:hAnsi="Times New Roman" w:eastAsia="宋体" w:cs="Times New Roman"/>
          <w:color w:val="FF0000"/>
          <w:sz w:val="24"/>
          <w:szCs w:val="24"/>
          <w:highlight w:val="none"/>
          <w:vertAlign w:val="baseline"/>
          <w:lang w:val="en-US" w:eastAsia="zh-CN"/>
        </w:rPr>
        <w:t>，</w:t>
      </w:r>
      <w:r>
        <w:rPr>
          <w:rFonts w:hint="default" w:ascii="Times New Roman" w:hAnsi="Times New Roman" w:eastAsia="宋体" w:cs="Times New Roman"/>
          <w:snapToGrid w:val="0"/>
          <w:color w:val="FF0000"/>
          <w:kern w:val="0"/>
          <w:sz w:val="24"/>
          <w:szCs w:val="24"/>
          <w:highlight w:val="none"/>
        </w:rPr>
        <w:t>发酵床</w:t>
      </w:r>
      <w:r>
        <w:rPr>
          <w:rFonts w:hint="default" w:ascii="Times New Roman" w:hAnsi="Times New Roman" w:eastAsia="宋体" w:cs="Times New Roman"/>
          <w:snapToGrid w:val="0"/>
          <w:color w:val="FF0000"/>
          <w:kern w:val="0"/>
          <w:sz w:val="24"/>
          <w:szCs w:val="24"/>
          <w:highlight w:val="none"/>
          <w:lang w:val="en-US" w:eastAsia="zh-CN"/>
        </w:rPr>
        <w:t>一</w:t>
      </w:r>
      <w:r>
        <w:rPr>
          <w:rFonts w:hint="default" w:ascii="Times New Roman" w:hAnsi="Times New Roman" w:eastAsia="宋体" w:cs="Times New Roman"/>
          <w:color w:val="FF0000"/>
          <w:sz w:val="24"/>
          <w:szCs w:val="24"/>
          <w:highlight w:val="none"/>
          <w:lang w:val="en-US" w:eastAsia="zh-CN"/>
        </w:rPr>
        <w:t>年使用周期结束，进行清运</w:t>
      </w:r>
      <w:r>
        <w:rPr>
          <w:rFonts w:hint="eastAsia" w:ascii="Times New Roman" w:hAnsi="Times New Roman" w:eastAsia="宋体" w:cs="Times New Roman"/>
          <w:color w:val="FF0000"/>
          <w:sz w:val="24"/>
          <w:szCs w:val="24"/>
          <w:highlight w:val="none"/>
          <w:lang w:val="en-US" w:eastAsia="zh-CN"/>
        </w:rPr>
        <w:t>。</w:t>
      </w:r>
    </w:p>
    <w:p w14:paraId="157CC4DC">
      <w:pPr>
        <w:keepNext w:val="0"/>
        <w:keepLines w:val="0"/>
        <w:pageBreakBefore w:val="0"/>
        <w:widowControl/>
        <w:kinsoku/>
        <w:wordWrap w:val="0"/>
        <w:overflowPunct/>
        <w:topLinePunct/>
        <w:autoSpaceDE/>
        <w:autoSpaceDN/>
        <w:bidi w:val="0"/>
        <w:adjustRightInd/>
        <w:snapToGrid w:val="0"/>
        <w:spacing w:line="360" w:lineRule="auto"/>
        <w:ind w:left="0" w:firstLine="482"/>
        <w:jc w:val="both"/>
        <w:textAlignment w:val="baseline"/>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发酵床处理能力可行性：根据</w:t>
      </w:r>
      <w:r>
        <w:rPr>
          <w:rFonts w:hint="eastAsia" w:ascii="Times New Roman" w:hAnsi="Times New Roman" w:eastAsia="宋体" w:cs="Times New Roman"/>
          <w:color w:val="FF0000"/>
          <w:sz w:val="24"/>
          <w:highlight w:val="none"/>
          <w:lang w:val="en-US" w:eastAsia="zh-CN"/>
        </w:rPr>
        <w:t>干撒式发酵床设计</w:t>
      </w:r>
      <w:r>
        <w:rPr>
          <w:rFonts w:hint="default" w:ascii="Times New Roman" w:hAnsi="Times New Roman" w:eastAsia="宋体" w:cs="Times New Roman"/>
          <w:color w:val="FF0000"/>
          <w:sz w:val="24"/>
          <w:highlight w:val="none"/>
          <w:lang w:eastAsia="zh-CN"/>
        </w:rPr>
        <w:t>单位</w:t>
      </w:r>
      <w:r>
        <w:rPr>
          <w:rFonts w:hint="default" w:ascii="Times New Roman" w:hAnsi="Times New Roman" w:eastAsia="宋体" w:cs="Times New Roman"/>
          <w:color w:val="FF0000"/>
          <w:sz w:val="24"/>
          <w:highlight w:val="none"/>
        </w:rPr>
        <w:t>提供的资料</w:t>
      </w:r>
      <w:r>
        <w:rPr>
          <w:rFonts w:hint="default" w:ascii="Times New Roman" w:hAnsi="Times New Roman" w:eastAsia="宋体" w:cs="Times New Roman"/>
          <w:color w:val="FF0000"/>
          <w:sz w:val="24"/>
          <w:szCs w:val="24"/>
          <w:highlight w:val="none"/>
          <w:lang w:val="en-US" w:eastAsia="zh-CN"/>
        </w:rPr>
        <w:t>每立方发酵基质每日可发酵处理粪污30kg，本项目发酵床面积为27900</w:t>
      </w:r>
      <w:r>
        <w:rPr>
          <w:rFonts w:hint="default" w:ascii="Times New Roman" w:hAnsi="Times New Roman" w:eastAsia="宋体" w:cs="Times New Roman"/>
          <w:color w:val="FF0000"/>
          <w:sz w:val="24"/>
          <w:highlight w:val="none"/>
        </w:rPr>
        <w:t>m</w:t>
      </w:r>
      <w:r>
        <w:rPr>
          <w:rFonts w:hint="default" w:ascii="Times New Roman" w:hAnsi="Times New Roman" w:eastAsia="宋体" w:cs="Times New Roman"/>
          <w:color w:val="FF0000"/>
          <w:sz w:val="24"/>
          <w:highlight w:val="none"/>
          <w:vertAlign w:val="superscript"/>
        </w:rPr>
        <w:t>2</w:t>
      </w:r>
      <w:r>
        <w:rPr>
          <w:rFonts w:hint="default" w:ascii="Times New Roman" w:hAnsi="Times New Roman" w:eastAsia="宋体" w:cs="Times New Roman"/>
          <w:color w:val="FF0000"/>
          <w:sz w:val="24"/>
          <w:szCs w:val="24"/>
          <w:highlight w:val="none"/>
          <w:vertAlign w:val="baseline"/>
          <w:lang w:val="en-US" w:eastAsia="zh-CN"/>
        </w:rPr>
        <w:t>，垫料铺设厚度在50cm左右，可得发酵床实际总体积</w:t>
      </w:r>
      <w:r>
        <w:rPr>
          <w:rFonts w:hint="default" w:ascii="Times New Roman" w:hAnsi="Times New Roman" w:eastAsia="宋体" w:cs="Times New Roman"/>
          <w:color w:val="FF0000"/>
          <w:sz w:val="24"/>
          <w:szCs w:val="24"/>
          <w:highlight w:val="none"/>
          <w:lang w:val="en-US" w:eastAsia="zh-CN"/>
        </w:rPr>
        <w:t>13950</w:t>
      </w:r>
      <w:r>
        <w:rPr>
          <w:rFonts w:hint="default" w:ascii="Times New Roman" w:hAnsi="Times New Roman" w:eastAsia="宋体" w:cs="Times New Roman"/>
          <w:color w:val="FF0000"/>
          <w:sz w:val="24"/>
          <w:highlight w:val="none"/>
        </w:rPr>
        <w:t>m</w:t>
      </w:r>
      <w:r>
        <w:rPr>
          <w:rFonts w:hint="default" w:ascii="Times New Roman" w:hAnsi="Times New Roman" w:eastAsia="宋体" w:cs="Times New Roman"/>
          <w:color w:val="FF0000"/>
          <w:sz w:val="24"/>
          <w:highlight w:val="none"/>
          <w:vertAlign w:val="superscript"/>
        </w:rPr>
        <w:t>3</w:t>
      </w:r>
      <w:r>
        <w:rPr>
          <w:rFonts w:hint="default" w:ascii="Times New Roman" w:hAnsi="Times New Roman" w:eastAsia="宋体" w:cs="Times New Roman"/>
          <w:color w:val="FF0000"/>
          <w:sz w:val="24"/>
          <w:szCs w:val="24"/>
          <w:highlight w:val="none"/>
          <w:vertAlign w:val="baseline"/>
          <w:lang w:val="en-US" w:eastAsia="zh-CN"/>
        </w:rPr>
        <w:t>，可日发酵处理粪污为418.5t，项目日产生粪污为104.4t，因此</w:t>
      </w:r>
      <w:r>
        <w:rPr>
          <w:rFonts w:hint="default" w:ascii="Times New Roman" w:hAnsi="Times New Roman" w:eastAsia="宋体" w:cs="Times New Roman"/>
          <w:color w:val="FF0000"/>
          <w:sz w:val="24"/>
          <w:szCs w:val="24"/>
          <w:highlight w:val="none"/>
          <w:lang w:val="en-US" w:eastAsia="zh-CN"/>
        </w:rPr>
        <w:t>，设计发酵床可完成处理产生的粪污，在保证发酵床正常运行的情况下可实现粪污全部降解。</w:t>
      </w:r>
    </w:p>
    <w:p w14:paraId="1A98E455">
      <w:pPr>
        <w:pStyle w:val="32"/>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color w:val="FF0000"/>
          <w:spacing w:val="-4"/>
          <w:sz w:val="24"/>
          <w:szCs w:val="24"/>
          <w:highlight w:val="none"/>
          <w:lang w:val="en-US" w:eastAsia="zh-CN"/>
        </w:rPr>
      </w:pPr>
      <w:r>
        <w:rPr>
          <w:rFonts w:hint="default" w:ascii="Times New Roman" w:hAnsi="Times New Roman" w:cs="Times New Roman"/>
          <w:color w:val="FF0000"/>
          <w:lang w:val="en-US" w:eastAsia="zh-CN"/>
        </w:rPr>
        <w:t>②发酵床垫非正常工况下的处置措施：</w:t>
      </w:r>
      <w:r>
        <w:rPr>
          <w:rFonts w:hint="default" w:ascii="Times New Roman" w:hAnsi="Times New Roman" w:eastAsia="宋体" w:cs="Times New Roman"/>
          <w:color w:val="FF0000"/>
          <w:spacing w:val="-4"/>
          <w:sz w:val="24"/>
          <w:szCs w:val="24"/>
          <w:highlight w:val="none"/>
          <w:lang w:val="en-US" w:eastAsia="zh-CN"/>
        </w:rPr>
        <w:t>出现非工况为发酵床破损或部分发酵菌剂失活，</w:t>
      </w:r>
      <w:r>
        <w:rPr>
          <w:rFonts w:hint="default" w:ascii="Times New Roman" w:hAnsi="Times New Roman" w:cs="Times New Roman"/>
          <w:color w:val="FF0000"/>
          <w:lang w:val="en-US" w:eastAsia="zh-CN"/>
        </w:rPr>
        <w:t>发酵床工艺是</w:t>
      </w:r>
      <w:r>
        <w:rPr>
          <w:rFonts w:hint="default" w:ascii="Times New Roman" w:hAnsi="Times New Roman" w:eastAsia="宋体" w:cs="Times New Roman"/>
          <w:color w:val="FF0000"/>
          <w:spacing w:val="-4"/>
          <w:sz w:val="24"/>
          <w:szCs w:val="24"/>
          <w:highlight w:val="none"/>
          <w:lang w:val="en-US" w:eastAsia="zh-CN"/>
        </w:rPr>
        <w:t>通过人工把牛粪埋到15公分以下，当员工再埋粪时发现发酵床垫料破损时，及时更换此部分垫料；由于动物踩踏和垫料颗粒分解细化，会造成局部或整体发酵菌剂通透性下降，垫料板结，影响粪尿的发酵分解，还会为病原微生物的</w:t>
      </w:r>
      <w:r>
        <w:rPr>
          <w:rFonts w:hint="eastAsia" w:ascii="Times New Roman" w:hAnsi="Times New Roman" w:eastAsia="宋体" w:cs="Times New Roman"/>
          <w:color w:val="FF0000"/>
          <w:spacing w:val="-4"/>
          <w:sz w:val="24"/>
          <w:szCs w:val="24"/>
          <w:highlight w:val="none"/>
          <w:lang w:val="en-US" w:eastAsia="zh-CN"/>
        </w:rPr>
        <w:t>滋生</w:t>
      </w:r>
      <w:r>
        <w:rPr>
          <w:rFonts w:hint="default" w:ascii="Times New Roman" w:hAnsi="Times New Roman" w:eastAsia="宋体" w:cs="Times New Roman"/>
          <w:color w:val="FF0000"/>
          <w:spacing w:val="-4"/>
          <w:sz w:val="24"/>
          <w:szCs w:val="24"/>
          <w:highlight w:val="none"/>
          <w:lang w:val="en-US" w:eastAsia="zh-CN"/>
        </w:rPr>
        <w:t>提供条件。这时就要及时翻床，保持适当的通透性，保证发酵床有较高的粪尿分解能力。</w:t>
      </w:r>
    </w:p>
    <w:p w14:paraId="222A9890">
      <w:pPr>
        <w:pStyle w:val="41"/>
        <w:keepNext w:val="0"/>
        <w:keepLines w:val="0"/>
        <w:pageBreakBefore w:val="0"/>
        <w:numPr>
          <w:ilvl w:val="0"/>
          <w:numId w:val="0"/>
        </w:numPr>
        <w:wordWrap/>
        <w:overflowPunct/>
        <w:topLinePunct w:val="0"/>
        <w:bidi w:val="0"/>
        <w:adjustRightInd/>
        <w:snapToGrid/>
        <w:spacing w:line="360" w:lineRule="auto"/>
        <w:ind w:firstLine="464" w:firstLineChars="200"/>
        <w:outlineLvl w:val="9"/>
        <w:rPr>
          <w:rFonts w:hint="default" w:ascii="Times New Roman" w:hAnsi="Times New Roman" w:eastAsia="宋体" w:cs="Times New Roman"/>
          <w:snapToGrid w:val="0"/>
          <w:color w:val="FF0000"/>
          <w:spacing w:val="-4"/>
          <w:kern w:val="0"/>
          <w:sz w:val="24"/>
          <w:szCs w:val="24"/>
          <w:highlight w:val="none"/>
          <w:lang w:val="en-US" w:eastAsia="zh-CN" w:bidi="ar-SA"/>
        </w:rPr>
      </w:pPr>
      <w:r>
        <w:rPr>
          <w:rFonts w:hint="default" w:ascii="Times New Roman" w:hAnsi="Times New Roman" w:eastAsia="宋体" w:cs="Times New Roman"/>
          <w:snapToGrid w:val="0"/>
          <w:color w:val="FF0000"/>
          <w:spacing w:val="-4"/>
          <w:kern w:val="0"/>
          <w:sz w:val="24"/>
          <w:szCs w:val="24"/>
          <w:highlight w:val="none"/>
          <w:lang w:val="en-US" w:eastAsia="zh-CN" w:bidi="ar-SA"/>
        </w:rPr>
        <w:t>③粪污处理公司可行性分析</w:t>
      </w:r>
    </w:p>
    <w:p w14:paraId="6B309656">
      <w:pPr>
        <w:pStyle w:val="41"/>
        <w:keepNext w:val="0"/>
        <w:keepLines w:val="0"/>
        <w:pageBreakBefore w:val="0"/>
        <w:numPr>
          <w:ilvl w:val="0"/>
          <w:numId w:val="0"/>
        </w:numPr>
        <w:kinsoku w:val="0"/>
        <w:wordWrap/>
        <w:overflowPunct/>
        <w:topLinePunct w:val="0"/>
        <w:autoSpaceDE w:val="0"/>
        <w:autoSpaceDN w:val="0"/>
        <w:bidi w:val="0"/>
        <w:adjustRightInd/>
        <w:snapToGrid/>
        <w:spacing w:line="360" w:lineRule="auto"/>
        <w:ind w:firstLine="464" w:firstLineChars="200"/>
        <w:jc w:val="left"/>
        <w:textAlignment w:val="baseline"/>
        <w:outlineLvl w:val="9"/>
        <w:rPr>
          <w:rFonts w:hint="default" w:ascii="Times New Roman" w:hAnsi="Times New Roman" w:eastAsia="宋体" w:cs="Times New Roman"/>
          <w:snapToGrid w:val="0"/>
          <w:color w:val="FF0000"/>
          <w:spacing w:val="-4"/>
          <w:kern w:val="0"/>
          <w:sz w:val="24"/>
          <w:szCs w:val="24"/>
          <w:highlight w:val="none"/>
          <w:lang w:val="en-US" w:eastAsia="zh-CN" w:bidi="ar-SA"/>
        </w:rPr>
      </w:pPr>
      <w:r>
        <w:rPr>
          <w:rFonts w:hint="default" w:ascii="Times New Roman" w:hAnsi="Times New Roman" w:eastAsia="宋体" w:cs="Times New Roman"/>
          <w:snapToGrid w:val="0"/>
          <w:color w:val="FF0000"/>
          <w:spacing w:val="-4"/>
          <w:kern w:val="0"/>
          <w:sz w:val="24"/>
          <w:szCs w:val="24"/>
          <w:highlight w:val="none"/>
          <w:lang w:val="en-US" w:eastAsia="zh-CN" w:bidi="ar-SA"/>
        </w:rPr>
        <w:t>本项目干撒式发酵床收集的粪便及垫料用密闭式粪车定期外售，暂存牛舍更换的发酵床垫料，定期外售至有机肥厂；牛舍更换的发酵床垫料，发酵床一年使用周期结束，进行分批次清运，每次清运发酵床垫料约10182.4t；集贤县远东牧业有限公司、双鸭山市永胜农机合作社丰乐粪污处理中心分别年产60000t有机肥，两家有机肥厂的工艺均为发酵、调质、破碎、筛分、造粒等，产品包装外售，可以满足处理本项目固体粪污；因签订两家有机肥厂，目的是当正常转运时外售至集贤县远东牧业有限公司，事故时发生转运不畅时，立即转运至双鸭山市永胜农机合作社丰乐粪污处理中心。</w:t>
      </w:r>
    </w:p>
    <w:p w14:paraId="1CFF4203">
      <w:pPr>
        <w:pStyle w:val="41"/>
        <w:keepNext w:val="0"/>
        <w:keepLines w:val="0"/>
        <w:pageBreakBefore w:val="0"/>
        <w:numPr>
          <w:ilvl w:val="0"/>
          <w:numId w:val="0"/>
        </w:numPr>
        <w:kinsoku w:val="0"/>
        <w:wordWrap/>
        <w:overflowPunct/>
        <w:topLinePunct w:val="0"/>
        <w:autoSpaceDE w:val="0"/>
        <w:autoSpaceDN w:val="0"/>
        <w:bidi w:val="0"/>
        <w:adjustRightInd/>
        <w:snapToGrid/>
        <w:spacing w:line="360" w:lineRule="auto"/>
        <w:ind w:firstLine="464" w:firstLineChars="200"/>
        <w:jc w:val="left"/>
        <w:textAlignment w:val="baseline"/>
        <w:outlineLvl w:val="9"/>
        <w:rPr>
          <w:rFonts w:hint="default" w:ascii="Times New Roman" w:hAnsi="Times New Roman" w:eastAsia="宋体" w:cs="Times New Roman"/>
          <w:snapToGrid w:val="0"/>
          <w:color w:val="0000FF"/>
          <w:spacing w:val="-4"/>
          <w:kern w:val="0"/>
          <w:sz w:val="24"/>
          <w:szCs w:val="24"/>
          <w:highlight w:val="none"/>
          <w:lang w:val="en-US" w:eastAsia="zh-CN" w:bidi="ar-SA"/>
        </w:rPr>
      </w:pPr>
      <w:r>
        <w:rPr>
          <w:rFonts w:hint="default" w:ascii="Times New Roman" w:hAnsi="Times New Roman" w:eastAsia="宋体" w:cs="Times New Roman"/>
          <w:snapToGrid w:val="0"/>
          <w:color w:val="0000FF"/>
          <w:spacing w:val="-4"/>
          <w:kern w:val="0"/>
          <w:sz w:val="24"/>
          <w:szCs w:val="24"/>
          <w:highlight w:val="none"/>
          <w:lang w:val="en-US" w:eastAsia="zh-CN" w:bidi="ar-SA"/>
        </w:rPr>
        <w:t>集贤县远东牧业有限公司</w:t>
      </w:r>
      <w:r>
        <w:rPr>
          <w:rFonts w:hint="eastAsia" w:ascii="Times New Roman" w:hAnsi="Times New Roman" w:cs="Times New Roman"/>
          <w:snapToGrid w:val="0"/>
          <w:color w:val="0000FF"/>
          <w:spacing w:val="-4"/>
          <w:kern w:val="0"/>
          <w:sz w:val="24"/>
          <w:szCs w:val="24"/>
          <w:highlight w:val="none"/>
          <w:lang w:val="en-US" w:eastAsia="zh-CN" w:bidi="ar-SA"/>
        </w:rPr>
        <w:t>于2022年7月编制《集贤县远东牧业有限公司畜禽粪污资源化利用项目》建设项目环境影响报告表，于2022年9月1日获得双鸭山市集贤县生态环境局批复，批复文号为双集环审【2022】26号，生产工艺为发酵、调质、机制破碎、筛分、造粒，年产6万吨生物质有机肥，当前处理量为年产3.5万吨生物质有机肥，</w:t>
      </w:r>
      <w:r>
        <w:rPr>
          <w:rFonts w:hint="default" w:ascii="Times New Roman" w:hAnsi="Times New Roman" w:eastAsia="宋体" w:cs="Times New Roman"/>
          <w:snapToGrid w:val="0"/>
          <w:color w:val="0000FF"/>
          <w:spacing w:val="-4"/>
          <w:kern w:val="0"/>
          <w:sz w:val="24"/>
          <w:szCs w:val="24"/>
          <w:highlight w:val="none"/>
          <w:lang w:val="en-US" w:eastAsia="zh-CN" w:bidi="ar-SA"/>
        </w:rPr>
        <w:t>双鸭山市永胜农机合作社</w:t>
      </w:r>
      <w:r>
        <w:rPr>
          <w:rFonts w:hint="eastAsia" w:ascii="Times New Roman" w:hAnsi="Times New Roman" w:cs="Times New Roman"/>
          <w:snapToGrid w:val="0"/>
          <w:color w:val="0000FF"/>
          <w:spacing w:val="-4"/>
          <w:kern w:val="0"/>
          <w:sz w:val="24"/>
          <w:szCs w:val="24"/>
          <w:highlight w:val="none"/>
          <w:lang w:val="en-US" w:eastAsia="zh-CN" w:bidi="ar-SA"/>
        </w:rPr>
        <w:t>于2022年7月编制《集贤县远东牧业有限公司畜禽粪污资源化利用项目》建设项目环境影响报告表，于2022年7月4日获得双鸭山市集贤县生态环境局批复，批复文号为双集环审【2022】18号，生产工艺为发酵、调质、机制破碎、筛分、造粒，年产6万吨生物质有机肥，当前处理量为年产2万吨生物质有机肥，剩余处理量满足本次产生量。</w:t>
      </w:r>
    </w:p>
    <w:p w14:paraId="5CC0D789">
      <w:pPr>
        <w:pStyle w:val="41"/>
        <w:keepNext w:val="0"/>
        <w:keepLines w:val="0"/>
        <w:pageBreakBefore w:val="0"/>
        <w:numPr>
          <w:ilvl w:val="0"/>
          <w:numId w:val="0"/>
        </w:numPr>
        <w:wordWrap/>
        <w:overflowPunct/>
        <w:topLinePunct w:val="0"/>
        <w:bidi w:val="0"/>
        <w:adjustRightInd/>
        <w:snapToGrid/>
        <w:spacing w:line="360" w:lineRule="auto"/>
        <w:ind w:firstLine="480" w:firstLineChars="200"/>
        <w:outlineLvl w:val="9"/>
        <w:rPr>
          <w:rFonts w:hint="default" w:ascii="Times New Roman" w:hAnsi="Times New Roman" w:eastAsia="宋体" w:cs="Times New Roman"/>
          <w:color w:val="FF0000"/>
          <w:sz w:val="24"/>
          <w:szCs w:val="24"/>
          <w:highlight w:val="none"/>
        </w:rPr>
      </w:pPr>
      <w:r>
        <w:rPr>
          <w:rFonts w:hint="default" w:ascii="Times New Roman" w:hAnsi="Times New Roman" w:cs="Times New Roman"/>
          <w:snapToGrid w:val="0"/>
          <w:color w:val="FF0000"/>
          <w:kern w:val="0"/>
          <w:sz w:val="24"/>
          <w:szCs w:val="24"/>
          <w:highlight w:val="none"/>
          <w:lang w:val="en-US" w:eastAsia="zh-CN" w:bidi="ar-SA"/>
        </w:rPr>
        <w:t>④粪污</w:t>
      </w:r>
      <w:r>
        <w:rPr>
          <w:rFonts w:hint="default" w:ascii="Times New Roman" w:hAnsi="Times New Roman" w:eastAsia="宋体" w:cs="Times New Roman"/>
          <w:color w:val="FF0000"/>
          <w:sz w:val="24"/>
          <w:szCs w:val="24"/>
          <w:highlight w:val="none"/>
        </w:rPr>
        <w:t>运输路线可行性分析及污染防治措施</w:t>
      </w:r>
    </w:p>
    <w:p w14:paraId="03FF6722">
      <w:pPr>
        <w:pStyle w:val="40"/>
        <w:keepNext w:val="0"/>
        <w:keepLines w:val="0"/>
        <w:pageBreakBefore w:val="0"/>
        <w:wordWrap/>
        <w:overflowPunct/>
        <w:topLinePunct w:val="0"/>
        <w:bidi w:val="0"/>
        <w:adjustRightInd/>
        <w:snapToGrid/>
        <w:spacing w:line="360" w:lineRule="auto"/>
        <w:ind w:firstLine="480" w:firstLineChars="200"/>
        <w:rPr>
          <w:rFonts w:hint="default" w:ascii="Times New Roman" w:hAnsi="Times New Roman" w:eastAsia="宋体" w:cs="Times New Roman"/>
          <w:snapToGrid w:val="0"/>
          <w:color w:val="FF0000"/>
          <w:kern w:val="2"/>
          <w:sz w:val="24"/>
          <w:szCs w:val="24"/>
          <w:highlight w:val="none"/>
          <w:lang w:val="en-GB" w:eastAsia="zh-CN" w:bidi="ar-SA"/>
        </w:rPr>
      </w:pPr>
      <w:r>
        <w:rPr>
          <w:rFonts w:hint="default" w:ascii="Times New Roman" w:hAnsi="Times New Roman" w:eastAsia="宋体" w:cs="Times New Roman"/>
          <w:snapToGrid w:val="0"/>
          <w:color w:val="FF0000"/>
          <w:kern w:val="2"/>
          <w:sz w:val="24"/>
          <w:szCs w:val="24"/>
          <w:highlight w:val="none"/>
          <w:lang w:val="en-GB" w:eastAsia="zh-CN" w:bidi="ar-SA"/>
        </w:rPr>
        <w:t>本项目建设单位租用</w:t>
      </w:r>
      <w:r>
        <w:rPr>
          <w:rFonts w:hint="default" w:ascii="Times New Roman" w:hAnsi="Times New Roman" w:eastAsia="宋体" w:cs="Times New Roman"/>
          <w:snapToGrid w:val="0"/>
          <w:color w:val="FF0000"/>
          <w:kern w:val="2"/>
          <w:sz w:val="24"/>
          <w:szCs w:val="24"/>
          <w:highlight w:val="none"/>
          <w:lang w:val="en-US" w:eastAsia="zh-CN" w:bidi="ar-SA"/>
        </w:rPr>
        <w:t>密闭式粪车将粪污储存间的粪污</w:t>
      </w:r>
      <w:r>
        <w:rPr>
          <w:rFonts w:hint="default" w:ascii="Times New Roman" w:hAnsi="Times New Roman" w:eastAsia="宋体" w:cs="Times New Roman"/>
          <w:snapToGrid w:val="0"/>
          <w:color w:val="FF0000"/>
          <w:kern w:val="2"/>
          <w:sz w:val="24"/>
          <w:szCs w:val="24"/>
          <w:highlight w:val="none"/>
          <w:lang w:val="en-GB" w:eastAsia="zh-CN" w:bidi="ar-SA"/>
        </w:rPr>
        <w:t>肥</w:t>
      </w:r>
      <w:r>
        <w:rPr>
          <w:rFonts w:hint="default" w:ascii="Times New Roman" w:hAnsi="Times New Roman" w:eastAsia="宋体" w:cs="Times New Roman"/>
          <w:snapToGrid w:val="0"/>
          <w:color w:val="FF0000"/>
          <w:kern w:val="2"/>
          <w:sz w:val="24"/>
          <w:szCs w:val="24"/>
          <w:highlight w:val="none"/>
          <w:lang w:val="en-US" w:eastAsia="zh-CN" w:bidi="ar-SA"/>
        </w:rPr>
        <w:t>拉运至</w:t>
      </w:r>
      <w:r>
        <w:rPr>
          <w:rFonts w:hint="default" w:ascii="Times New Roman" w:hAnsi="Times New Roman" w:eastAsia="宋体" w:cs="Times New Roman"/>
          <w:color w:val="FF0000"/>
          <w:sz w:val="24"/>
          <w:szCs w:val="24"/>
          <w:highlight w:val="none"/>
          <w:lang w:val="en-US" w:eastAsia="zh-CN" w:bidi="ar-SA"/>
        </w:rPr>
        <w:t>集贤县远东牧业有限公司、双鸭山市永胜农机合作社</w:t>
      </w:r>
      <w:r>
        <w:rPr>
          <w:rFonts w:hint="default" w:ascii="Times New Roman" w:hAnsi="Times New Roman" w:eastAsia="宋体" w:cs="Times New Roman"/>
          <w:snapToGrid w:val="0"/>
          <w:color w:val="FF0000"/>
          <w:kern w:val="2"/>
          <w:sz w:val="24"/>
          <w:szCs w:val="24"/>
          <w:highlight w:val="none"/>
          <w:lang w:val="en-GB" w:eastAsia="zh-CN" w:bidi="ar-SA"/>
        </w:rPr>
        <w:t>，均利用原有乡村道路，</w:t>
      </w:r>
      <w:r>
        <w:rPr>
          <w:rFonts w:hint="default" w:ascii="Times New Roman" w:hAnsi="Times New Roman" w:eastAsia="宋体" w:cs="Times New Roman"/>
          <w:snapToGrid w:val="0"/>
          <w:color w:val="FF0000"/>
          <w:kern w:val="2"/>
          <w:sz w:val="24"/>
          <w:szCs w:val="24"/>
          <w:highlight w:val="none"/>
          <w:lang w:val="en-US" w:eastAsia="zh-CN" w:bidi="ar-SA"/>
        </w:rPr>
        <w:t>拉运最远路线运至</w:t>
      </w:r>
      <w:r>
        <w:rPr>
          <w:rFonts w:hint="default" w:ascii="Times New Roman" w:hAnsi="Times New Roman" w:eastAsia="宋体" w:cs="Times New Roman"/>
          <w:color w:val="FF0000"/>
          <w:sz w:val="24"/>
          <w:szCs w:val="24"/>
          <w:highlight w:val="none"/>
          <w:lang w:val="en-US" w:eastAsia="zh-CN" w:bidi="ar-SA"/>
        </w:rPr>
        <w:t>双鸭山市永胜农机合作社丰乐粪污处理中心，约有31km。</w:t>
      </w:r>
      <w:r>
        <w:rPr>
          <w:rFonts w:hint="default" w:ascii="Times New Roman" w:hAnsi="Times New Roman" w:eastAsia="宋体" w:cs="Times New Roman"/>
          <w:snapToGrid w:val="0"/>
          <w:color w:val="FF0000"/>
          <w:kern w:val="2"/>
          <w:sz w:val="24"/>
          <w:szCs w:val="24"/>
          <w:highlight w:val="none"/>
          <w:lang w:val="en-US" w:eastAsia="zh-CN" w:bidi="ar-SA"/>
        </w:rPr>
        <w:t>粪污</w:t>
      </w:r>
      <w:r>
        <w:rPr>
          <w:rFonts w:hint="default" w:ascii="Times New Roman" w:hAnsi="Times New Roman" w:eastAsia="宋体" w:cs="Times New Roman"/>
          <w:snapToGrid w:val="0"/>
          <w:color w:val="FF0000"/>
          <w:kern w:val="2"/>
          <w:sz w:val="24"/>
          <w:szCs w:val="24"/>
          <w:highlight w:val="none"/>
          <w:lang w:val="en-GB" w:eastAsia="zh-CN" w:bidi="ar-SA"/>
        </w:rPr>
        <w:t>车发生翻车事故导致</w:t>
      </w:r>
      <w:r>
        <w:rPr>
          <w:rFonts w:hint="default" w:ascii="Times New Roman" w:hAnsi="Times New Roman" w:eastAsia="宋体" w:cs="Times New Roman"/>
          <w:snapToGrid w:val="0"/>
          <w:color w:val="FF0000"/>
          <w:kern w:val="2"/>
          <w:sz w:val="24"/>
          <w:szCs w:val="24"/>
          <w:highlight w:val="none"/>
          <w:lang w:val="en-US" w:eastAsia="zh-CN" w:bidi="ar-SA"/>
        </w:rPr>
        <w:t>粪污</w:t>
      </w:r>
      <w:r>
        <w:rPr>
          <w:rFonts w:hint="default" w:ascii="Times New Roman" w:hAnsi="Times New Roman" w:eastAsia="宋体" w:cs="Times New Roman"/>
          <w:snapToGrid w:val="0"/>
          <w:color w:val="FF0000"/>
          <w:kern w:val="2"/>
          <w:sz w:val="24"/>
          <w:szCs w:val="24"/>
          <w:highlight w:val="none"/>
          <w:lang w:val="en-GB" w:eastAsia="zh-CN" w:bidi="ar-SA"/>
        </w:rPr>
        <w:t>散逸的可能性很小。本项目提出在天气状况不良的情况下，禁止运输罐车进入道路，对相关人员进行培训，同时要对运输车辆进行车况安全检查，对有安全隐患的车辆在未排除隐患前不许参与运输。在采取了以上保护措施后，本项目运输线路是可行的。</w:t>
      </w:r>
    </w:p>
    <w:p w14:paraId="124D28C0">
      <w:pPr>
        <w:pStyle w:val="40"/>
        <w:keepNext w:val="0"/>
        <w:keepLines w:val="0"/>
        <w:pageBreakBefore w:val="0"/>
        <w:numPr>
          <w:ilvl w:val="0"/>
          <w:numId w:val="0"/>
        </w:numPr>
        <w:wordWrap/>
        <w:overflowPunct/>
        <w:topLinePunct w:val="0"/>
        <w:bidi w:val="0"/>
        <w:adjustRightInd/>
        <w:snapToGrid/>
        <w:spacing w:line="360" w:lineRule="auto"/>
        <w:ind w:left="0" w:leftChars="0" w:firstLine="480" w:firstLineChars="200"/>
        <w:rPr>
          <w:rFonts w:hint="default" w:ascii="Times New Roman" w:hAnsi="Times New Roman" w:eastAsia="宋体" w:cs="Times New Roman"/>
          <w:snapToGrid w:val="0"/>
          <w:color w:val="FF0000"/>
          <w:kern w:val="2"/>
          <w:sz w:val="24"/>
          <w:szCs w:val="24"/>
          <w:highlight w:val="none"/>
          <w:lang w:val="en-US" w:eastAsia="zh-CN" w:bidi="ar-SA"/>
        </w:rPr>
      </w:pPr>
      <w:r>
        <w:rPr>
          <w:rFonts w:hint="default" w:ascii="Times New Roman" w:hAnsi="Times New Roman" w:eastAsia="宋体" w:cs="Times New Roman"/>
          <w:snapToGrid w:val="0"/>
          <w:color w:val="FF0000"/>
          <w:kern w:val="2"/>
          <w:sz w:val="24"/>
          <w:szCs w:val="24"/>
          <w:lang w:val="en-US" w:eastAsia="zh-CN" w:bidi="ar-SA"/>
        </w:rPr>
        <w:t>⑤</w:t>
      </w:r>
      <w:r>
        <w:rPr>
          <w:rFonts w:hint="default" w:ascii="Times New Roman" w:hAnsi="Times New Roman" w:eastAsia="宋体" w:cs="Times New Roman"/>
          <w:snapToGrid w:val="0"/>
          <w:color w:val="FF0000"/>
          <w:kern w:val="2"/>
          <w:sz w:val="24"/>
          <w:szCs w:val="24"/>
          <w:highlight w:val="none"/>
          <w:lang w:val="en-US" w:eastAsia="zh-CN" w:bidi="ar-SA"/>
        </w:rPr>
        <w:t>分娩废物与</w:t>
      </w:r>
      <w:r>
        <w:rPr>
          <w:rFonts w:hint="default" w:ascii="Times New Roman" w:hAnsi="Times New Roman" w:eastAsia="宋体" w:cs="Times New Roman"/>
          <w:snapToGrid w:val="0"/>
          <w:color w:val="FF0000"/>
          <w:kern w:val="2"/>
          <w:sz w:val="24"/>
          <w:szCs w:val="24"/>
          <w:highlight w:val="none"/>
          <w:lang w:val="en-GB" w:eastAsia="zh-CN" w:bidi="ar-SA"/>
        </w:rPr>
        <w:t>病死牛处理</w:t>
      </w:r>
      <w:r>
        <w:rPr>
          <w:rFonts w:hint="default" w:ascii="Times New Roman" w:hAnsi="Times New Roman" w:eastAsia="宋体" w:cs="Times New Roman"/>
          <w:snapToGrid w:val="0"/>
          <w:color w:val="FF0000"/>
          <w:kern w:val="2"/>
          <w:sz w:val="24"/>
          <w:szCs w:val="24"/>
          <w:highlight w:val="none"/>
          <w:lang w:val="en-US" w:eastAsia="zh-CN" w:bidi="ar-SA"/>
        </w:rPr>
        <w:t>可行性</w:t>
      </w:r>
    </w:p>
    <w:p w14:paraId="41E2FCFD">
      <w:pPr>
        <w:pStyle w:val="40"/>
        <w:keepNext w:val="0"/>
        <w:keepLines w:val="0"/>
        <w:pageBreakBefore w:val="0"/>
        <w:numPr>
          <w:ilvl w:val="0"/>
          <w:numId w:val="0"/>
        </w:numPr>
        <w:wordWrap/>
        <w:overflowPunct/>
        <w:topLinePunct w:val="0"/>
        <w:bidi w:val="0"/>
        <w:adjustRightInd/>
        <w:snapToGrid/>
        <w:spacing w:line="360" w:lineRule="auto"/>
        <w:ind w:firstLine="480" w:firstLineChars="200"/>
        <w:rPr>
          <w:rFonts w:hint="default" w:ascii="Times New Roman" w:hAnsi="Times New Roman" w:eastAsia="宋体" w:cs="Times New Roman"/>
          <w:snapToGrid w:val="0"/>
          <w:color w:val="FF0000"/>
          <w:kern w:val="2"/>
          <w:sz w:val="24"/>
          <w:szCs w:val="24"/>
          <w:highlight w:val="none"/>
          <w:lang w:val="en-US" w:eastAsia="zh-CN" w:bidi="ar-SA"/>
        </w:rPr>
      </w:pPr>
      <w:r>
        <w:rPr>
          <w:rFonts w:hint="default" w:ascii="Times New Roman" w:hAnsi="Times New Roman" w:eastAsia="宋体" w:cs="Times New Roman"/>
          <w:snapToGrid w:val="0"/>
          <w:color w:val="FF0000"/>
          <w:kern w:val="2"/>
          <w:sz w:val="24"/>
          <w:szCs w:val="24"/>
          <w:highlight w:val="none"/>
          <w:lang w:val="en-US" w:eastAsia="zh-CN" w:bidi="ar-SA"/>
        </w:rPr>
        <w:t>建设单位委托</w:t>
      </w:r>
      <w:r>
        <w:rPr>
          <w:rFonts w:hint="default" w:ascii="Times New Roman" w:hAnsi="Times New Roman" w:eastAsia="宋体" w:cs="Times New Roman"/>
          <w:color w:val="FF0000"/>
          <w:sz w:val="24"/>
          <w:szCs w:val="24"/>
          <w:lang w:val="en-US" w:eastAsia="zh-CN"/>
        </w:rPr>
        <w:t>双鸭山百奥迈斯生物科技有限公司签订合同（见附件），该公司为桦川百奥迈斯生物科技有限公司子公司，该公司经营范围为病死畜禽无害化处理，动物防疫条件合格证（见附件）；该公司有处理病死牛及分娩废物资质，未处置合理可靠。</w:t>
      </w:r>
    </w:p>
    <w:p w14:paraId="3E37DB42">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Times New Roman" w:cs="Times New Roman"/>
          <w:color w:val="auto"/>
          <w:spacing w:val="-4"/>
          <w:sz w:val="24"/>
          <w:szCs w:val="24"/>
          <w:highlight w:val="none"/>
        </w:rPr>
        <w:t>2</w:t>
      </w:r>
      <w:r>
        <w:rPr>
          <w:rFonts w:hint="default" w:ascii="Times New Roman" w:hAnsi="Times New Roman" w:eastAsia="宋体" w:cs="Times New Roman"/>
          <w:color w:val="auto"/>
          <w:spacing w:val="-4"/>
          <w:sz w:val="24"/>
          <w:szCs w:val="24"/>
          <w:highlight w:val="none"/>
        </w:rPr>
        <w:t>）生活垃圾</w:t>
      </w:r>
    </w:p>
    <w:p w14:paraId="1158C9E8">
      <w:pPr>
        <w:pStyle w:val="11"/>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textAlignment w:val="baseline"/>
        <w:rPr>
          <w:rFonts w:hint="default" w:ascii="Times New Roman" w:hAnsi="Times New Roman" w:cs="Times New Roman"/>
          <w:color w:val="auto"/>
          <w:highlight w:val="none"/>
        </w:rPr>
      </w:pPr>
      <w:r>
        <w:rPr>
          <w:rFonts w:hint="default" w:ascii="Times New Roman" w:hAnsi="Times New Roman" w:eastAsia="宋体" w:cs="Times New Roman"/>
          <w:color w:val="auto"/>
          <w:spacing w:val="-6"/>
          <w:sz w:val="24"/>
          <w:szCs w:val="24"/>
          <w:highlight w:val="none"/>
        </w:rPr>
        <w:t>本项目共有职工</w:t>
      </w:r>
      <w:r>
        <w:rPr>
          <w:rFonts w:hint="default" w:ascii="Times New Roman" w:hAnsi="Times New Roman" w:eastAsia="宋体" w:cs="Times New Roman"/>
          <w:color w:val="auto"/>
          <w:spacing w:val="-6"/>
          <w:sz w:val="24"/>
          <w:szCs w:val="24"/>
          <w:highlight w:val="none"/>
          <w:lang w:val="en-US" w:eastAsia="zh-CN"/>
        </w:rPr>
        <w:t>20</w:t>
      </w:r>
      <w:r>
        <w:rPr>
          <w:rFonts w:hint="default" w:ascii="Times New Roman" w:hAnsi="Times New Roman" w:eastAsia="宋体" w:cs="Times New Roman"/>
          <w:color w:val="auto"/>
          <w:spacing w:val="-6"/>
          <w:sz w:val="24"/>
          <w:szCs w:val="24"/>
          <w:highlight w:val="none"/>
        </w:rPr>
        <w:t>人，生活垃圾按每人每天</w:t>
      </w:r>
      <w:r>
        <w:rPr>
          <w:rFonts w:hint="default" w:ascii="Times New Roman" w:hAnsi="Times New Roman" w:eastAsia="Times New Roman" w:cs="Times New Roman"/>
          <w:color w:val="auto"/>
          <w:spacing w:val="-6"/>
          <w:sz w:val="24"/>
          <w:szCs w:val="24"/>
          <w:highlight w:val="none"/>
        </w:rPr>
        <w:t>0.5k</w:t>
      </w:r>
      <w:r>
        <w:rPr>
          <w:rFonts w:hint="default" w:ascii="Times New Roman" w:hAnsi="Times New Roman" w:eastAsia="Times New Roman" w:cs="Times New Roman"/>
          <w:color w:val="auto"/>
          <w:spacing w:val="-7"/>
          <w:sz w:val="24"/>
          <w:szCs w:val="24"/>
          <w:highlight w:val="none"/>
        </w:rPr>
        <w:t>g</w:t>
      </w:r>
      <w:r>
        <w:rPr>
          <w:rFonts w:hint="default" w:ascii="Times New Roman" w:hAnsi="Times New Roman" w:eastAsia="宋体" w:cs="Times New Roman"/>
          <w:color w:val="auto"/>
          <w:spacing w:val="-7"/>
          <w:sz w:val="24"/>
          <w:szCs w:val="24"/>
          <w:highlight w:val="none"/>
        </w:rPr>
        <w:t>计算，则日产生活垃圾</w:t>
      </w:r>
      <w:r>
        <w:rPr>
          <w:rFonts w:hint="default" w:ascii="Times New Roman" w:hAnsi="Times New Roman" w:eastAsia="Times New Roman" w:cs="Times New Roman"/>
          <w:color w:val="auto"/>
          <w:spacing w:val="-7"/>
          <w:sz w:val="24"/>
          <w:szCs w:val="24"/>
          <w:highlight w:val="none"/>
        </w:rPr>
        <w:t>0.0</w:t>
      </w:r>
      <w:r>
        <w:rPr>
          <w:rFonts w:hint="default" w:ascii="Times New Roman" w:hAnsi="Times New Roman" w:eastAsia="宋体" w:cs="Times New Roman"/>
          <w:color w:val="auto"/>
          <w:spacing w:val="-7"/>
          <w:sz w:val="24"/>
          <w:szCs w:val="24"/>
          <w:highlight w:val="none"/>
          <w:lang w:val="en-US" w:eastAsia="zh-CN"/>
        </w:rPr>
        <w:t>1</w:t>
      </w:r>
      <w:r>
        <w:rPr>
          <w:rFonts w:hint="default" w:ascii="Times New Roman" w:hAnsi="Times New Roman" w:eastAsia="Times New Roman" w:cs="Times New Roman"/>
          <w:color w:val="auto"/>
          <w:spacing w:val="-7"/>
          <w:sz w:val="24"/>
          <w:szCs w:val="24"/>
          <w:highlight w:val="none"/>
        </w:rPr>
        <w:t>t</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宋体" w:cs="Times New Roman"/>
          <w:color w:val="auto"/>
          <w:spacing w:val="-2"/>
          <w:sz w:val="24"/>
          <w:szCs w:val="24"/>
          <w:highlight w:val="none"/>
        </w:rPr>
        <w:t>全年共产生活垃圾</w:t>
      </w:r>
      <w:r>
        <w:rPr>
          <w:rFonts w:hint="default" w:ascii="Times New Roman" w:hAnsi="Times New Roman" w:eastAsia="宋体" w:cs="Times New Roman"/>
          <w:color w:val="auto"/>
          <w:spacing w:val="-2"/>
          <w:sz w:val="24"/>
          <w:szCs w:val="24"/>
          <w:highlight w:val="none"/>
          <w:lang w:val="en-US" w:eastAsia="zh-CN"/>
        </w:rPr>
        <w:t>3.65</w:t>
      </w:r>
      <w:r>
        <w:rPr>
          <w:rFonts w:hint="default" w:ascii="Times New Roman" w:hAnsi="Times New Roman" w:eastAsia="Times New Roman" w:cs="Times New Roman"/>
          <w:color w:val="auto"/>
          <w:spacing w:val="-2"/>
          <w:sz w:val="24"/>
          <w:szCs w:val="24"/>
          <w:highlight w:val="none"/>
        </w:rPr>
        <w:t>t</w:t>
      </w:r>
      <w:r>
        <w:rPr>
          <w:rFonts w:hint="default" w:ascii="Times New Roman" w:hAnsi="Times New Roman" w:eastAsia="宋体" w:cs="Times New Roman"/>
          <w:color w:val="auto"/>
          <w:spacing w:val="-2"/>
          <w:sz w:val="24"/>
          <w:szCs w:val="24"/>
          <w:highlight w:val="none"/>
        </w:rPr>
        <w:t>，场内设置生活垃圾收集装置，生活垃圾暂存后委托当地环</w:t>
      </w:r>
      <w:r>
        <w:rPr>
          <w:rFonts w:hint="default" w:ascii="Times New Roman" w:hAnsi="Times New Roman" w:eastAsia="宋体" w:cs="Times New Roman"/>
          <w:color w:val="auto"/>
          <w:spacing w:val="-6"/>
          <w:sz w:val="24"/>
          <w:szCs w:val="24"/>
          <w:highlight w:val="none"/>
        </w:rPr>
        <w:t>卫部门处置。</w:t>
      </w:r>
    </w:p>
    <w:p w14:paraId="0E5897B6">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2"/>
          <w:sz w:val="24"/>
          <w:szCs w:val="24"/>
          <w:highlight w:val="none"/>
        </w:rPr>
        <w:t>（</w:t>
      </w:r>
      <w:r>
        <w:rPr>
          <w:rFonts w:hint="default" w:ascii="Times New Roman" w:hAnsi="Times New Roman" w:eastAsia="Times New Roman" w:cs="Times New Roman"/>
          <w:color w:val="auto"/>
          <w:spacing w:val="-2"/>
          <w:sz w:val="24"/>
          <w:szCs w:val="24"/>
          <w:highlight w:val="none"/>
        </w:rPr>
        <w:t>3</w:t>
      </w:r>
      <w:r>
        <w:rPr>
          <w:rFonts w:hint="default" w:ascii="Times New Roman" w:hAnsi="Times New Roman" w:eastAsia="宋体" w:cs="Times New Roman"/>
          <w:color w:val="auto"/>
          <w:spacing w:val="-2"/>
          <w:sz w:val="24"/>
          <w:szCs w:val="24"/>
          <w:highlight w:val="none"/>
        </w:rPr>
        <w:t>）病死牛及</w:t>
      </w:r>
      <w:r>
        <w:rPr>
          <w:rFonts w:hint="default" w:ascii="Times New Roman" w:hAnsi="Times New Roman" w:eastAsia="宋体" w:cs="Times New Roman"/>
          <w:color w:val="auto"/>
          <w:spacing w:val="-2"/>
          <w:sz w:val="24"/>
          <w:szCs w:val="24"/>
          <w:highlight w:val="none"/>
          <w:lang w:eastAsia="zh-CN"/>
        </w:rPr>
        <w:t>分娩废物</w:t>
      </w:r>
    </w:p>
    <w:p w14:paraId="5A92F802">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根据《国家危险废物名录》</w:t>
      </w:r>
      <w:r>
        <w:rPr>
          <w:rFonts w:hint="default" w:ascii="Times New Roman" w:hAnsi="Times New Roman" w:eastAsia="Times New Roman" w:cs="Times New Roman"/>
          <w:color w:val="auto"/>
          <w:spacing w:val="-3"/>
          <w:sz w:val="24"/>
          <w:szCs w:val="24"/>
          <w:highlight w:val="none"/>
        </w:rPr>
        <w:t>(2021</w:t>
      </w:r>
      <w:r>
        <w:rPr>
          <w:rFonts w:hint="default" w:ascii="Times New Roman" w:hAnsi="Times New Roman" w:eastAsia="宋体" w:cs="Times New Roman"/>
          <w:color w:val="auto"/>
          <w:spacing w:val="-3"/>
          <w:sz w:val="24"/>
          <w:szCs w:val="24"/>
          <w:highlight w:val="none"/>
        </w:rPr>
        <w:t>年版</w:t>
      </w:r>
      <w:r>
        <w:rPr>
          <w:rFonts w:hint="default" w:ascii="Times New Roman" w:hAnsi="Times New Roman" w:eastAsia="Times New Roman" w:cs="Times New Roman"/>
          <w:color w:val="auto"/>
          <w:spacing w:val="-3"/>
          <w:sz w:val="24"/>
          <w:szCs w:val="24"/>
          <w:highlight w:val="none"/>
        </w:rPr>
        <w:t>)</w:t>
      </w:r>
      <w:r>
        <w:rPr>
          <w:rFonts w:hint="default" w:ascii="Times New Roman" w:hAnsi="Times New Roman" w:eastAsia="宋体" w:cs="Times New Roman"/>
          <w:color w:val="auto"/>
          <w:spacing w:val="-3"/>
          <w:sz w:val="24"/>
          <w:szCs w:val="24"/>
          <w:highlight w:val="none"/>
        </w:rPr>
        <w:t>病死牛不属于危废，根据目前规模化养殖场的管理水平，出现病死牛的</w:t>
      </w:r>
      <w:r>
        <w:rPr>
          <w:rFonts w:hint="default" w:ascii="Times New Roman" w:hAnsi="Times New Roman" w:eastAsia="宋体" w:cs="Times New Roman"/>
          <w:color w:val="auto"/>
          <w:spacing w:val="-3"/>
          <w:sz w:val="24"/>
          <w:szCs w:val="24"/>
          <w:highlight w:val="none"/>
          <w:lang w:eastAsia="zh-CN"/>
        </w:rPr>
        <w:t>概率</w:t>
      </w:r>
      <w:r>
        <w:rPr>
          <w:rFonts w:hint="default" w:ascii="Times New Roman" w:hAnsi="Times New Roman" w:eastAsia="宋体" w:cs="Times New Roman"/>
          <w:color w:val="auto"/>
          <w:spacing w:val="-3"/>
          <w:sz w:val="24"/>
          <w:szCs w:val="24"/>
          <w:highlight w:val="none"/>
        </w:rPr>
        <w:t>和数量较低，为</w:t>
      </w:r>
      <w:r>
        <w:rPr>
          <w:rFonts w:hint="default" w:ascii="Times New Roman" w:hAnsi="Times New Roman" w:eastAsia="Times New Roman" w:cs="Times New Roman"/>
          <w:color w:val="auto"/>
          <w:spacing w:val="-3"/>
          <w:sz w:val="24"/>
          <w:szCs w:val="24"/>
          <w:highlight w:val="none"/>
        </w:rPr>
        <w:t>0.1%</w:t>
      </w:r>
      <w:r>
        <w:rPr>
          <w:rFonts w:hint="default" w:ascii="Times New Roman" w:hAnsi="Times New Roman" w:eastAsia="宋体" w:cs="Times New Roman"/>
          <w:color w:val="auto"/>
          <w:spacing w:val="-3"/>
          <w:sz w:val="24"/>
          <w:szCs w:val="24"/>
          <w:highlight w:val="none"/>
        </w:rPr>
        <w:t>，年产生病死牛</w:t>
      </w:r>
      <w:r>
        <w:rPr>
          <w:rFonts w:hint="default" w:ascii="Times New Roman" w:hAnsi="Times New Roman" w:eastAsia="宋体" w:cs="Times New Roman"/>
          <w:color w:val="auto"/>
          <w:spacing w:val="-3"/>
          <w:sz w:val="24"/>
          <w:szCs w:val="24"/>
          <w:highlight w:val="none"/>
          <w:lang w:val="en-US" w:eastAsia="zh-CN"/>
        </w:rPr>
        <w:t>5头/a，每头病死牛平均体重按300kg计，约1.5t/a；</w:t>
      </w:r>
      <w:r>
        <w:rPr>
          <w:rFonts w:hint="eastAsia" w:ascii="Times New Roman" w:hAnsi="Times New Roman" w:eastAsia="宋体" w:cs="Times New Roman"/>
          <w:color w:val="auto"/>
          <w:spacing w:val="-3"/>
          <w:sz w:val="24"/>
          <w:szCs w:val="24"/>
          <w:highlight w:val="green"/>
          <w:lang w:val="en-US" w:eastAsia="zh-CN"/>
        </w:rPr>
        <w:t>据类比其他养牛场，分娩一只牛犊的分娩废物约为4kg，年生产1000只牛犊，</w:t>
      </w:r>
      <w:r>
        <w:rPr>
          <w:rFonts w:hint="default" w:ascii="Times New Roman" w:hAnsi="Times New Roman" w:eastAsia="宋体" w:cs="Times New Roman"/>
          <w:color w:val="auto"/>
          <w:spacing w:val="-4"/>
          <w:sz w:val="24"/>
          <w:szCs w:val="24"/>
          <w:highlight w:val="green"/>
          <w:lang w:eastAsia="zh-CN"/>
        </w:rPr>
        <w:t>分娩废物</w:t>
      </w:r>
      <w:r>
        <w:rPr>
          <w:rFonts w:hint="default" w:ascii="Times New Roman" w:hAnsi="Times New Roman" w:eastAsia="宋体" w:cs="Times New Roman"/>
          <w:color w:val="auto"/>
          <w:spacing w:val="-4"/>
          <w:sz w:val="24"/>
          <w:szCs w:val="24"/>
          <w:highlight w:val="green"/>
        </w:rPr>
        <w:t>产</w:t>
      </w:r>
      <w:r>
        <w:rPr>
          <w:rFonts w:hint="default" w:ascii="Times New Roman" w:hAnsi="Times New Roman" w:eastAsia="宋体" w:cs="Times New Roman"/>
          <w:color w:val="auto"/>
          <w:spacing w:val="-3"/>
          <w:sz w:val="24"/>
          <w:szCs w:val="24"/>
          <w:highlight w:val="green"/>
        </w:rPr>
        <w:t>生量约为</w:t>
      </w:r>
      <w:r>
        <w:rPr>
          <w:rFonts w:hint="default" w:ascii="Times New Roman" w:hAnsi="Times New Roman" w:eastAsia="宋体" w:cs="Times New Roman"/>
          <w:color w:val="auto"/>
          <w:spacing w:val="-3"/>
          <w:sz w:val="24"/>
          <w:szCs w:val="24"/>
          <w:highlight w:val="green"/>
          <w:lang w:val="en-US" w:eastAsia="zh-CN"/>
        </w:rPr>
        <w:t>4</w:t>
      </w:r>
      <w:r>
        <w:rPr>
          <w:rFonts w:hint="default" w:ascii="Times New Roman" w:hAnsi="Times New Roman" w:eastAsia="Times New Roman" w:cs="Times New Roman"/>
          <w:color w:val="auto"/>
          <w:spacing w:val="-3"/>
          <w:sz w:val="24"/>
          <w:szCs w:val="24"/>
          <w:highlight w:val="green"/>
        </w:rPr>
        <w:t>t/a</w:t>
      </w:r>
      <w:r>
        <w:rPr>
          <w:rFonts w:hint="default" w:ascii="Times New Roman" w:hAnsi="Times New Roman" w:eastAsia="宋体" w:cs="Times New Roman"/>
          <w:color w:val="auto"/>
          <w:spacing w:val="-3"/>
          <w:sz w:val="24"/>
          <w:szCs w:val="24"/>
          <w:highlight w:val="green"/>
        </w:rPr>
        <w:t>。</w:t>
      </w:r>
      <w:r>
        <w:rPr>
          <w:rFonts w:hint="default" w:ascii="Times New Roman" w:hAnsi="Times New Roman" w:eastAsia="宋体" w:cs="Times New Roman"/>
          <w:color w:val="auto"/>
          <w:spacing w:val="-3"/>
          <w:sz w:val="24"/>
          <w:szCs w:val="24"/>
          <w:highlight w:val="none"/>
          <w:lang w:eastAsia="zh-CN"/>
        </w:rPr>
        <w:t>分娩废物</w:t>
      </w:r>
      <w:r>
        <w:rPr>
          <w:rFonts w:hint="default" w:ascii="Times New Roman" w:hAnsi="Times New Roman" w:eastAsia="宋体" w:cs="Times New Roman"/>
          <w:color w:val="auto"/>
          <w:spacing w:val="-3"/>
          <w:sz w:val="24"/>
          <w:szCs w:val="24"/>
          <w:highlight w:val="none"/>
        </w:rPr>
        <w:t>及病死牛</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3"/>
          <w:sz w:val="24"/>
          <w:szCs w:val="24"/>
          <w:highlight w:val="none"/>
        </w:rPr>
        <w:t>委托</w:t>
      </w:r>
      <w:r>
        <w:rPr>
          <w:rFonts w:hint="default" w:ascii="Times New Roman" w:hAnsi="Times New Roman" w:eastAsia="宋体" w:cs="Times New Roman"/>
          <w:color w:val="FF0000"/>
          <w:sz w:val="24"/>
          <w:szCs w:val="24"/>
          <w:lang w:val="en-US" w:eastAsia="zh-CN"/>
        </w:rPr>
        <w:t>双鸭山百奥迈斯生物科技有限公司</w:t>
      </w:r>
      <w:r>
        <w:rPr>
          <w:rFonts w:hint="default" w:ascii="Times New Roman" w:hAnsi="Times New Roman" w:eastAsia="宋体" w:cs="Times New Roman"/>
          <w:color w:val="auto"/>
          <w:spacing w:val="-3"/>
          <w:sz w:val="24"/>
          <w:szCs w:val="24"/>
          <w:highlight w:val="none"/>
        </w:rPr>
        <w:t>处置。</w:t>
      </w:r>
    </w:p>
    <w:p w14:paraId="6A856D27">
      <w:pPr>
        <w:pageBreakBefore w:val="0"/>
        <w:kinsoku/>
        <w:wordWrap/>
        <w:overflowPunct/>
        <w:topLinePunct w:val="0"/>
        <w:autoSpaceDE/>
        <w:autoSpaceDN/>
        <w:bidi w:val="0"/>
        <w:adjustRightInd/>
        <w:snapToGrid/>
        <w:spacing w:line="360" w:lineRule="auto"/>
        <w:contextualSpacing/>
        <w:textAlignment w:val="auto"/>
        <w:outlineLvl w:val="3"/>
        <w:rPr>
          <w:rFonts w:hint="default" w:ascii="Times New Roman" w:hAnsi="Times New Roman" w:eastAsia="宋体" w:cs="Times New Roman"/>
          <w:b/>
          <w:bCs/>
          <w:color w:val="auto"/>
          <w:sz w:val="24"/>
          <w:szCs w:val="24"/>
          <w:highlight w:val="none"/>
          <w:lang w:val="zh-CN"/>
        </w:rPr>
      </w:pPr>
      <w:r>
        <w:rPr>
          <w:rFonts w:hint="default" w:ascii="Times New Roman" w:hAnsi="Times New Roman" w:eastAsia="宋体" w:cs="Times New Roman"/>
          <w:b/>
          <w:bCs/>
          <w:color w:val="auto"/>
          <w:sz w:val="24"/>
          <w:szCs w:val="24"/>
          <w:highlight w:val="none"/>
          <w:lang w:val="zh-CN"/>
        </w:rPr>
        <w:t>6.2.4.2医疗废物处置措施</w:t>
      </w:r>
    </w:p>
    <w:p w14:paraId="330462E6">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w:t>
      </w:r>
      <w:r>
        <w:rPr>
          <w:rFonts w:hint="default" w:ascii="Times New Roman" w:hAnsi="Times New Roman" w:eastAsia="宋体" w:cs="Times New Roman"/>
          <w:color w:val="auto"/>
          <w:spacing w:val="-4"/>
          <w:sz w:val="24"/>
          <w:szCs w:val="24"/>
          <w:highlight w:val="none"/>
          <w:lang w:val="en-US" w:eastAsia="zh-CN"/>
        </w:rPr>
        <w:t>1</w:t>
      </w:r>
      <w:r>
        <w:rPr>
          <w:rFonts w:hint="default" w:ascii="Times New Roman" w:hAnsi="Times New Roman" w:eastAsia="宋体" w:cs="Times New Roman"/>
          <w:color w:val="auto"/>
          <w:spacing w:val="-4"/>
          <w:sz w:val="24"/>
          <w:szCs w:val="24"/>
          <w:highlight w:val="none"/>
        </w:rPr>
        <w:t>）医疗废物</w:t>
      </w:r>
    </w:p>
    <w:p w14:paraId="348765F4">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pacing w:val="-3"/>
          <w:sz w:val="24"/>
          <w:szCs w:val="24"/>
          <w:highlight w:val="green"/>
          <w:lang w:val="en-US" w:eastAsia="zh-CN"/>
        </w:rPr>
      </w:pPr>
      <w:r>
        <w:rPr>
          <w:rFonts w:hint="default" w:ascii="Times New Roman" w:hAnsi="Times New Roman" w:eastAsia="宋体" w:cs="Times New Roman"/>
          <w:color w:val="auto"/>
          <w:spacing w:val="-3"/>
          <w:sz w:val="24"/>
          <w:szCs w:val="24"/>
          <w:highlight w:val="green"/>
          <w:lang w:val="en-US" w:eastAsia="zh-CN"/>
        </w:rPr>
        <w:t>肉牛在生长过程接种免疫或发病期接受治疗会产生少量的医疗废物，主要 有各种疫苗空瓶、抗生药物的瓶、袋、废消毒包装物等，使用量视当年疫病发生情况有所不同，类比其他养牛场合计约 0.</w:t>
      </w:r>
      <w:r>
        <w:rPr>
          <w:rFonts w:hint="eastAsia" w:ascii="Times New Roman" w:hAnsi="Times New Roman" w:eastAsia="宋体" w:cs="Times New Roman"/>
          <w:color w:val="auto"/>
          <w:spacing w:val="-3"/>
          <w:sz w:val="24"/>
          <w:szCs w:val="24"/>
          <w:highlight w:val="green"/>
          <w:lang w:val="en-US" w:eastAsia="zh-CN"/>
        </w:rPr>
        <w:t>2</w:t>
      </w:r>
      <w:r>
        <w:rPr>
          <w:rFonts w:hint="default" w:ascii="Times New Roman" w:hAnsi="Times New Roman" w:eastAsia="宋体" w:cs="Times New Roman"/>
          <w:color w:val="auto"/>
          <w:spacing w:val="-3"/>
          <w:sz w:val="24"/>
          <w:szCs w:val="24"/>
          <w:highlight w:val="green"/>
          <w:lang w:val="en-US" w:eastAsia="zh-CN"/>
        </w:rPr>
        <w:t>t/a。</w:t>
      </w:r>
    </w:p>
    <w:p w14:paraId="242020C6">
      <w:pPr>
        <w:keepNext w:val="0"/>
        <w:keepLines w:val="0"/>
        <w:pageBreakBefore w:val="0"/>
        <w:widowControl/>
        <w:kinsoku/>
        <w:wordWrap w:val="0"/>
        <w:overflowPunct/>
        <w:topLinePunct/>
        <w:autoSpaceDE/>
        <w:autoSpaceDN/>
        <w:bidi w:val="0"/>
        <w:adjustRightInd/>
        <w:snapToGrid w:val="0"/>
        <w:spacing w:line="360" w:lineRule="auto"/>
        <w:ind w:left="0" w:firstLine="482"/>
        <w:jc w:val="both"/>
        <w:textAlignment w:val="baseline"/>
        <w:rPr>
          <w:rFonts w:hint="default" w:ascii="Times New Roman" w:hAnsi="Times New Roman" w:eastAsia="宋体" w:cs="Times New Roman"/>
          <w:color w:val="auto"/>
          <w:spacing w:val="-1"/>
          <w:sz w:val="24"/>
          <w:szCs w:val="24"/>
          <w:highlight w:val="none"/>
        </w:rPr>
      </w:pPr>
      <w:r>
        <w:rPr>
          <w:rFonts w:hint="default" w:ascii="Times New Roman" w:hAnsi="Times New Roman" w:eastAsia="宋体" w:cs="Times New Roman"/>
          <w:color w:val="auto"/>
          <w:spacing w:val="-3"/>
          <w:sz w:val="24"/>
          <w:szCs w:val="24"/>
          <w:highlight w:val="none"/>
        </w:rPr>
        <w:t>根据《国家危险废</w:t>
      </w:r>
      <w:r>
        <w:rPr>
          <w:rFonts w:hint="default" w:ascii="Times New Roman" w:hAnsi="Times New Roman" w:eastAsia="宋体" w:cs="Times New Roman"/>
          <w:color w:val="auto"/>
          <w:spacing w:val="1"/>
          <w:sz w:val="24"/>
          <w:szCs w:val="24"/>
          <w:highlight w:val="none"/>
        </w:rPr>
        <w:t>物名录》（</w:t>
      </w:r>
      <w:r>
        <w:rPr>
          <w:rFonts w:hint="default" w:ascii="Times New Roman" w:hAnsi="Times New Roman" w:eastAsia="Times New Roman" w:cs="Times New Roman"/>
          <w:color w:val="auto"/>
          <w:spacing w:val="1"/>
          <w:sz w:val="24"/>
          <w:szCs w:val="24"/>
          <w:highlight w:val="none"/>
        </w:rPr>
        <w:t>2021</w:t>
      </w:r>
      <w:r>
        <w:rPr>
          <w:rFonts w:hint="default" w:ascii="Times New Roman" w:hAnsi="Times New Roman" w:eastAsia="宋体" w:cs="Times New Roman"/>
          <w:color w:val="auto"/>
          <w:spacing w:val="1"/>
          <w:sz w:val="24"/>
          <w:szCs w:val="24"/>
          <w:highlight w:val="none"/>
        </w:rPr>
        <w:t>年版</w:t>
      </w:r>
      <w:r>
        <w:rPr>
          <w:rFonts w:hint="default" w:ascii="Times New Roman" w:hAnsi="Times New Roman" w:eastAsia="宋体" w:cs="Times New Roman"/>
          <w:color w:val="auto"/>
          <w:spacing w:val="17"/>
          <w:sz w:val="24"/>
          <w:szCs w:val="24"/>
          <w:highlight w:val="none"/>
        </w:rPr>
        <w:t>），</w:t>
      </w:r>
      <w:r>
        <w:rPr>
          <w:rFonts w:hint="default" w:ascii="Times New Roman" w:hAnsi="Times New Roman" w:eastAsia="宋体" w:cs="Times New Roman"/>
          <w:color w:val="auto"/>
          <w:spacing w:val="1"/>
          <w:sz w:val="24"/>
          <w:szCs w:val="24"/>
          <w:highlight w:val="none"/>
        </w:rPr>
        <w:t>废注射器和废药瓶属于</w:t>
      </w:r>
      <w:r>
        <w:rPr>
          <w:rFonts w:hint="default" w:ascii="Times New Roman" w:hAnsi="Times New Roman" w:eastAsia="Times New Roman" w:cs="Times New Roman"/>
          <w:color w:val="auto"/>
          <w:sz w:val="24"/>
          <w:szCs w:val="24"/>
          <w:highlight w:val="none"/>
        </w:rPr>
        <w:t>HW</w:t>
      </w:r>
      <w:r>
        <w:rPr>
          <w:rFonts w:hint="default" w:ascii="Times New Roman" w:hAnsi="Times New Roman" w:eastAsia="Times New Roman" w:cs="Times New Roman"/>
          <w:color w:val="auto"/>
          <w:spacing w:val="1"/>
          <w:sz w:val="24"/>
          <w:szCs w:val="24"/>
          <w:highlight w:val="none"/>
        </w:rPr>
        <w:t>01</w:t>
      </w:r>
      <w:r>
        <w:rPr>
          <w:rFonts w:hint="default" w:ascii="Times New Roman" w:hAnsi="Times New Roman" w:eastAsia="宋体" w:cs="Times New Roman"/>
          <w:color w:val="auto"/>
          <w:spacing w:val="1"/>
          <w:sz w:val="24"/>
          <w:szCs w:val="24"/>
          <w:highlight w:val="none"/>
        </w:rPr>
        <w:t>类危险废物，废物代码为</w:t>
      </w:r>
      <w:r>
        <w:rPr>
          <w:rFonts w:hint="default" w:ascii="Times New Roman" w:hAnsi="Times New Roman" w:eastAsia="Times New Roman" w:cs="Times New Roman"/>
          <w:color w:val="auto"/>
          <w:spacing w:val="-1"/>
          <w:sz w:val="24"/>
          <w:szCs w:val="24"/>
          <w:highlight w:val="none"/>
        </w:rPr>
        <w:t>841-001-01</w:t>
      </w:r>
      <w:r>
        <w:rPr>
          <w:rFonts w:hint="default" w:ascii="Times New Roman" w:hAnsi="Times New Roman" w:eastAsia="宋体" w:cs="Times New Roman"/>
          <w:color w:val="auto"/>
          <w:spacing w:val="-1"/>
          <w:sz w:val="24"/>
          <w:szCs w:val="24"/>
          <w:highlight w:val="none"/>
        </w:rPr>
        <w:t>，于医疗废物暂存间暂存，定期交</w:t>
      </w:r>
      <w:r>
        <w:rPr>
          <w:rFonts w:hint="default" w:ascii="Times New Roman" w:hAnsi="Times New Roman" w:eastAsia="宋体" w:cs="Times New Roman"/>
          <w:color w:val="auto"/>
          <w:spacing w:val="-2"/>
          <w:sz w:val="24"/>
          <w:szCs w:val="24"/>
          <w:highlight w:val="none"/>
        </w:rPr>
        <w:t>给有资质单位处理。</w:t>
      </w:r>
      <w:r>
        <w:rPr>
          <w:rFonts w:hint="default" w:ascii="Times New Roman" w:hAnsi="Times New Roman" w:eastAsia="宋体" w:cs="Times New Roman"/>
          <w:color w:val="auto"/>
          <w:spacing w:val="-3"/>
          <w:sz w:val="24"/>
          <w:szCs w:val="24"/>
          <w:highlight w:val="none"/>
        </w:rPr>
        <w:t>评价要求场区内建设具备“三防”措施的危废暂存间，并设置医疗危险废物识别标志。</w:t>
      </w:r>
    </w:p>
    <w:p w14:paraId="64C6B89F">
      <w:pPr>
        <w:pStyle w:val="40"/>
        <w:keepNext w:val="0"/>
        <w:keepLines w:val="0"/>
        <w:pageBreakBefore w:val="0"/>
        <w:widowControl/>
        <w:kinsoku/>
        <w:wordWrap w:val="0"/>
        <w:overflowPunct/>
        <w:topLinePunct/>
        <w:autoSpaceDE/>
        <w:autoSpaceDN/>
        <w:bidi w:val="0"/>
        <w:spacing w:line="360" w:lineRule="auto"/>
        <w:ind w:firstLine="480" w:firstLineChars="200"/>
        <w:textAlignment w:val="baseline"/>
        <w:rPr>
          <w:rFonts w:hint="default"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医疗废物属于危险废物，单独收集于医疗废物暂存间，交有资质单位处置，不得自行处置。</w:t>
      </w:r>
    </w:p>
    <w:p w14:paraId="36A5A9A4">
      <w:pPr>
        <w:pStyle w:val="40"/>
        <w:keepNext w:val="0"/>
        <w:keepLines w:val="0"/>
        <w:pageBreakBefore w:val="0"/>
        <w:widowControl/>
        <w:kinsoku/>
        <w:wordWrap w:val="0"/>
        <w:overflowPunct/>
        <w:topLinePunct/>
        <w:autoSpaceDE/>
        <w:autoSpaceDN/>
        <w:bidi w:val="0"/>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危险废物的贮存执行《医疗废物处理处置污染控制标准》（GB 39707-2020）及《危险废物贮存污染控制标准》</w:t>
      </w:r>
      <w:r>
        <w:rPr>
          <w:rFonts w:hint="default" w:ascii="Times New Roman" w:hAnsi="Times New Roman" w:eastAsia="宋体" w:cs="Times New Roman"/>
          <w:color w:val="auto"/>
          <w:spacing w:val="-2"/>
          <w:sz w:val="24"/>
          <w:szCs w:val="24"/>
          <w:highlight w:val="none"/>
          <w:lang w:val="en-US" w:eastAsia="zh-CN"/>
        </w:rPr>
        <w:t>（GB18597-2023）</w:t>
      </w:r>
      <w:r>
        <w:rPr>
          <w:rFonts w:hint="default" w:ascii="Times New Roman" w:hAnsi="Times New Roman" w:eastAsia="宋体" w:cs="Times New Roman"/>
          <w:color w:val="auto"/>
          <w:sz w:val="24"/>
          <w:szCs w:val="24"/>
          <w:highlight w:val="none"/>
        </w:rPr>
        <w:t>的有关规定，收集、运输、包装等应符合《危险废物污染防治技术政策》中的有关规定。</w:t>
      </w:r>
    </w:p>
    <w:p w14:paraId="0C69D86A">
      <w:pPr>
        <w:pStyle w:val="40"/>
        <w:keepNext w:val="0"/>
        <w:keepLines w:val="0"/>
        <w:pageBreakBefore w:val="0"/>
        <w:widowControl/>
        <w:kinsoku/>
        <w:wordWrap w:val="0"/>
        <w:overflowPunct/>
        <w:topLinePunct/>
        <w:autoSpaceDE/>
        <w:autoSpaceDN/>
        <w:bidi w:val="0"/>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1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①</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医疗废物暂存防治措施</w:t>
      </w:r>
    </w:p>
    <w:p w14:paraId="29D347BE">
      <w:pPr>
        <w:pStyle w:val="11"/>
        <w:keepNext w:val="0"/>
        <w:keepLines w:val="0"/>
        <w:pageBreakBefore w:val="0"/>
        <w:widowControl/>
        <w:kinsoku/>
        <w:wordWrap w:val="0"/>
        <w:overflowPunct/>
        <w:topLinePunct/>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本项目在场区北侧已设置专门的医疗废物暂存间，用于医疗废物暂存。本次环评要求将现有工程的医疗废物暂存间的设置按照《医疗废物处理处置污染控制标准》（GB 39707-2020）及《危险废物贮存污染控制标准》</w:t>
      </w:r>
      <w:r>
        <w:rPr>
          <w:rFonts w:hint="default" w:ascii="Times New Roman" w:hAnsi="Times New Roman" w:eastAsia="宋体" w:cs="Times New Roman"/>
          <w:color w:val="auto"/>
          <w:spacing w:val="-2"/>
          <w:sz w:val="24"/>
          <w:szCs w:val="24"/>
          <w:highlight w:val="none"/>
          <w:lang w:val="en-US" w:eastAsia="zh-CN"/>
        </w:rPr>
        <w:t>（GB18597-2023）</w:t>
      </w:r>
      <w:r>
        <w:rPr>
          <w:rFonts w:hint="default" w:ascii="Times New Roman" w:hAnsi="Times New Roman" w:eastAsia="宋体" w:cs="Times New Roman"/>
          <w:color w:val="auto"/>
          <w:sz w:val="24"/>
          <w:szCs w:val="24"/>
          <w:highlight w:val="none"/>
        </w:rPr>
        <w:t>的要求进行。医疗废物暂存间地面进行防渗；地面与裙脚要用坚固、防渗的材料建造，建筑材料必须与医疗废物相容；必须有泄漏液体收集装置；按照《危险废物识别标志设置技术规范》（HJ 1276-2022）的规定设置警示标志等。</w:t>
      </w:r>
    </w:p>
    <w:p w14:paraId="25B0C89F">
      <w:pPr>
        <w:pStyle w:val="44"/>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0" distR="0">
            <wp:extent cx="5278120" cy="3340735"/>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6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278120" cy="3340735"/>
                    </a:xfrm>
                    <a:prstGeom prst="rect">
                      <a:avLst/>
                    </a:prstGeom>
                    <a:noFill/>
                    <a:ln>
                      <a:noFill/>
                    </a:ln>
                  </pic:spPr>
                </pic:pic>
              </a:graphicData>
            </a:graphic>
          </wp:inline>
        </w:drawing>
      </w:r>
    </w:p>
    <w:p w14:paraId="15172442">
      <w:pPr>
        <w:pStyle w:val="44"/>
        <w:rPr>
          <w:rFonts w:hint="default" w:ascii="Times New Roman" w:hAnsi="Times New Roman" w:eastAsia="宋体" w:cs="Times New Roman"/>
          <w:b/>
          <w:bCs/>
          <w:color w:val="auto"/>
          <w:sz w:val="24"/>
          <w:szCs w:val="24"/>
          <w:highlight w:val="none"/>
          <w:lang w:eastAsia="zh-CN"/>
        </w:rPr>
      </w:pPr>
      <w:r>
        <w:rPr>
          <w:rFonts w:hint="default" w:ascii="Times New Roman" w:hAnsi="Times New Roman" w:eastAsia="宋体" w:cs="Times New Roman"/>
          <w:b/>
          <w:bCs/>
          <w:color w:val="auto"/>
          <w:sz w:val="24"/>
          <w:szCs w:val="24"/>
          <w:highlight w:val="none"/>
          <w:lang w:eastAsia="zh-CN"/>
        </w:rPr>
        <w:t>图6-2-</w:t>
      </w:r>
      <w:r>
        <w:rPr>
          <w:rFonts w:hint="default" w:ascii="Times New Roman" w:hAnsi="Times New Roman" w:eastAsia="宋体" w:cs="Times New Roman"/>
          <w:b/>
          <w:bCs/>
          <w:color w:val="auto"/>
          <w:sz w:val="24"/>
          <w:szCs w:val="24"/>
          <w:highlight w:val="none"/>
          <w:lang w:val="en-US" w:eastAsia="zh-CN"/>
        </w:rPr>
        <w:t>1</w:t>
      </w:r>
      <w:r>
        <w:rPr>
          <w:rFonts w:hint="default" w:ascii="Times New Roman" w:hAnsi="Times New Roman" w:eastAsia="宋体" w:cs="Times New Roman"/>
          <w:b/>
          <w:bCs/>
          <w:color w:val="auto"/>
          <w:sz w:val="24"/>
          <w:szCs w:val="24"/>
          <w:highlight w:val="none"/>
          <w:lang w:eastAsia="zh-CN"/>
        </w:rPr>
        <w:t xml:space="preserve"> 危险废物贮存设施标志样例</w:t>
      </w:r>
    </w:p>
    <w:p w14:paraId="2D81D534">
      <w:pPr>
        <w:pStyle w:val="11"/>
        <w:keepNext w:val="0"/>
        <w:keepLines w:val="0"/>
        <w:pageBreakBefore w:val="0"/>
        <w:widowControl/>
        <w:kinsoku/>
        <w:wordWrap w:val="0"/>
        <w:overflowPunct/>
        <w:topLinePunct/>
        <w:autoSpaceDE/>
        <w:autoSpaceDN/>
        <w:bidi w:val="0"/>
        <w:adjustRightInd w:val="0"/>
        <w:snapToGrid w:val="0"/>
        <w:spacing w:line="360" w:lineRule="auto"/>
        <w:ind w:firstLine="468" w:firstLineChars="200"/>
        <w:textAlignment w:val="baseline"/>
        <w:rPr>
          <w:rFonts w:hint="default" w:ascii="Times New Roman" w:hAnsi="Times New Roman" w:cs="Times New Roman"/>
          <w:color w:val="auto"/>
          <w:highlight w:val="none"/>
        </w:rPr>
      </w:pPr>
      <w:r>
        <w:rPr>
          <w:rFonts w:hint="default" w:ascii="Times New Roman" w:hAnsi="Times New Roman" w:eastAsia="宋体" w:cs="Times New Roman"/>
          <w:color w:val="auto"/>
          <w:spacing w:val="-3"/>
          <w:sz w:val="24"/>
          <w:szCs w:val="24"/>
          <w:highlight w:val="none"/>
        </w:rPr>
        <w:t>项目防疫过程产生的废注射器和废药瓶产生量约为</w:t>
      </w:r>
      <w:r>
        <w:rPr>
          <w:rFonts w:hint="default" w:ascii="Times New Roman" w:hAnsi="Times New Roman" w:eastAsia="宋体" w:cs="Times New Roman"/>
          <w:color w:val="auto"/>
          <w:spacing w:val="-3"/>
          <w:sz w:val="24"/>
          <w:szCs w:val="24"/>
          <w:highlight w:val="none"/>
          <w:lang w:val="en-US" w:eastAsia="zh-CN"/>
        </w:rPr>
        <w:t>0.2</w:t>
      </w:r>
      <w:r>
        <w:rPr>
          <w:rFonts w:hint="default" w:ascii="Times New Roman" w:hAnsi="Times New Roman" w:eastAsia="Times New Roman" w:cs="Times New Roman"/>
          <w:color w:val="auto"/>
          <w:spacing w:val="-3"/>
          <w:sz w:val="24"/>
          <w:szCs w:val="24"/>
          <w:highlight w:val="none"/>
        </w:rPr>
        <w:t>t/a</w:t>
      </w:r>
      <w:r>
        <w:rPr>
          <w:rFonts w:hint="default" w:ascii="Times New Roman" w:hAnsi="Times New Roman" w:eastAsia="宋体" w:cs="Times New Roman"/>
          <w:color w:val="auto"/>
          <w:spacing w:val="-3"/>
          <w:sz w:val="24"/>
          <w:szCs w:val="24"/>
          <w:highlight w:val="none"/>
        </w:rPr>
        <w:t>，根据《国家危险废物</w:t>
      </w:r>
      <w:r>
        <w:rPr>
          <w:rFonts w:hint="default" w:ascii="Times New Roman" w:hAnsi="Times New Roman" w:eastAsia="宋体" w:cs="Times New Roman"/>
          <w:color w:val="auto"/>
          <w:spacing w:val="-7"/>
          <w:sz w:val="24"/>
          <w:szCs w:val="24"/>
          <w:highlight w:val="none"/>
        </w:rPr>
        <w:t>名录》（</w:t>
      </w:r>
      <w:r>
        <w:rPr>
          <w:rFonts w:hint="default" w:ascii="Times New Roman" w:hAnsi="Times New Roman" w:eastAsia="Times New Roman" w:cs="Times New Roman"/>
          <w:color w:val="auto"/>
          <w:spacing w:val="-7"/>
          <w:sz w:val="24"/>
          <w:szCs w:val="24"/>
          <w:highlight w:val="none"/>
        </w:rPr>
        <w:t>2021</w:t>
      </w:r>
      <w:r>
        <w:rPr>
          <w:rFonts w:hint="default" w:ascii="Times New Roman" w:hAnsi="Times New Roman" w:eastAsia="宋体" w:cs="Times New Roman"/>
          <w:color w:val="auto"/>
          <w:spacing w:val="-7"/>
          <w:sz w:val="24"/>
          <w:szCs w:val="24"/>
          <w:highlight w:val="none"/>
        </w:rPr>
        <w:t>年版</w:t>
      </w:r>
      <w:r>
        <w:rPr>
          <w:rFonts w:hint="default" w:ascii="Times New Roman" w:hAnsi="Times New Roman" w:eastAsia="宋体" w:cs="Times New Roman"/>
          <w:color w:val="auto"/>
          <w:spacing w:val="-35"/>
          <w:w w:val="56"/>
          <w:sz w:val="24"/>
          <w:szCs w:val="24"/>
          <w:highlight w:val="none"/>
        </w:rPr>
        <w:t>），</w:t>
      </w:r>
      <w:r>
        <w:rPr>
          <w:rFonts w:hint="default" w:ascii="Times New Roman" w:hAnsi="Times New Roman" w:eastAsia="宋体" w:cs="Times New Roman"/>
          <w:color w:val="auto"/>
          <w:spacing w:val="-7"/>
          <w:sz w:val="24"/>
          <w:szCs w:val="24"/>
          <w:highlight w:val="none"/>
        </w:rPr>
        <w:t>废注射器和废药瓶属于</w:t>
      </w:r>
      <w:r>
        <w:rPr>
          <w:rFonts w:hint="default" w:ascii="Times New Roman" w:hAnsi="Times New Roman" w:eastAsia="Times New Roman" w:cs="Times New Roman"/>
          <w:color w:val="auto"/>
          <w:spacing w:val="-7"/>
          <w:sz w:val="24"/>
          <w:szCs w:val="24"/>
          <w:highlight w:val="none"/>
        </w:rPr>
        <w:t>HW01</w:t>
      </w:r>
      <w:r>
        <w:rPr>
          <w:rFonts w:hint="default" w:ascii="Times New Roman" w:hAnsi="Times New Roman" w:eastAsia="宋体" w:cs="Times New Roman"/>
          <w:color w:val="auto"/>
          <w:spacing w:val="-7"/>
          <w:sz w:val="24"/>
          <w:szCs w:val="24"/>
          <w:highlight w:val="none"/>
        </w:rPr>
        <w:t>类危险废物，废物代码为</w:t>
      </w:r>
      <w:r>
        <w:rPr>
          <w:rFonts w:hint="default" w:ascii="Times New Roman" w:hAnsi="Times New Roman" w:eastAsia="Times New Roman" w:cs="Times New Roman"/>
          <w:color w:val="auto"/>
          <w:spacing w:val="-7"/>
          <w:sz w:val="24"/>
          <w:szCs w:val="24"/>
          <w:highlight w:val="none"/>
        </w:rPr>
        <w:t>841-001-01</w:t>
      </w:r>
      <w:r>
        <w:rPr>
          <w:rFonts w:hint="default" w:ascii="Times New Roman" w:hAnsi="Times New Roman" w:eastAsia="宋体" w:cs="Times New Roman"/>
          <w:color w:val="auto"/>
          <w:spacing w:val="-7"/>
          <w:sz w:val="24"/>
          <w:szCs w:val="24"/>
          <w:highlight w:val="none"/>
        </w:rPr>
        <w:t>，</w:t>
      </w:r>
      <w:r>
        <w:rPr>
          <w:rFonts w:hint="default" w:ascii="Times New Roman" w:hAnsi="Times New Roman" w:eastAsia="宋体" w:cs="Times New Roman"/>
          <w:color w:val="auto"/>
          <w:spacing w:val="-3"/>
          <w:sz w:val="24"/>
          <w:szCs w:val="24"/>
          <w:highlight w:val="none"/>
        </w:rPr>
        <w:t>应设置一个独立的空间，同时设置一个专用暂时贮存柜</w:t>
      </w:r>
      <w:r>
        <w:rPr>
          <w:rFonts w:hint="default" w:ascii="Times New Roman" w:hAnsi="Times New Roman" w:eastAsia="宋体" w:cs="Times New Roman"/>
          <w:color w:val="auto"/>
          <w:spacing w:val="-4"/>
          <w:sz w:val="24"/>
          <w:szCs w:val="24"/>
          <w:highlight w:val="none"/>
        </w:rPr>
        <w:t>（箱）进行暂存，本项目设一</w:t>
      </w:r>
      <w:r>
        <w:rPr>
          <w:rFonts w:hint="default" w:ascii="Times New Roman" w:hAnsi="Times New Roman" w:eastAsia="宋体" w:cs="Times New Roman"/>
          <w:color w:val="auto"/>
          <w:spacing w:val="-2"/>
          <w:sz w:val="24"/>
          <w:szCs w:val="24"/>
          <w:highlight w:val="none"/>
        </w:rPr>
        <w:t>间医疗废物暂存间，建筑面积</w:t>
      </w:r>
      <w:r>
        <w:rPr>
          <w:rFonts w:hint="eastAsia" w:ascii="Times New Roman" w:hAnsi="Times New Roman" w:eastAsia="宋体" w:cs="Times New Roman"/>
          <w:color w:val="auto"/>
          <w:spacing w:val="-2"/>
          <w:sz w:val="24"/>
          <w:szCs w:val="24"/>
          <w:highlight w:val="none"/>
          <w:lang w:val="en-US" w:eastAsia="zh-CN"/>
        </w:rPr>
        <w:t>20</w:t>
      </w:r>
      <w:r>
        <w:rPr>
          <w:rFonts w:hint="default" w:ascii="Times New Roman" w:hAnsi="Times New Roman" w:eastAsia="Times New Roman" w:cs="Times New Roman"/>
          <w:color w:val="auto"/>
          <w:spacing w:val="-2"/>
          <w:sz w:val="24"/>
          <w:szCs w:val="24"/>
          <w:highlight w:val="none"/>
        </w:rPr>
        <w:t>m</w:t>
      </w:r>
      <w:r>
        <w:rPr>
          <w:rFonts w:hint="default" w:ascii="Times New Roman" w:hAnsi="Times New Roman" w:eastAsia="Times New Roman" w:cs="Times New Roman"/>
          <w:color w:val="auto"/>
          <w:spacing w:val="-2"/>
          <w:position w:val="10"/>
          <w:sz w:val="16"/>
          <w:szCs w:val="16"/>
          <w:highlight w:val="none"/>
        </w:rPr>
        <w:t>2</w:t>
      </w:r>
      <w:r>
        <w:rPr>
          <w:rFonts w:hint="default" w:ascii="Times New Roman" w:hAnsi="Times New Roman" w:eastAsia="宋体" w:cs="Times New Roman"/>
          <w:color w:val="auto"/>
          <w:spacing w:val="-2"/>
          <w:sz w:val="24"/>
          <w:szCs w:val="24"/>
          <w:highlight w:val="none"/>
        </w:rPr>
        <w:t>，暂存设施符合《危险废物贮存污染控制标准》</w:t>
      </w:r>
      <w:r>
        <w:rPr>
          <w:rFonts w:hint="default" w:ascii="Times New Roman" w:hAnsi="Times New Roman" w:eastAsia="宋体" w:cs="Times New Roman"/>
          <w:color w:val="auto"/>
          <w:spacing w:val="-2"/>
          <w:sz w:val="24"/>
          <w:szCs w:val="24"/>
          <w:highlight w:val="none"/>
          <w:lang w:val="en-US" w:eastAsia="zh-CN"/>
        </w:rPr>
        <w:t>（GB18597-2023）</w:t>
      </w:r>
      <w:r>
        <w:rPr>
          <w:rFonts w:hint="default" w:ascii="Times New Roman" w:hAnsi="Times New Roman" w:eastAsia="宋体" w:cs="Times New Roman"/>
          <w:color w:val="auto"/>
          <w:spacing w:val="-1"/>
          <w:sz w:val="24"/>
          <w:szCs w:val="24"/>
          <w:highlight w:val="none"/>
        </w:rPr>
        <w:t>，并由有资质单位处理。按照《建设项目危险</w:t>
      </w:r>
      <w:r>
        <w:rPr>
          <w:rFonts w:hint="default" w:ascii="Times New Roman" w:hAnsi="Times New Roman" w:eastAsia="宋体" w:cs="Times New Roman"/>
          <w:color w:val="auto"/>
          <w:sz w:val="24"/>
          <w:szCs w:val="24"/>
          <w:highlight w:val="none"/>
        </w:rPr>
        <w:t>废物环境影响评价指南》表</w:t>
      </w:r>
      <w:r>
        <w:rPr>
          <w:rFonts w:hint="default" w:ascii="Times New Roman" w:hAnsi="Times New Roman" w:eastAsia="Times New Roman" w:cs="Times New Roman"/>
          <w:color w:val="auto"/>
          <w:sz w:val="24"/>
          <w:szCs w:val="24"/>
          <w:highlight w:val="none"/>
        </w:rPr>
        <w:t>2</w:t>
      </w:r>
      <w:r>
        <w:rPr>
          <w:rFonts w:hint="default" w:ascii="Times New Roman" w:hAnsi="Times New Roman" w:eastAsia="宋体" w:cs="Times New Roman"/>
          <w:color w:val="auto"/>
          <w:sz w:val="24"/>
          <w:szCs w:val="24"/>
          <w:highlight w:val="none"/>
        </w:rPr>
        <w:t>的要求规范对养殖场内暂存设施做如下要求，</w:t>
      </w:r>
      <w:r>
        <w:rPr>
          <w:rFonts w:hint="default" w:ascii="Times New Roman" w:hAnsi="Times New Roman" w:eastAsia="宋体" w:cs="Times New Roman"/>
          <w:color w:val="auto"/>
          <w:spacing w:val="-1"/>
          <w:sz w:val="24"/>
          <w:szCs w:val="24"/>
          <w:highlight w:val="none"/>
        </w:rPr>
        <w:t>详见表</w:t>
      </w:r>
      <w:r>
        <w:rPr>
          <w:rFonts w:hint="default" w:ascii="Times New Roman" w:hAnsi="Times New Roman" w:eastAsia="Times New Roman" w:cs="Times New Roman"/>
          <w:color w:val="auto"/>
          <w:spacing w:val="-2"/>
          <w:sz w:val="24"/>
          <w:szCs w:val="24"/>
          <w:highlight w:val="none"/>
        </w:rPr>
        <w:t>6.2-</w:t>
      </w:r>
      <w:r>
        <w:rPr>
          <w:rFonts w:hint="default" w:ascii="Times New Roman" w:hAnsi="Times New Roman" w:eastAsia="宋体" w:cs="Times New Roman"/>
          <w:color w:val="auto"/>
          <w:spacing w:val="-2"/>
          <w:sz w:val="24"/>
          <w:szCs w:val="24"/>
          <w:highlight w:val="none"/>
          <w:lang w:val="en-US" w:eastAsia="zh-CN"/>
        </w:rPr>
        <w:t>2</w:t>
      </w:r>
      <w:r>
        <w:rPr>
          <w:rFonts w:hint="default" w:ascii="Times New Roman" w:hAnsi="Times New Roman" w:eastAsia="宋体" w:cs="Times New Roman"/>
          <w:color w:val="auto"/>
          <w:spacing w:val="-2"/>
          <w:sz w:val="24"/>
          <w:szCs w:val="24"/>
          <w:highlight w:val="none"/>
        </w:rPr>
        <w:t>。</w:t>
      </w:r>
    </w:p>
    <w:p w14:paraId="7B910A43">
      <w:pPr>
        <w:keepNext w:val="0"/>
        <w:keepLines w:val="0"/>
        <w:pageBreakBefore w:val="0"/>
        <w:kinsoku/>
        <w:wordWrap w:val="0"/>
        <w:overflowPunct/>
        <w:topLinePunct/>
        <w:autoSpaceDE/>
        <w:autoSpaceDN/>
        <w:bidi w:val="0"/>
        <w:adjustRightInd w:val="0"/>
        <w:snapToGrid w:val="0"/>
        <w:spacing w:before="78" w:line="214" w:lineRule="auto"/>
        <w:ind w:left="1563"/>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6.2-</w:t>
      </w:r>
      <w:r>
        <w:rPr>
          <w:rFonts w:hint="default" w:ascii="Times New Roman" w:hAnsi="Times New Roman" w:eastAsia="宋体" w:cs="Times New Roman"/>
          <w:b/>
          <w:bCs/>
          <w:color w:val="auto"/>
          <w:spacing w:val="-1"/>
          <w:sz w:val="24"/>
          <w:szCs w:val="24"/>
          <w:highlight w:val="none"/>
          <w:lang w:val="en-US" w:eastAsia="zh-CN"/>
        </w:rPr>
        <w:t>2</w:t>
      </w:r>
      <w:r>
        <w:rPr>
          <w:rFonts w:hint="default" w:ascii="Times New Roman" w:hAnsi="Times New Roman" w:eastAsia="宋体" w:cs="Times New Roman"/>
          <w:b/>
          <w:bCs/>
          <w:color w:val="auto"/>
          <w:spacing w:val="-1"/>
          <w:sz w:val="24"/>
          <w:szCs w:val="24"/>
          <w:highlight w:val="none"/>
        </w:rPr>
        <w:t>建设项目危险废物贮存场所（设施）基本情况表</w:t>
      </w:r>
    </w:p>
    <w:tbl>
      <w:tblPr>
        <w:tblStyle w:val="34"/>
        <w:tblW w:w="899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41"/>
        <w:gridCol w:w="753"/>
        <w:gridCol w:w="843"/>
        <w:gridCol w:w="876"/>
        <w:gridCol w:w="1196"/>
        <w:gridCol w:w="842"/>
        <w:gridCol w:w="994"/>
        <w:gridCol w:w="627"/>
        <w:gridCol w:w="842"/>
        <w:gridCol w:w="845"/>
        <w:gridCol w:w="540"/>
      </w:tblGrid>
      <w:tr w14:paraId="2EB035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41" w:type="dxa"/>
            <w:tcBorders>
              <w:top w:val="single" w:color="000000" w:sz="10" w:space="0"/>
              <w:left w:val="nil"/>
            </w:tcBorders>
            <w:textDirection w:val="tbRlV"/>
            <w:vAlign w:val="center"/>
          </w:tcPr>
          <w:p w14:paraId="112ABF48">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1"/>
                <w:highlight w:val="none"/>
              </w:rPr>
              <w:t>序号</w:t>
            </w:r>
          </w:p>
        </w:tc>
        <w:tc>
          <w:tcPr>
            <w:tcW w:w="753" w:type="dxa"/>
            <w:tcBorders>
              <w:top w:val="single" w:color="000000" w:sz="10" w:space="0"/>
            </w:tcBorders>
            <w:vAlign w:val="center"/>
          </w:tcPr>
          <w:p w14:paraId="37EEAABE">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贮存场所</w:t>
            </w:r>
          </w:p>
        </w:tc>
        <w:tc>
          <w:tcPr>
            <w:tcW w:w="843" w:type="dxa"/>
            <w:tcBorders>
              <w:top w:val="single" w:color="000000" w:sz="10" w:space="0"/>
            </w:tcBorders>
            <w:vAlign w:val="center"/>
          </w:tcPr>
          <w:p w14:paraId="070DDAA0">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危</w:t>
            </w:r>
            <w:r>
              <w:rPr>
                <w:rFonts w:hint="default" w:ascii="Times New Roman" w:hAnsi="Times New Roman" w:cs="Times New Roman"/>
                <w:color w:val="auto"/>
                <w:spacing w:val="-4"/>
                <w:highlight w:val="none"/>
              </w:rPr>
              <w:t>险废物名称</w:t>
            </w:r>
          </w:p>
        </w:tc>
        <w:tc>
          <w:tcPr>
            <w:tcW w:w="876" w:type="dxa"/>
            <w:tcBorders>
              <w:top w:val="single" w:color="000000" w:sz="10" w:space="0"/>
            </w:tcBorders>
            <w:vAlign w:val="center"/>
          </w:tcPr>
          <w:p w14:paraId="702A7C7E">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5"/>
                <w:highlight w:val="none"/>
              </w:rPr>
              <w:t>危险</w:t>
            </w:r>
            <w:r>
              <w:rPr>
                <w:rFonts w:hint="default" w:ascii="Times New Roman" w:hAnsi="Times New Roman" w:cs="Times New Roman"/>
                <w:color w:val="auto"/>
                <w:spacing w:val="-2"/>
                <w:highlight w:val="none"/>
              </w:rPr>
              <w:t>废物类</w:t>
            </w:r>
            <w:r>
              <w:rPr>
                <w:rFonts w:hint="default" w:ascii="Times New Roman" w:hAnsi="Times New Roman" w:cs="Times New Roman"/>
                <w:color w:val="auto"/>
                <w:highlight w:val="none"/>
              </w:rPr>
              <w:t>别</w:t>
            </w:r>
          </w:p>
        </w:tc>
        <w:tc>
          <w:tcPr>
            <w:tcW w:w="1196" w:type="dxa"/>
            <w:tcBorders>
              <w:top w:val="single" w:color="000000" w:sz="10" w:space="0"/>
            </w:tcBorders>
            <w:vAlign w:val="center"/>
          </w:tcPr>
          <w:p w14:paraId="223F1DA7">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危险废物代码</w:t>
            </w:r>
          </w:p>
        </w:tc>
        <w:tc>
          <w:tcPr>
            <w:tcW w:w="842" w:type="dxa"/>
            <w:tcBorders>
              <w:top w:val="single" w:color="000000" w:sz="10" w:space="0"/>
            </w:tcBorders>
            <w:vAlign w:val="center"/>
          </w:tcPr>
          <w:p w14:paraId="7F2881BA">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位置</w:t>
            </w:r>
          </w:p>
        </w:tc>
        <w:tc>
          <w:tcPr>
            <w:tcW w:w="994" w:type="dxa"/>
            <w:tcBorders>
              <w:top w:val="single" w:color="000000" w:sz="10" w:space="0"/>
              <w:right w:val="single" w:color="000000" w:sz="4" w:space="0"/>
            </w:tcBorders>
            <w:vAlign w:val="center"/>
          </w:tcPr>
          <w:p w14:paraId="7A715DE9">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产生量</w:t>
            </w:r>
          </w:p>
          <w:p w14:paraId="1B0FD5E1">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2"/>
                <w:sz w:val="21"/>
                <w:szCs w:val="21"/>
                <w:highlight w:val="none"/>
              </w:rPr>
              <w:t>(t/a)</w:t>
            </w:r>
          </w:p>
        </w:tc>
        <w:tc>
          <w:tcPr>
            <w:tcW w:w="627" w:type="dxa"/>
            <w:tcBorders>
              <w:top w:val="single" w:color="000000" w:sz="10" w:space="0"/>
              <w:left w:val="single" w:color="000000" w:sz="4" w:space="0"/>
            </w:tcBorders>
            <w:textDirection w:val="tbRlV"/>
            <w:vAlign w:val="center"/>
          </w:tcPr>
          <w:p w14:paraId="6E2AFCE9">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position w:val="1"/>
                <w:highlight w:val="none"/>
              </w:rPr>
              <w:t>占</w:t>
            </w:r>
            <w:r>
              <w:rPr>
                <w:rFonts w:hint="default" w:ascii="Times New Roman" w:hAnsi="Times New Roman" w:cs="Times New Roman"/>
                <w:color w:val="auto"/>
                <w:spacing w:val="1"/>
                <w:highlight w:val="none"/>
              </w:rPr>
              <w:t>地面积</w:t>
            </w:r>
          </w:p>
        </w:tc>
        <w:tc>
          <w:tcPr>
            <w:tcW w:w="842" w:type="dxa"/>
            <w:tcBorders>
              <w:top w:val="single" w:color="000000" w:sz="10" w:space="0"/>
            </w:tcBorders>
            <w:vAlign w:val="center"/>
          </w:tcPr>
          <w:p w14:paraId="651F0559">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贮存方式</w:t>
            </w:r>
          </w:p>
        </w:tc>
        <w:tc>
          <w:tcPr>
            <w:tcW w:w="845" w:type="dxa"/>
            <w:tcBorders>
              <w:top w:val="single" w:color="000000" w:sz="10" w:space="0"/>
            </w:tcBorders>
            <w:vAlign w:val="center"/>
          </w:tcPr>
          <w:p w14:paraId="4DCF0A45">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贮存</w:t>
            </w:r>
            <w:r>
              <w:rPr>
                <w:rFonts w:hint="default" w:ascii="Times New Roman" w:hAnsi="Times New Roman" w:cs="Times New Roman"/>
                <w:color w:val="auto"/>
                <w:spacing w:val="-4"/>
                <w:highlight w:val="none"/>
              </w:rPr>
              <w:t>能力</w:t>
            </w:r>
          </w:p>
        </w:tc>
        <w:tc>
          <w:tcPr>
            <w:tcW w:w="540" w:type="dxa"/>
            <w:tcBorders>
              <w:top w:val="single" w:color="000000" w:sz="10" w:space="0"/>
              <w:right w:val="nil"/>
            </w:tcBorders>
            <w:textDirection w:val="tbRlV"/>
            <w:vAlign w:val="center"/>
          </w:tcPr>
          <w:p w14:paraId="13A69866">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贮存周期</w:t>
            </w:r>
          </w:p>
        </w:tc>
      </w:tr>
      <w:tr w14:paraId="2BCC1B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641" w:type="dxa"/>
            <w:tcBorders>
              <w:left w:val="nil"/>
              <w:bottom w:val="single" w:color="000000" w:sz="10" w:space="0"/>
            </w:tcBorders>
            <w:vAlign w:val="center"/>
          </w:tcPr>
          <w:p w14:paraId="2D7C1CB9">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753" w:type="dxa"/>
            <w:tcBorders>
              <w:bottom w:val="single" w:color="000000" w:sz="10" w:space="0"/>
            </w:tcBorders>
            <w:vAlign w:val="center"/>
          </w:tcPr>
          <w:p w14:paraId="2E4CEBFD">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医疗</w:t>
            </w:r>
            <w:r>
              <w:rPr>
                <w:rFonts w:hint="default" w:ascii="Times New Roman" w:hAnsi="Times New Roman" w:cs="Times New Roman"/>
                <w:color w:val="auto"/>
                <w:spacing w:val="-7"/>
                <w:highlight w:val="none"/>
              </w:rPr>
              <w:t>暂存</w:t>
            </w:r>
            <w:r>
              <w:rPr>
                <w:rFonts w:hint="default" w:ascii="Times New Roman" w:hAnsi="Times New Roman" w:cs="Times New Roman"/>
                <w:color w:val="auto"/>
                <w:highlight w:val="none"/>
              </w:rPr>
              <w:t>间</w:t>
            </w:r>
          </w:p>
        </w:tc>
        <w:tc>
          <w:tcPr>
            <w:tcW w:w="843" w:type="dxa"/>
            <w:tcBorders>
              <w:bottom w:val="single" w:color="000000" w:sz="10" w:space="0"/>
            </w:tcBorders>
            <w:vAlign w:val="center"/>
          </w:tcPr>
          <w:p w14:paraId="66C34180">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医疗</w:t>
            </w:r>
            <w:r>
              <w:rPr>
                <w:rFonts w:hint="default" w:ascii="Times New Roman" w:hAnsi="Times New Roman" w:cs="Times New Roman"/>
                <w:color w:val="auto"/>
                <w:spacing w:val="-2"/>
                <w:highlight w:val="none"/>
              </w:rPr>
              <w:t>废物</w:t>
            </w:r>
          </w:p>
        </w:tc>
        <w:tc>
          <w:tcPr>
            <w:tcW w:w="876" w:type="dxa"/>
            <w:tcBorders>
              <w:bottom w:val="single" w:color="000000" w:sz="10" w:space="0"/>
            </w:tcBorders>
            <w:vAlign w:val="center"/>
          </w:tcPr>
          <w:p w14:paraId="5A37DD13">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pacing w:val="-1"/>
                <w:sz w:val="21"/>
                <w:szCs w:val="21"/>
                <w:highlight w:val="none"/>
              </w:rPr>
              <w:t>HW01</w:t>
            </w:r>
          </w:p>
        </w:tc>
        <w:tc>
          <w:tcPr>
            <w:tcW w:w="1196" w:type="dxa"/>
            <w:tcBorders>
              <w:bottom w:val="single" w:color="000000" w:sz="10" w:space="0"/>
            </w:tcBorders>
            <w:vAlign w:val="center"/>
          </w:tcPr>
          <w:p w14:paraId="51C6ABC2">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pacing w:val="-2"/>
                <w:sz w:val="21"/>
                <w:szCs w:val="21"/>
                <w:highlight w:val="none"/>
              </w:rPr>
            </w:pPr>
            <w:r>
              <w:rPr>
                <w:rFonts w:hint="default" w:ascii="Times New Roman" w:hAnsi="Times New Roman" w:eastAsia="Times New Roman" w:cs="Times New Roman"/>
                <w:color w:val="auto"/>
                <w:spacing w:val="-2"/>
                <w:sz w:val="21"/>
                <w:szCs w:val="21"/>
                <w:highlight w:val="none"/>
              </w:rPr>
              <w:t>841-001-01</w:t>
            </w:r>
          </w:p>
          <w:p w14:paraId="15FA6BAE">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pacing w:val="-2"/>
                <w:sz w:val="21"/>
                <w:szCs w:val="21"/>
                <w:highlight w:val="none"/>
              </w:rPr>
            </w:pPr>
            <w:r>
              <w:rPr>
                <w:rFonts w:hint="default" w:ascii="Times New Roman" w:hAnsi="Times New Roman" w:eastAsia="Times New Roman" w:cs="Times New Roman"/>
                <w:color w:val="auto"/>
                <w:spacing w:val="-2"/>
                <w:sz w:val="21"/>
                <w:szCs w:val="21"/>
                <w:highlight w:val="none"/>
              </w:rPr>
              <w:t>841-00</w:t>
            </w:r>
            <w:r>
              <w:rPr>
                <w:rFonts w:hint="default" w:ascii="Times New Roman" w:hAnsi="Times New Roman" w:eastAsia="宋体" w:cs="Times New Roman"/>
                <w:color w:val="auto"/>
                <w:spacing w:val="-2"/>
                <w:sz w:val="21"/>
                <w:szCs w:val="21"/>
                <w:highlight w:val="none"/>
                <w:lang w:val="en-US" w:eastAsia="zh-CN"/>
              </w:rPr>
              <w:t>2</w:t>
            </w:r>
            <w:r>
              <w:rPr>
                <w:rFonts w:hint="default" w:ascii="Times New Roman" w:hAnsi="Times New Roman" w:eastAsia="Times New Roman" w:cs="Times New Roman"/>
                <w:color w:val="auto"/>
                <w:spacing w:val="-2"/>
                <w:sz w:val="21"/>
                <w:szCs w:val="21"/>
                <w:highlight w:val="none"/>
              </w:rPr>
              <w:t>-01</w:t>
            </w:r>
          </w:p>
        </w:tc>
        <w:tc>
          <w:tcPr>
            <w:tcW w:w="842" w:type="dxa"/>
            <w:tcBorders>
              <w:bottom w:val="single" w:color="000000" w:sz="10" w:space="0"/>
            </w:tcBorders>
            <w:vAlign w:val="center"/>
          </w:tcPr>
          <w:p w14:paraId="0FDD7FBE">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厂区</w:t>
            </w:r>
            <w:r>
              <w:rPr>
                <w:rFonts w:hint="default" w:ascii="Times New Roman" w:hAnsi="Times New Roman" w:cs="Times New Roman"/>
                <w:color w:val="auto"/>
                <w:spacing w:val="-6"/>
                <w:highlight w:val="none"/>
              </w:rPr>
              <w:t>西南</w:t>
            </w:r>
            <w:r>
              <w:rPr>
                <w:rFonts w:hint="default" w:ascii="Times New Roman" w:hAnsi="Times New Roman" w:cs="Times New Roman"/>
                <w:color w:val="auto"/>
                <w:highlight w:val="none"/>
              </w:rPr>
              <w:t>角</w:t>
            </w:r>
          </w:p>
        </w:tc>
        <w:tc>
          <w:tcPr>
            <w:tcW w:w="994" w:type="dxa"/>
            <w:tcBorders>
              <w:bottom w:val="single" w:color="000000" w:sz="10" w:space="0"/>
              <w:right w:val="single" w:color="000000" w:sz="4" w:space="0"/>
            </w:tcBorders>
            <w:vAlign w:val="center"/>
          </w:tcPr>
          <w:p w14:paraId="208717DE">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0.2</w:t>
            </w:r>
          </w:p>
        </w:tc>
        <w:tc>
          <w:tcPr>
            <w:tcW w:w="627" w:type="dxa"/>
            <w:tcBorders>
              <w:left w:val="single" w:color="000000" w:sz="4" w:space="0"/>
              <w:bottom w:val="single" w:color="000000" w:sz="10" w:space="0"/>
            </w:tcBorders>
            <w:vAlign w:val="center"/>
          </w:tcPr>
          <w:p w14:paraId="75FA4E7C">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pacing w:val="-2"/>
                <w:sz w:val="21"/>
                <w:szCs w:val="21"/>
                <w:highlight w:val="none"/>
                <w:lang w:val="en-US" w:eastAsia="zh-CN"/>
              </w:rPr>
              <w:t>20</w:t>
            </w:r>
          </w:p>
        </w:tc>
        <w:tc>
          <w:tcPr>
            <w:tcW w:w="842" w:type="dxa"/>
            <w:tcBorders>
              <w:bottom w:val="single" w:color="000000" w:sz="10" w:space="0"/>
            </w:tcBorders>
            <w:vAlign w:val="center"/>
          </w:tcPr>
          <w:p w14:paraId="5103BF90">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分类</w:t>
            </w:r>
          </w:p>
          <w:p w14:paraId="274E91E0">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桶装</w:t>
            </w:r>
          </w:p>
        </w:tc>
        <w:tc>
          <w:tcPr>
            <w:tcW w:w="845" w:type="dxa"/>
            <w:tcBorders>
              <w:bottom w:val="single" w:color="000000" w:sz="10" w:space="0"/>
            </w:tcBorders>
            <w:vAlign w:val="center"/>
          </w:tcPr>
          <w:p w14:paraId="3C7EC640">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宋体" w:cs="Times New Roman"/>
                <w:color w:val="auto"/>
                <w:spacing w:val="-3"/>
                <w:sz w:val="21"/>
                <w:szCs w:val="21"/>
                <w:highlight w:val="none"/>
                <w:lang w:val="en-US" w:eastAsia="zh-CN"/>
              </w:rPr>
              <w:t>2.5</w:t>
            </w:r>
            <w:r>
              <w:rPr>
                <w:rFonts w:hint="default" w:ascii="Times New Roman" w:hAnsi="Times New Roman" w:eastAsia="Times New Roman" w:cs="Times New Roman"/>
                <w:color w:val="auto"/>
                <w:spacing w:val="-3"/>
                <w:sz w:val="21"/>
                <w:szCs w:val="21"/>
                <w:highlight w:val="none"/>
              </w:rPr>
              <w:t>t</w:t>
            </w:r>
          </w:p>
        </w:tc>
        <w:tc>
          <w:tcPr>
            <w:tcW w:w="540" w:type="dxa"/>
            <w:tcBorders>
              <w:bottom w:val="single" w:color="000000" w:sz="10" w:space="0"/>
              <w:right w:val="nil"/>
            </w:tcBorders>
            <w:vAlign w:val="center"/>
          </w:tcPr>
          <w:p w14:paraId="1F953410">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eastAsia="Times New Roman" w:cs="Times New Roman"/>
                <w:color w:val="auto"/>
                <w:sz w:val="21"/>
                <w:szCs w:val="21"/>
                <w:highlight w:val="none"/>
              </w:rPr>
              <w:t>3</w:t>
            </w:r>
            <w:r>
              <w:rPr>
                <w:rFonts w:hint="default" w:ascii="Times New Roman" w:hAnsi="Times New Roman" w:cs="Times New Roman"/>
                <w:color w:val="auto"/>
                <w:highlight w:val="none"/>
              </w:rPr>
              <w:t>个月</w:t>
            </w:r>
          </w:p>
        </w:tc>
      </w:tr>
    </w:tbl>
    <w:p w14:paraId="1E73BE9A">
      <w:pPr>
        <w:pStyle w:val="40"/>
        <w:keepNext w:val="0"/>
        <w:keepLines w:val="0"/>
        <w:pageBreakBefore w:val="0"/>
        <w:widowControl/>
        <w:kinsoku w:val="0"/>
        <w:wordWrap/>
        <w:overflowPunct/>
        <w:topLinePunct w:val="0"/>
        <w:autoSpaceDE w:val="0"/>
        <w:autoSpaceDN w:val="0"/>
        <w:bidi w:val="0"/>
        <w:adjustRightInd/>
        <w:snapToGrid/>
        <w:spacing w:line="360" w:lineRule="auto"/>
        <w:ind w:firstLine="452" w:firstLineChars="200"/>
        <w:textAlignment w:val="baseline"/>
        <w:rPr>
          <w:rFonts w:hint="default" w:ascii="Times New Roman" w:hAnsi="Times New Roman" w:eastAsia="宋体" w:cs="Times New Roman"/>
          <w:snapToGrid w:val="0"/>
          <w:color w:val="auto"/>
          <w:spacing w:val="-7"/>
          <w:kern w:val="0"/>
          <w:sz w:val="24"/>
          <w:szCs w:val="24"/>
          <w:highlight w:val="none"/>
          <w:lang w:val="en-US" w:eastAsia="en-US" w:bidi="ar-SA"/>
        </w:rPr>
      </w:pPr>
      <w:r>
        <w:rPr>
          <w:rFonts w:hint="default" w:ascii="Times New Roman" w:hAnsi="Times New Roman" w:eastAsia="宋体" w:cs="Times New Roman"/>
          <w:snapToGrid w:val="0"/>
          <w:color w:val="auto"/>
          <w:spacing w:val="-7"/>
          <w:kern w:val="0"/>
          <w:sz w:val="24"/>
          <w:szCs w:val="24"/>
          <w:highlight w:val="none"/>
          <w:lang w:val="en-US" w:eastAsia="en-US" w:bidi="ar-SA"/>
        </w:rPr>
        <w:t>②医疗废物的收集、运输过程的防治措施</w:t>
      </w:r>
    </w:p>
    <w:p w14:paraId="5963ECE4">
      <w:pPr>
        <w:pStyle w:val="40"/>
        <w:keepNext w:val="0"/>
        <w:keepLines w:val="0"/>
        <w:pageBreakBefore w:val="0"/>
        <w:widowControl/>
        <w:kinsoku w:val="0"/>
        <w:wordWrap/>
        <w:overflowPunct/>
        <w:topLinePunct w:val="0"/>
        <w:autoSpaceDE w:val="0"/>
        <w:autoSpaceDN w:val="0"/>
        <w:bidi w:val="0"/>
        <w:adjustRightInd/>
        <w:snapToGrid/>
        <w:spacing w:line="360" w:lineRule="auto"/>
        <w:ind w:firstLine="452" w:firstLineChars="200"/>
        <w:textAlignment w:val="baseline"/>
        <w:rPr>
          <w:rFonts w:hint="default" w:ascii="Times New Roman" w:hAnsi="Times New Roman" w:eastAsia="宋体" w:cs="Times New Roman"/>
          <w:snapToGrid w:val="0"/>
          <w:color w:val="auto"/>
          <w:spacing w:val="-7"/>
          <w:kern w:val="0"/>
          <w:sz w:val="24"/>
          <w:szCs w:val="24"/>
          <w:highlight w:val="none"/>
          <w:lang w:val="en-US" w:eastAsia="en-US" w:bidi="ar-SA"/>
        </w:rPr>
      </w:pPr>
      <w:r>
        <w:rPr>
          <w:rFonts w:hint="default" w:ascii="Times New Roman" w:hAnsi="Times New Roman" w:eastAsia="宋体" w:cs="Times New Roman"/>
          <w:snapToGrid w:val="0"/>
          <w:color w:val="auto"/>
          <w:spacing w:val="-7"/>
          <w:kern w:val="0"/>
          <w:sz w:val="24"/>
          <w:szCs w:val="24"/>
          <w:highlight w:val="none"/>
          <w:lang w:val="en-US" w:eastAsia="en-US" w:bidi="ar-SA"/>
        </w:rPr>
        <w:t>医疗废物需分类进行收集，不得将不相容的废物混合或合并存放；</w:t>
      </w:r>
      <w:r>
        <w:rPr>
          <w:rFonts w:hint="eastAsia" w:ascii="Times New Roman" w:hAnsi="Times New Roman" w:eastAsia="宋体" w:cs="Times New Roman"/>
          <w:snapToGrid w:val="0"/>
          <w:color w:val="auto"/>
          <w:spacing w:val="-7"/>
          <w:kern w:val="0"/>
          <w:sz w:val="24"/>
          <w:szCs w:val="24"/>
          <w:highlight w:val="none"/>
          <w:lang w:val="en-US" w:eastAsia="zh-CN" w:bidi="ar-SA"/>
        </w:rPr>
        <w:t>做好</w:t>
      </w:r>
      <w:r>
        <w:rPr>
          <w:rFonts w:hint="default" w:ascii="Times New Roman" w:hAnsi="Times New Roman" w:eastAsia="宋体" w:cs="Times New Roman"/>
          <w:snapToGrid w:val="0"/>
          <w:color w:val="auto"/>
          <w:spacing w:val="-7"/>
          <w:kern w:val="0"/>
          <w:sz w:val="24"/>
          <w:szCs w:val="24"/>
          <w:highlight w:val="none"/>
          <w:lang w:val="en-US" w:eastAsia="en-US" w:bidi="ar-SA"/>
        </w:rPr>
        <w:t>医疗废物情况入库记录，记录上需注明名称、来源、数量、特征和包装容器的类别、入库日期等内容；医疗废物转移过程中按照《危险废物转移管理办法》（2022年1月1日施行）等有关规定实行，严格落实危险废物转移联单制度；运输过程中采用专用运输车辆，桶装密封。</w:t>
      </w:r>
    </w:p>
    <w:p w14:paraId="6983C396">
      <w:pPr>
        <w:pStyle w:val="40"/>
        <w:keepNext w:val="0"/>
        <w:keepLines w:val="0"/>
        <w:pageBreakBefore w:val="0"/>
        <w:widowControl/>
        <w:kinsoku w:val="0"/>
        <w:wordWrap/>
        <w:overflowPunct/>
        <w:topLinePunct w:val="0"/>
        <w:autoSpaceDE w:val="0"/>
        <w:autoSpaceDN w:val="0"/>
        <w:bidi w:val="0"/>
        <w:adjustRightInd/>
        <w:snapToGrid/>
        <w:spacing w:line="360" w:lineRule="auto"/>
        <w:ind w:firstLine="452" w:firstLineChars="200"/>
        <w:textAlignment w:val="baseline"/>
        <w:rPr>
          <w:rFonts w:hint="default" w:ascii="Times New Roman" w:hAnsi="Times New Roman" w:eastAsia="宋体" w:cs="Times New Roman"/>
          <w:snapToGrid w:val="0"/>
          <w:color w:val="auto"/>
          <w:spacing w:val="-7"/>
          <w:kern w:val="0"/>
          <w:sz w:val="24"/>
          <w:szCs w:val="24"/>
          <w:highlight w:val="none"/>
          <w:lang w:val="en-US" w:eastAsia="en-US" w:bidi="ar-SA"/>
        </w:rPr>
      </w:pPr>
      <w:r>
        <w:rPr>
          <w:rFonts w:hint="default" w:ascii="Times New Roman" w:hAnsi="Times New Roman" w:eastAsia="宋体" w:cs="Times New Roman"/>
          <w:snapToGrid w:val="0"/>
          <w:color w:val="auto"/>
          <w:spacing w:val="-7"/>
          <w:kern w:val="0"/>
          <w:sz w:val="24"/>
          <w:szCs w:val="24"/>
          <w:highlight w:val="none"/>
          <w:lang w:val="en-US" w:eastAsia="en-US" w:bidi="ar-SA"/>
        </w:rPr>
        <w:fldChar w:fldCharType="begin"/>
      </w:r>
      <w:r>
        <w:rPr>
          <w:rFonts w:hint="default" w:ascii="Times New Roman" w:hAnsi="Times New Roman" w:eastAsia="宋体" w:cs="Times New Roman"/>
          <w:snapToGrid w:val="0"/>
          <w:color w:val="auto"/>
          <w:spacing w:val="-7"/>
          <w:kern w:val="0"/>
          <w:sz w:val="24"/>
          <w:szCs w:val="24"/>
          <w:highlight w:val="none"/>
          <w:lang w:val="en-US" w:eastAsia="en-US" w:bidi="ar-SA"/>
        </w:rPr>
        <w:instrText xml:space="preserve"> = 3 \* GB3 </w:instrText>
      </w:r>
      <w:r>
        <w:rPr>
          <w:rFonts w:hint="default" w:ascii="Times New Roman" w:hAnsi="Times New Roman" w:eastAsia="宋体" w:cs="Times New Roman"/>
          <w:snapToGrid w:val="0"/>
          <w:color w:val="auto"/>
          <w:spacing w:val="-7"/>
          <w:kern w:val="0"/>
          <w:sz w:val="24"/>
          <w:szCs w:val="24"/>
          <w:highlight w:val="none"/>
          <w:lang w:val="en-US" w:eastAsia="en-US" w:bidi="ar-SA"/>
        </w:rPr>
        <w:fldChar w:fldCharType="separate"/>
      </w:r>
      <w:r>
        <w:rPr>
          <w:rFonts w:hint="default" w:ascii="Times New Roman" w:hAnsi="Times New Roman" w:eastAsia="宋体" w:cs="Times New Roman"/>
          <w:snapToGrid w:val="0"/>
          <w:color w:val="auto"/>
          <w:spacing w:val="-7"/>
          <w:kern w:val="0"/>
          <w:sz w:val="24"/>
          <w:szCs w:val="24"/>
          <w:highlight w:val="none"/>
          <w:lang w:val="en-US" w:eastAsia="en-US" w:bidi="ar-SA"/>
        </w:rPr>
        <w:t>③</w:t>
      </w:r>
      <w:r>
        <w:rPr>
          <w:rFonts w:hint="default" w:ascii="Times New Roman" w:hAnsi="Times New Roman" w:eastAsia="宋体" w:cs="Times New Roman"/>
          <w:snapToGrid w:val="0"/>
          <w:color w:val="auto"/>
          <w:spacing w:val="-7"/>
          <w:kern w:val="0"/>
          <w:sz w:val="24"/>
          <w:szCs w:val="24"/>
          <w:highlight w:val="none"/>
          <w:lang w:val="en-US" w:eastAsia="en-US" w:bidi="ar-SA"/>
        </w:rPr>
        <w:fldChar w:fldCharType="end"/>
      </w:r>
      <w:r>
        <w:rPr>
          <w:rFonts w:hint="default" w:ascii="Times New Roman" w:hAnsi="Times New Roman" w:eastAsia="宋体" w:cs="Times New Roman"/>
          <w:snapToGrid w:val="0"/>
          <w:color w:val="auto"/>
          <w:spacing w:val="-7"/>
          <w:kern w:val="0"/>
          <w:sz w:val="24"/>
          <w:szCs w:val="24"/>
          <w:highlight w:val="none"/>
          <w:lang w:val="en-US" w:eastAsia="en-US" w:bidi="ar-SA"/>
        </w:rPr>
        <w:t>医疗废物处置的防治措施</w:t>
      </w:r>
    </w:p>
    <w:p w14:paraId="7C3AB72F">
      <w:pPr>
        <w:pStyle w:val="40"/>
        <w:keepNext w:val="0"/>
        <w:keepLines w:val="0"/>
        <w:pageBreakBefore w:val="0"/>
        <w:widowControl/>
        <w:kinsoku w:val="0"/>
        <w:wordWrap/>
        <w:overflowPunct/>
        <w:topLinePunct w:val="0"/>
        <w:autoSpaceDE w:val="0"/>
        <w:autoSpaceDN w:val="0"/>
        <w:bidi w:val="0"/>
        <w:adjustRightInd/>
        <w:snapToGrid/>
        <w:spacing w:line="360" w:lineRule="auto"/>
        <w:ind w:firstLine="452" w:firstLineChars="200"/>
        <w:textAlignment w:val="baseline"/>
        <w:rPr>
          <w:rFonts w:hint="default" w:ascii="Times New Roman" w:hAnsi="Times New Roman" w:eastAsia="Times New Roman" w:cs="Times New Roman"/>
          <w:b/>
          <w:bCs/>
          <w:color w:val="auto"/>
          <w:spacing w:val="-2"/>
          <w:sz w:val="24"/>
          <w:szCs w:val="24"/>
          <w:highlight w:val="none"/>
        </w:rPr>
      </w:pPr>
      <w:r>
        <w:rPr>
          <w:rFonts w:hint="default" w:ascii="Times New Roman" w:hAnsi="Times New Roman" w:eastAsia="宋体" w:cs="Times New Roman"/>
          <w:snapToGrid w:val="0"/>
          <w:color w:val="auto"/>
          <w:spacing w:val="-7"/>
          <w:kern w:val="0"/>
          <w:sz w:val="24"/>
          <w:szCs w:val="24"/>
          <w:highlight w:val="none"/>
          <w:lang w:val="en-US" w:eastAsia="en-US" w:bidi="ar-SA"/>
        </w:rPr>
        <w:t>医疗废物属于危险废物，单独收集于医疗废物暂存间，交由有资质单位统一收取、运输和处置，不得自行处置。因此，本项目医疗废物处置措施可行。</w:t>
      </w:r>
    </w:p>
    <w:p w14:paraId="5DC28B8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19" w:name="_Toc5122"/>
      <w:r>
        <w:rPr>
          <w:rFonts w:hint="default" w:ascii="Times New Roman" w:hAnsi="Times New Roman" w:eastAsia="宋体" w:cs="Times New Roman"/>
          <w:b/>
          <w:bCs/>
          <w:color w:val="auto"/>
          <w:spacing w:val="-2"/>
          <w:sz w:val="24"/>
          <w:szCs w:val="24"/>
          <w:highlight w:val="none"/>
          <w:lang w:val="en-US" w:eastAsia="zh-CN"/>
        </w:rPr>
        <w:t>6.2.5土壤环境保护措施及利用可行性分析</w:t>
      </w:r>
      <w:bookmarkEnd w:id="219"/>
    </w:p>
    <w:p w14:paraId="3F90731E">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6.2.</w:t>
      </w:r>
      <w:r>
        <w:rPr>
          <w:rFonts w:hint="default"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宋体" w:cs="Times New Roman"/>
          <w:b/>
          <w:bCs/>
          <w:color w:val="auto"/>
          <w:spacing w:val="-1"/>
          <w:sz w:val="24"/>
          <w:szCs w:val="24"/>
          <w:highlight w:val="none"/>
          <w:lang w:val="zh-CN" w:eastAsia="zh-CN"/>
        </w:rPr>
        <w:t>.1</w:t>
      </w:r>
      <w:r>
        <w:rPr>
          <w:rFonts w:hint="default" w:ascii="Times New Roman" w:hAnsi="Times New Roman" w:eastAsia="宋体" w:cs="Times New Roman"/>
          <w:b/>
          <w:bCs/>
          <w:color w:val="auto"/>
          <w:spacing w:val="-1"/>
          <w:sz w:val="24"/>
          <w:szCs w:val="24"/>
          <w:highlight w:val="none"/>
          <w:lang w:val="en-US" w:eastAsia="zh-CN"/>
        </w:rPr>
        <w:t>保护目标</w:t>
      </w:r>
    </w:p>
    <w:p w14:paraId="6074E23D">
      <w:pPr>
        <w:keepNext w:val="0"/>
        <w:keepLines w:val="0"/>
        <w:pageBreakBefore w:val="0"/>
        <w:widowControl w:val="0"/>
        <w:kinsoku w:val="0"/>
        <w:wordWrap/>
        <w:overflowPunct w:val="0"/>
        <w:topLinePunct w:val="0"/>
        <w:autoSpaceDE w:val="0"/>
        <w:autoSpaceDN w:val="0"/>
        <w:bidi w:val="0"/>
        <w:adjustRightInd/>
        <w:snapToGrid/>
        <w:spacing w:line="360" w:lineRule="auto"/>
        <w:ind w:left="0" w:firstLine="480" w:firstLineChars="200"/>
        <w:contextualSpacing/>
        <w:textAlignment w:val="auto"/>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szCs w:val="24"/>
          <w:highlight w:val="none"/>
          <w:lang w:val="en-US" w:eastAsia="zh-CN"/>
        </w:rPr>
        <w:t>本项目位于</w:t>
      </w:r>
      <w:r>
        <w:rPr>
          <w:rFonts w:hint="default" w:ascii="Times New Roman" w:hAnsi="Times New Roman" w:cs="Times New Roman"/>
          <w:b w:val="0"/>
          <w:bCs w:val="0"/>
          <w:color w:val="auto"/>
          <w:sz w:val="24"/>
          <w:szCs w:val="24"/>
          <w:highlight w:val="none"/>
          <w:lang w:val="en-US" w:eastAsia="zh-CN"/>
        </w:rPr>
        <w:t>黑龙江省</w:t>
      </w:r>
      <w:r>
        <w:rPr>
          <w:rFonts w:hint="default" w:ascii="Times New Roman" w:hAnsi="Times New Roman" w:eastAsia="宋体" w:cs="Times New Roman"/>
          <w:color w:val="auto"/>
          <w:sz w:val="24"/>
          <w:szCs w:val="24"/>
          <w:highlight w:val="none"/>
          <w:lang w:val="en-US" w:eastAsia="zh-CN"/>
        </w:rPr>
        <w:t>双鸭山市集贤县集贤镇种畜场（康家屯）</w:t>
      </w:r>
      <w:r>
        <w:rPr>
          <w:rFonts w:hint="default" w:ascii="Times New Roman" w:hAnsi="Times New Roman" w:eastAsia="宋体" w:cs="Times New Roman"/>
          <w:snapToGrid w:val="0"/>
          <w:color w:val="auto"/>
          <w:sz w:val="24"/>
          <w:szCs w:val="24"/>
          <w:highlight w:val="none"/>
        </w:rPr>
        <w:t>，</w:t>
      </w:r>
      <w:r>
        <w:rPr>
          <w:rFonts w:hint="default" w:ascii="Times New Roman" w:hAnsi="Times New Roman" w:eastAsia="宋体" w:cs="Times New Roman"/>
          <w:b w:val="0"/>
          <w:bCs w:val="0"/>
          <w:color w:val="auto"/>
          <w:sz w:val="24"/>
          <w:szCs w:val="24"/>
          <w:highlight w:val="none"/>
          <w:lang w:val="en-US" w:eastAsia="zh-CN"/>
        </w:rPr>
        <w:t>项目四周均为</w:t>
      </w:r>
      <w:r>
        <w:rPr>
          <w:rFonts w:hint="default" w:ascii="Times New Roman" w:hAnsi="Times New Roman" w:cs="Times New Roman"/>
          <w:b w:val="0"/>
          <w:bCs w:val="0"/>
          <w:color w:val="auto"/>
          <w:sz w:val="24"/>
          <w:szCs w:val="24"/>
          <w:highlight w:val="none"/>
          <w:lang w:val="en-US" w:eastAsia="zh-CN"/>
        </w:rPr>
        <w:t>耕地</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lang w:val="en-US" w:eastAsia="zh-CN"/>
        </w:rPr>
        <w:t>根据</w:t>
      </w:r>
      <w:r>
        <w:rPr>
          <w:rFonts w:hint="default" w:ascii="Times New Roman" w:hAnsi="Times New Roman" w:eastAsia="宋体" w:cs="Times New Roman"/>
          <w:color w:val="auto"/>
          <w:sz w:val="24"/>
          <w:highlight w:val="none"/>
        </w:rPr>
        <w:t>《环境影响评价技术导则 土壤环境（试行）》（HJ964-2018）</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kern w:val="0"/>
          <w:sz w:val="24"/>
          <w:highlight w:val="none"/>
          <w:lang w:eastAsia="zh-CN"/>
        </w:rPr>
        <w:t>评价范围为项目占地范围内全部及占地范围外50m范围内</w:t>
      </w:r>
      <w:r>
        <w:rPr>
          <w:rFonts w:hint="default" w:ascii="Times New Roman" w:hAnsi="Times New Roman" w:eastAsia="宋体" w:cs="Times New Roman"/>
          <w:color w:val="auto"/>
          <w:sz w:val="24"/>
          <w:highlight w:val="none"/>
        </w:rPr>
        <w:t>，保护目标为评价范围内的土壤环境。</w:t>
      </w:r>
    </w:p>
    <w:p w14:paraId="65FFA2FE">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6.2.</w:t>
      </w:r>
      <w:r>
        <w:rPr>
          <w:rFonts w:hint="default"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宋体" w:cs="Times New Roman"/>
          <w:b/>
          <w:bCs/>
          <w:color w:val="auto"/>
          <w:spacing w:val="-1"/>
          <w:sz w:val="24"/>
          <w:szCs w:val="24"/>
          <w:highlight w:val="none"/>
          <w:lang w:val="zh-CN" w:eastAsia="zh-CN"/>
        </w:rPr>
        <w:t>.</w:t>
      </w:r>
      <w:r>
        <w:rPr>
          <w:rFonts w:hint="default" w:ascii="Times New Roman" w:hAnsi="Times New Roman" w:eastAsia="宋体" w:cs="Times New Roman"/>
          <w:b/>
          <w:bCs/>
          <w:color w:val="auto"/>
          <w:spacing w:val="-1"/>
          <w:sz w:val="24"/>
          <w:szCs w:val="24"/>
          <w:highlight w:val="none"/>
          <w:lang w:val="en-US" w:eastAsia="zh-CN"/>
        </w:rPr>
        <w:t>2土壤环境保护措施</w:t>
      </w:r>
    </w:p>
    <w:p w14:paraId="6474C54D">
      <w:pPr>
        <w:pStyle w:val="21"/>
        <w:keepNext w:val="0"/>
        <w:keepLines w:val="0"/>
        <w:pageBreakBefore w:val="0"/>
        <w:widowControl w:val="0"/>
        <w:kinsoku/>
        <w:wordWrap/>
        <w:overflowPunct/>
        <w:topLinePunct w:val="0"/>
        <w:autoSpaceDE/>
        <w:autoSpaceDN/>
        <w:bidi w:val="0"/>
        <w:adjustRightInd/>
        <w:snapToGrid/>
        <w:spacing w:before="0" w:line="360" w:lineRule="auto"/>
        <w:ind w:left="0"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监控土壤污染源、污染途径，并从源头控制污染扩散是避免土壤污染的最有效、最切实可行的措施。对此，提出以下土壤环境保护措施：</w:t>
      </w:r>
    </w:p>
    <w:p w14:paraId="155511F3">
      <w:pPr>
        <w:pStyle w:val="21"/>
        <w:keepNext w:val="0"/>
        <w:keepLines w:val="0"/>
        <w:pageBreakBefore w:val="0"/>
        <w:widowControl w:val="0"/>
        <w:kinsoku/>
        <w:wordWrap/>
        <w:overflowPunct/>
        <w:topLinePunct w:val="0"/>
        <w:autoSpaceDE/>
        <w:autoSpaceDN/>
        <w:bidi w:val="0"/>
        <w:adjustRightInd/>
        <w:snapToGrid/>
        <w:spacing w:before="0" w:line="360" w:lineRule="auto"/>
        <w:ind w:left="0"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1、源头控制：本项目产生的废水主要为养殖场产生的牛尿、</w:t>
      </w:r>
      <w:r>
        <w:rPr>
          <w:rFonts w:hint="default" w:ascii="Times New Roman" w:hAnsi="Times New Roman" w:cs="Times New Roman"/>
          <w:b w:val="0"/>
          <w:bCs w:val="0"/>
          <w:color w:val="auto"/>
          <w:kern w:val="2"/>
          <w:sz w:val="24"/>
          <w:szCs w:val="24"/>
          <w:highlight w:val="none"/>
          <w:lang w:val="en-US" w:eastAsia="zh-CN" w:bidi="ar-SA"/>
        </w:rPr>
        <w:t>生活污水</w:t>
      </w:r>
      <w:r>
        <w:rPr>
          <w:rFonts w:hint="default" w:ascii="Times New Roman" w:hAnsi="Times New Roman" w:eastAsia="宋体" w:cs="Times New Roman"/>
          <w:b w:val="0"/>
          <w:bCs w:val="0"/>
          <w:color w:val="auto"/>
          <w:kern w:val="2"/>
          <w:sz w:val="24"/>
          <w:szCs w:val="24"/>
          <w:highlight w:val="none"/>
          <w:lang w:val="en-US" w:eastAsia="zh-CN" w:bidi="ar-SA"/>
        </w:rPr>
        <w:t>。干撒式发酵床发酵菌剂可将牛尿、牛粪一部分降解为水蒸气和二氧化碳，另一部分转化为粗蛋白、菌体蛋白和维生素等营养物质。从源头上消除了粪尿对生态环境的污染，不外排。</w:t>
      </w:r>
      <w:r>
        <w:rPr>
          <w:rFonts w:hint="default" w:ascii="Times New Roman" w:hAnsi="Times New Roman" w:cs="Times New Roman"/>
          <w:b w:val="0"/>
          <w:bCs w:val="0"/>
          <w:color w:val="auto"/>
          <w:kern w:val="2"/>
          <w:sz w:val="24"/>
          <w:szCs w:val="24"/>
          <w:highlight w:val="none"/>
          <w:lang w:val="en-US" w:eastAsia="zh-CN" w:bidi="ar-SA"/>
        </w:rPr>
        <w:t>生活污水</w:t>
      </w:r>
      <w:r>
        <w:rPr>
          <w:rFonts w:hint="default" w:ascii="Times New Roman" w:hAnsi="Times New Roman" w:eastAsia="宋体" w:cs="Times New Roman"/>
          <w:b w:val="0"/>
          <w:bCs w:val="0"/>
          <w:color w:val="auto"/>
          <w:kern w:val="2"/>
          <w:sz w:val="24"/>
          <w:szCs w:val="24"/>
          <w:highlight w:val="none"/>
          <w:lang w:val="en-US" w:eastAsia="zh-CN" w:bidi="ar-SA"/>
        </w:rPr>
        <w:t>用于</w:t>
      </w:r>
      <w:r>
        <w:rPr>
          <w:rFonts w:hint="default" w:ascii="Times New Roman" w:hAnsi="Times New Roman" w:cs="Times New Roman"/>
          <w:b w:val="0"/>
          <w:bCs w:val="0"/>
          <w:color w:val="auto"/>
          <w:kern w:val="2"/>
          <w:sz w:val="24"/>
          <w:szCs w:val="24"/>
          <w:highlight w:val="none"/>
          <w:lang w:val="en-US" w:eastAsia="zh-CN" w:bidi="ar-SA"/>
        </w:rPr>
        <w:t>防渗旱厕，定期清掏</w:t>
      </w:r>
      <w:r>
        <w:rPr>
          <w:rFonts w:hint="default" w:ascii="Times New Roman" w:hAnsi="Times New Roman" w:eastAsia="宋体" w:cs="Times New Roman"/>
          <w:b w:val="0"/>
          <w:bCs w:val="0"/>
          <w:color w:val="auto"/>
          <w:kern w:val="2"/>
          <w:sz w:val="24"/>
          <w:szCs w:val="24"/>
          <w:highlight w:val="none"/>
          <w:lang w:val="en-US" w:eastAsia="zh-CN" w:bidi="ar-SA"/>
        </w:rPr>
        <w:t>，不外排。如有牛舍地面发生破裂导致粪污渗漏可能造成土壤污染。因此，建设单位在施工期土壤污染防控中应强化牛舍防渗措施，严格按照防渗技术要求进行防渗工程施工。</w:t>
      </w:r>
    </w:p>
    <w:p w14:paraId="4F4FE534">
      <w:pPr>
        <w:pStyle w:val="21"/>
        <w:keepNext w:val="0"/>
        <w:keepLines w:val="0"/>
        <w:pageBreakBefore w:val="0"/>
        <w:widowControl w:val="0"/>
        <w:kinsoku/>
        <w:wordWrap/>
        <w:overflowPunct/>
        <w:topLinePunct w:val="0"/>
        <w:autoSpaceDE/>
        <w:autoSpaceDN/>
        <w:bidi w:val="0"/>
        <w:adjustRightInd/>
        <w:snapToGrid/>
        <w:spacing w:before="0" w:line="360" w:lineRule="auto"/>
        <w:ind w:left="0"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2、过程防控：本项目牛舍</w:t>
      </w:r>
      <w:r>
        <w:rPr>
          <w:rFonts w:hint="eastAsia" w:ascii="Times New Roman" w:hAnsi="Times New Roman" w:cs="Times New Roman"/>
          <w:b w:val="0"/>
          <w:bCs w:val="0"/>
          <w:color w:val="auto"/>
          <w:kern w:val="2"/>
          <w:sz w:val="24"/>
          <w:szCs w:val="24"/>
          <w:highlight w:val="none"/>
          <w:lang w:val="en-US" w:eastAsia="zh-CN" w:bidi="ar-SA"/>
        </w:rPr>
        <w:t>、运动场</w:t>
      </w:r>
      <w:r>
        <w:rPr>
          <w:rFonts w:hint="default" w:ascii="Times New Roman" w:hAnsi="Times New Roman" w:eastAsia="宋体" w:cs="Times New Roman"/>
          <w:b w:val="0"/>
          <w:bCs w:val="0"/>
          <w:color w:val="auto"/>
          <w:kern w:val="2"/>
          <w:sz w:val="24"/>
          <w:szCs w:val="24"/>
          <w:highlight w:val="none"/>
          <w:lang w:val="en-US" w:eastAsia="zh-CN" w:bidi="ar-SA"/>
        </w:rPr>
        <w:t>采取防渗措施</w:t>
      </w:r>
      <w:r>
        <w:rPr>
          <w:rFonts w:hint="default" w:ascii="Times New Roman" w:hAnsi="Times New Roman" w:eastAsia="宋体" w:cs="Times New Roman"/>
          <w:b w:val="0"/>
          <w:bCs w:val="0"/>
          <w:snapToGrid w:val="0"/>
          <w:color w:val="auto"/>
          <w:kern w:val="0"/>
          <w:sz w:val="24"/>
          <w:szCs w:val="24"/>
          <w:highlight w:val="none"/>
        </w:rPr>
        <w:t>，满足</w:t>
      </w:r>
      <w:r>
        <w:rPr>
          <w:rFonts w:hint="default" w:ascii="Times New Roman" w:hAnsi="Times New Roman" w:eastAsia="宋体" w:cs="Times New Roman"/>
          <w:b w:val="0"/>
          <w:bCs w:val="0"/>
          <w:snapToGrid w:val="0"/>
          <w:color w:val="auto"/>
          <w:kern w:val="0"/>
          <w:sz w:val="24"/>
          <w:szCs w:val="24"/>
          <w:highlight w:val="none"/>
          <w:lang w:val="en-US" w:eastAsia="zh-CN"/>
        </w:rPr>
        <w:t>重点防渗区</w:t>
      </w:r>
      <w:r>
        <w:rPr>
          <w:rFonts w:hint="default" w:ascii="Times New Roman" w:hAnsi="Times New Roman" w:eastAsia="宋体" w:cs="Times New Roman"/>
          <w:b w:val="0"/>
          <w:bCs w:val="0"/>
          <w:snapToGrid w:val="0"/>
          <w:color w:val="auto"/>
          <w:kern w:val="0"/>
          <w:sz w:val="24"/>
          <w:szCs w:val="24"/>
          <w:highlight w:val="none"/>
        </w:rPr>
        <w:t>等效黏土防渗层Mb≥</w:t>
      </w:r>
      <w:r>
        <w:rPr>
          <w:rFonts w:hint="default" w:ascii="Times New Roman" w:hAnsi="Times New Roman" w:eastAsia="宋体" w:cs="Times New Roman"/>
          <w:b w:val="0"/>
          <w:bCs w:val="0"/>
          <w:snapToGrid w:val="0"/>
          <w:color w:val="auto"/>
          <w:kern w:val="0"/>
          <w:sz w:val="24"/>
          <w:szCs w:val="24"/>
          <w:highlight w:val="none"/>
          <w:lang w:val="en-US" w:eastAsia="zh-CN"/>
        </w:rPr>
        <w:t>6.0</w:t>
      </w:r>
      <w:r>
        <w:rPr>
          <w:rFonts w:hint="default" w:ascii="Times New Roman" w:hAnsi="Times New Roman" w:eastAsia="宋体" w:cs="Times New Roman"/>
          <w:b w:val="0"/>
          <w:bCs w:val="0"/>
          <w:snapToGrid w:val="0"/>
          <w:color w:val="auto"/>
          <w:kern w:val="0"/>
          <w:sz w:val="24"/>
          <w:szCs w:val="24"/>
          <w:highlight w:val="none"/>
        </w:rPr>
        <w:t>m，K≤1×10</w:t>
      </w:r>
      <w:r>
        <w:rPr>
          <w:rFonts w:hint="default" w:ascii="Times New Roman" w:hAnsi="Times New Roman" w:eastAsia="宋体" w:cs="Times New Roman"/>
          <w:b w:val="0"/>
          <w:bCs w:val="0"/>
          <w:snapToGrid w:val="0"/>
          <w:color w:val="auto"/>
          <w:kern w:val="0"/>
          <w:sz w:val="24"/>
          <w:szCs w:val="24"/>
          <w:highlight w:val="none"/>
          <w:vertAlign w:val="superscript"/>
        </w:rPr>
        <w:t>-7</w:t>
      </w:r>
      <w:r>
        <w:rPr>
          <w:rFonts w:hint="default" w:ascii="Times New Roman" w:hAnsi="Times New Roman" w:eastAsia="宋体" w:cs="Times New Roman"/>
          <w:b w:val="0"/>
          <w:bCs w:val="0"/>
          <w:snapToGrid w:val="0"/>
          <w:color w:val="auto"/>
          <w:kern w:val="0"/>
          <w:sz w:val="24"/>
          <w:szCs w:val="24"/>
          <w:highlight w:val="none"/>
        </w:rPr>
        <w:t>cm/s的要求</w:t>
      </w:r>
      <w:r>
        <w:rPr>
          <w:rFonts w:hint="default" w:ascii="Times New Roman" w:hAnsi="Times New Roman" w:eastAsia="宋体" w:cs="Times New Roman"/>
          <w:b w:val="0"/>
          <w:bCs w:val="0"/>
          <w:color w:val="auto"/>
          <w:kern w:val="2"/>
          <w:sz w:val="24"/>
          <w:szCs w:val="24"/>
          <w:highlight w:val="none"/>
          <w:lang w:val="en-US" w:eastAsia="zh-CN" w:bidi="ar-SA"/>
        </w:rPr>
        <w:t>；保持作业场所清洁，避免土壤污染事件发生。</w:t>
      </w:r>
    </w:p>
    <w:p w14:paraId="2FC4595E">
      <w:pPr>
        <w:pStyle w:val="21"/>
        <w:keepNext w:val="0"/>
        <w:keepLines w:val="0"/>
        <w:pageBreakBefore w:val="0"/>
        <w:widowControl w:val="0"/>
        <w:kinsoku/>
        <w:wordWrap/>
        <w:overflowPunct/>
        <w:topLinePunct w:val="0"/>
        <w:autoSpaceDE/>
        <w:autoSpaceDN/>
        <w:bidi w:val="0"/>
        <w:adjustRightInd/>
        <w:snapToGrid/>
        <w:spacing w:before="0" w:line="360" w:lineRule="auto"/>
        <w:ind w:left="0"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3、跟踪监测：本项目评价工作等级为三级，根据导则规定，项目可在必要时开展跟踪监测。</w:t>
      </w:r>
    </w:p>
    <w:p w14:paraId="47B72FAB">
      <w:pPr>
        <w:pStyle w:val="21"/>
        <w:keepNext w:val="0"/>
        <w:keepLines w:val="0"/>
        <w:pageBreakBefore w:val="0"/>
        <w:widowControl w:val="0"/>
        <w:kinsoku/>
        <w:wordWrap/>
        <w:overflowPunct/>
        <w:topLinePunct w:val="0"/>
        <w:autoSpaceDE/>
        <w:autoSpaceDN/>
        <w:bidi w:val="0"/>
        <w:adjustRightInd/>
        <w:snapToGrid/>
        <w:spacing w:before="0" w:line="360" w:lineRule="auto"/>
        <w:ind w:left="0"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4、加强施工中的环境管理，控制和消除土壤污染。严禁随意倾倒污水、随意堆放固体废物，防止因“三废”处理不合理或处置措施不当对土壤造成污染。</w:t>
      </w:r>
    </w:p>
    <w:p w14:paraId="37FEA861">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6.2.</w:t>
      </w:r>
      <w:r>
        <w:rPr>
          <w:rFonts w:hint="default" w:ascii="Times New Roman" w:hAnsi="Times New Roman" w:eastAsia="宋体" w:cs="Times New Roman"/>
          <w:b/>
          <w:bCs/>
          <w:color w:val="auto"/>
          <w:spacing w:val="-1"/>
          <w:sz w:val="24"/>
          <w:szCs w:val="24"/>
          <w:highlight w:val="none"/>
          <w:lang w:val="en-US" w:eastAsia="zh-CN"/>
        </w:rPr>
        <w:t>6</w:t>
      </w:r>
      <w:r>
        <w:rPr>
          <w:rFonts w:hint="default" w:ascii="Times New Roman" w:hAnsi="Times New Roman" w:eastAsia="宋体" w:cs="Times New Roman"/>
          <w:b/>
          <w:bCs/>
          <w:color w:val="auto"/>
          <w:spacing w:val="-1"/>
          <w:sz w:val="24"/>
          <w:szCs w:val="24"/>
          <w:highlight w:val="none"/>
          <w:lang w:val="zh-CN" w:eastAsia="zh-CN"/>
        </w:rPr>
        <w:t>.</w:t>
      </w:r>
      <w:r>
        <w:rPr>
          <w:rFonts w:hint="default" w:ascii="Times New Roman" w:hAnsi="Times New Roman" w:eastAsia="宋体" w:cs="Times New Roman"/>
          <w:b/>
          <w:bCs/>
          <w:color w:val="auto"/>
          <w:spacing w:val="-1"/>
          <w:sz w:val="24"/>
          <w:szCs w:val="24"/>
          <w:highlight w:val="none"/>
          <w:lang w:val="en-US" w:eastAsia="zh-CN"/>
        </w:rPr>
        <w:t>3土壤环境评价结论</w:t>
      </w:r>
    </w:p>
    <w:p w14:paraId="08AB0905">
      <w:pPr>
        <w:pStyle w:val="21"/>
        <w:keepNext w:val="0"/>
        <w:keepLines w:val="0"/>
        <w:pageBreakBefore w:val="0"/>
        <w:widowControl w:val="0"/>
        <w:kinsoku/>
        <w:wordWrap/>
        <w:overflowPunct/>
        <w:topLinePunct w:val="0"/>
        <w:autoSpaceDE/>
        <w:autoSpaceDN/>
        <w:bidi w:val="0"/>
        <w:adjustRightInd/>
        <w:snapToGrid/>
        <w:spacing w:before="0" w:line="360" w:lineRule="auto"/>
        <w:ind w:left="0" w:firstLine="480" w:firstLineChars="200"/>
        <w:textAlignment w:val="auto"/>
        <w:outlineLvl w:val="9"/>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1、土壤环境质量现状监测结果表明，</w:t>
      </w:r>
      <w:r>
        <w:rPr>
          <w:rFonts w:hint="default" w:ascii="Times New Roman" w:hAnsi="Times New Roman" w:eastAsia="宋体" w:cs="Times New Roman"/>
          <w:b w:val="0"/>
          <w:bCs w:val="0"/>
          <w:color w:val="auto"/>
          <w:sz w:val="24"/>
          <w:szCs w:val="24"/>
          <w:highlight w:val="none"/>
          <w:lang w:val="en-US" w:eastAsia="zh-CN"/>
        </w:rPr>
        <w:t>3</w:t>
      </w:r>
      <w:r>
        <w:rPr>
          <w:rFonts w:hint="default" w:ascii="Times New Roman" w:hAnsi="Times New Roman" w:eastAsia="宋体" w:cs="Times New Roman"/>
          <w:b w:val="0"/>
          <w:bCs w:val="0"/>
          <w:color w:val="auto"/>
          <w:sz w:val="24"/>
          <w:szCs w:val="24"/>
          <w:highlight w:val="none"/>
          <w:lang w:val="zh-CN" w:eastAsia="zh-CN"/>
        </w:rPr>
        <w:t>个监测点</w:t>
      </w:r>
      <w:r>
        <w:rPr>
          <w:rFonts w:hint="default" w:ascii="Times New Roman" w:hAnsi="Times New Roman" w:eastAsia="宋体" w:cs="Times New Roman"/>
          <w:b w:val="0"/>
          <w:bCs w:val="0"/>
          <w:color w:val="auto"/>
          <w:sz w:val="24"/>
          <w:szCs w:val="24"/>
          <w:highlight w:val="none"/>
          <w:lang w:val="en-US" w:eastAsia="zh-CN"/>
        </w:rPr>
        <w:t>各监测因子的监测结果均</w:t>
      </w:r>
      <w:r>
        <w:rPr>
          <w:rFonts w:hint="default" w:ascii="Times New Roman" w:hAnsi="Times New Roman" w:eastAsia="宋体" w:cs="Times New Roman"/>
          <w:b w:val="0"/>
          <w:bCs w:val="0"/>
          <w:color w:val="auto"/>
          <w:sz w:val="24"/>
          <w:szCs w:val="24"/>
          <w:highlight w:val="none"/>
          <w:lang w:val="zh-CN" w:eastAsia="zh-CN"/>
        </w:rPr>
        <w:t>满足《土壤环境质量 农用地土壤污染风险管控标准（试行）》（GB15618-2018）表1农用地土壤污染风险筛选值</w:t>
      </w:r>
      <w:r>
        <w:rPr>
          <w:rFonts w:hint="default" w:ascii="Times New Roman" w:hAnsi="Times New Roman" w:eastAsia="宋体" w:cs="Times New Roman"/>
          <w:b w:val="0"/>
          <w:bCs w:val="0"/>
          <w:color w:val="auto"/>
          <w:sz w:val="24"/>
          <w:szCs w:val="24"/>
          <w:highlight w:val="none"/>
          <w:lang w:val="en-US" w:eastAsia="zh-CN"/>
        </w:rPr>
        <w:t>要求</w:t>
      </w:r>
      <w:r>
        <w:rPr>
          <w:rFonts w:hint="default" w:ascii="Times New Roman" w:hAnsi="Times New Roman" w:eastAsia="宋体" w:cs="Times New Roman"/>
          <w:b w:val="0"/>
          <w:bCs w:val="0"/>
          <w:color w:val="auto"/>
          <w:sz w:val="24"/>
          <w:szCs w:val="24"/>
          <w:highlight w:val="none"/>
          <w:lang w:val="zh-CN" w:eastAsia="zh-CN"/>
        </w:rPr>
        <w:t>。</w:t>
      </w:r>
    </w:p>
    <w:p w14:paraId="5AF9CCB6">
      <w:pPr>
        <w:pStyle w:val="21"/>
        <w:keepNext w:val="0"/>
        <w:keepLines w:val="0"/>
        <w:pageBreakBefore w:val="0"/>
        <w:widowControl w:val="0"/>
        <w:kinsoku/>
        <w:wordWrap/>
        <w:overflowPunct/>
        <w:topLinePunct w:val="0"/>
        <w:autoSpaceDE/>
        <w:autoSpaceDN/>
        <w:bidi w:val="0"/>
        <w:adjustRightInd/>
        <w:snapToGrid/>
        <w:spacing w:before="0" w:line="360" w:lineRule="auto"/>
        <w:ind w:left="0" w:firstLine="480" w:firstLineChars="200"/>
        <w:textAlignment w:val="auto"/>
        <w:outlineLvl w:val="9"/>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2、5.5≤pH&lt;8.5之间，呈中性，土壤碱化分级结果显示，项目区域土壤呈“无酸化或碱化”。</w:t>
      </w:r>
    </w:p>
    <w:p w14:paraId="127E907A">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bCs w:val="0"/>
          <w:color w:val="auto"/>
          <w:kern w:val="44"/>
          <w:sz w:val="24"/>
          <w:szCs w:val="24"/>
          <w:highlight w:val="none"/>
        </w:rPr>
      </w:pPr>
      <w:r>
        <w:rPr>
          <w:rFonts w:hint="default" w:ascii="Times New Roman" w:hAnsi="Times New Roman" w:eastAsia="宋体" w:cs="Times New Roman"/>
          <w:b w:val="0"/>
          <w:bCs w:val="0"/>
          <w:color w:val="auto"/>
          <w:kern w:val="2"/>
          <w:sz w:val="24"/>
          <w:szCs w:val="24"/>
          <w:highlight w:val="none"/>
          <w:lang w:val="en-US" w:eastAsia="zh-CN" w:bidi="ar-SA"/>
        </w:rPr>
        <w:t>3、</w:t>
      </w:r>
      <w:r>
        <w:rPr>
          <w:rFonts w:hint="eastAsia" w:ascii="Times New Roman" w:hAnsi="Times New Roman" w:eastAsia="宋体" w:cs="Times New Roman"/>
          <w:b w:val="0"/>
          <w:bCs w:val="0"/>
          <w:color w:val="auto"/>
          <w:kern w:val="2"/>
          <w:sz w:val="24"/>
          <w:szCs w:val="24"/>
          <w:highlight w:val="none"/>
          <w:lang w:val="en-US" w:eastAsia="zh-CN" w:bidi="ar-SA"/>
        </w:rPr>
        <w:t>建设项目</w:t>
      </w:r>
      <w:r>
        <w:rPr>
          <w:rFonts w:hint="default" w:ascii="Times New Roman" w:hAnsi="Times New Roman" w:eastAsia="宋体" w:cs="Times New Roman"/>
          <w:b w:val="0"/>
          <w:bCs w:val="0"/>
          <w:color w:val="auto"/>
          <w:kern w:val="2"/>
          <w:sz w:val="24"/>
          <w:szCs w:val="24"/>
          <w:highlight w:val="none"/>
          <w:lang w:val="en-US" w:eastAsia="zh-CN" w:bidi="ar-SA"/>
        </w:rPr>
        <w:t>认真落实土壤环境保护措施，强化环境管理，严格控制和消除土壤污染源。严防因“三废”处理不合理或处理措施不当对土壤污染事件的发生，正常状况下，不会对土壤环境产生不良影响。</w:t>
      </w:r>
    </w:p>
    <w:p w14:paraId="345AB104">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20" w:name="_Toc4634"/>
      <w:r>
        <w:rPr>
          <w:rFonts w:hint="default" w:ascii="Times New Roman" w:hAnsi="Times New Roman" w:eastAsia="宋体" w:cs="Times New Roman"/>
          <w:b/>
          <w:bCs/>
          <w:color w:val="auto"/>
          <w:spacing w:val="-2"/>
          <w:sz w:val="24"/>
          <w:szCs w:val="24"/>
          <w:highlight w:val="none"/>
          <w:lang w:val="en-US" w:eastAsia="zh-CN"/>
        </w:rPr>
        <w:t>6.2.6运营期生态环境保护措施</w:t>
      </w:r>
      <w:bookmarkEnd w:id="220"/>
    </w:p>
    <w:p w14:paraId="2DCBA0BA">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snapToGrid w:val="0"/>
          <w:color w:val="auto"/>
          <w:sz w:val="24"/>
          <w:szCs w:val="24"/>
          <w:highlight w:val="none"/>
          <w:lang w:eastAsia="zh-CN"/>
        </w:rPr>
      </w:pPr>
      <w:r>
        <w:rPr>
          <w:rFonts w:hint="default" w:ascii="Times New Roman" w:hAnsi="Times New Roman" w:eastAsia="宋体" w:cs="Times New Roman"/>
          <w:color w:val="auto"/>
          <w:sz w:val="24"/>
          <w:szCs w:val="24"/>
          <w:highlight w:val="none"/>
          <w:lang w:val="en-US" w:eastAsia="zh-CN"/>
        </w:rPr>
        <w:t>本项目位于黑龙江省双鸭山市集贤县集贤镇种畜场（康家屯），</w:t>
      </w:r>
      <w:r>
        <w:rPr>
          <w:rFonts w:hint="default" w:ascii="Times New Roman" w:hAnsi="Times New Roman" w:eastAsia="宋体" w:cs="Times New Roman"/>
          <w:color w:val="auto"/>
          <w:sz w:val="24"/>
          <w:szCs w:val="24"/>
          <w:highlight w:val="none"/>
        </w:rPr>
        <w:t>中心地理坐标</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131.</w:t>
      </w:r>
      <w:r>
        <w:rPr>
          <w:rFonts w:hint="default" w:ascii="Times New Roman" w:hAnsi="Times New Roman" w:eastAsia="宋体" w:cs="Times New Roman"/>
          <w:color w:val="auto"/>
          <w:sz w:val="24"/>
          <w:szCs w:val="24"/>
          <w:highlight w:val="none"/>
          <w:lang w:val="en-US" w:eastAsia="zh-CN"/>
        </w:rPr>
        <w:t>157911924</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46.</w:t>
      </w:r>
      <w:r>
        <w:rPr>
          <w:rFonts w:hint="default" w:ascii="Times New Roman" w:hAnsi="Times New Roman" w:eastAsia="宋体" w:cs="Times New Roman"/>
          <w:color w:val="auto"/>
          <w:sz w:val="24"/>
          <w:szCs w:val="24"/>
          <w:highlight w:val="none"/>
          <w:lang w:val="en-US" w:eastAsia="zh-CN"/>
        </w:rPr>
        <w:t>795928082</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snapToGrid w:val="0"/>
          <w:color w:val="auto"/>
          <w:sz w:val="24"/>
          <w:szCs w:val="24"/>
          <w:highlight w:val="none"/>
          <w:lang w:eastAsia="zh-CN"/>
        </w:rPr>
        <w:t>。</w:t>
      </w:r>
      <w:r>
        <w:rPr>
          <w:rFonts w:hint="default" w:ascii="Times New Roman" w:hAnsi="Times New Roman" w:eastAsia="宋体" w:cs="Times New Roman"/>
          <w:b w:val="0"/>
          <w:bCs w:val="0"/>
          <w:color w:val="auto"/>
          <w:kern w:val="2"/>
          <w:sz w:val="24"/>
          <w:szCs w:val="24"/>
          <w:highlight w:val="none"/>
          <w:lang w:val="en-US" w:eastAsia="zh-CN" w:bidi="ar-SA"/>
        </w:rPr>
        <w:t>因本项目占地类型为</w:t>
      </w:r>
      <w:r>
        <w:rPr>
          <w:rFonts w:hint="default" w:ascii="Times New Roman" w:hAnsi="Times New Roman" w:eastAsia="宋体" w:cs="Times New Roman"/>
          <w:color w:val="FF0000"/>
          <w:spacing w:val="-3"/>
          <w:sz w:val="24"/>
          <w:szCs w:val="24"/>
          <w:highlight w:val="none"/>
        </w:rPr>
        <w:t>设施农用地</w:t>
      </w:r>
      <w:r>
        <w:rPr>
          <w:rFonts w:hint="default" w:ascii="Times New Roman" w:hAnsi="Times New Roman" w:eastAsia="宋体" w:cs="Times New Roman"/>
          <w:b w:val="0"/>
          <w:bCs w:val="0"/>
          <w:color w:val="auto"/>
          <w:kern w:val="2"/>
          <w:sz w:val="24"/>
          <w:szCs w:val="24"/>
          <w:highlight w:val="none"/>
          <w:lang w:val="en-US" w:eastAsia="zh-CN" w:bidi="ar-SA"/>
        </w:rPr>
        <w:t>。</w:t>
      </w:r>
      <w:r>
        <w:rPr>
          <w:rFonts w:hint="default" w:ascii="Times New Roman" w:hAnsi="Times New Roman" w:eastAsia="宋体" w:cs="Times New Roman"/>
          <w:color w:val="auto"/>
          <w:sz w:val="24"/>
          <w:szCs w:val="24"/>
          <w:highlight w:val="none"/>
        </w:rPr>
        <w:t>项目场区外500m范围内无敏感目标，本项目距离最近居民区为</w:t>
      </w:r>
      <w:r>
        <w:rPr>
          <w:rFonts w:hint="default" w:ascii="Times New Roman" w:hAnsi="Times New Roman" w:eastAsia="宋体" w:cs="Times New Roman"/>
          <w:color w:val="auto"/>
          <w:sz w:val="24"/>
          <w:szCs w:val="24"/>
          <w:highlight w:val="none"/>
          <w:lang w:val="en-US" w:eastAsia="zh-CN"/>
        </w:rPr>
        <w:t>北</w:t>
      </w:r>
      <w:r>
        <w:rPr>
          <w:rFonts w:hint="default" w:ascii="Times New Roman" w:hAnsi="Times New Roman" w:eastAsia="宋体" w:cs="Times New Roman"/>
          <w:color w:val="auto"/>
          <w:sz w:val="24"/>
          <w:szCs w:val="24"/>
          <w:highlight w:val="none"/>
          <w:lang w:eastAsia="zh-CN"/>
        </w:rPr>
        <w:t>侧</w:t>
      </w:r>
      <w:r>
        <w:rPr>
          <w:rFonts w:hint="default" w:ascii="Times New Roman" w:hAnsi="Times New Roman" w:eastAsia="宋体" w:cs="Times New Roman"/>
          <w:color w:val="auto"/>
          <w:sz w:val="24"/>
          <w:szCs w:val="24"/>
          <w:highlight w:val="none"/>
          <w:lang w:val="en-US" w:eastAsia="zh-CN"/>
        </w:rPr>
        <w:t>720</w:t>
      </w:r>
      <w:r>
        <w:rPr>
          <w:rFonts w:hint="default" w:ascii="Times New Roman" w:hAnsi="Times New Roman" w:eastAsia="宋体" w:cs="Times New Roman"/>
          <w:color w:val="auto"/>
          <w:sz w:val="24"/>
          <w:szCs w:val="24"/>
          <w:highlight w:val="none"/>
          <w:lang w:eastAsia="zh-CN"/>
        </w:rPr>
        <w:t>m处的</w:t>
      </w:r>
      <w:r>
        <w:rPr>
          <w:rFonts w:hint="default" w:ascii="Times New Roman" w:hAnsi="Times New Roman" w:eastAsia="宋体" w:cs="Times New Roman"/>
          <w:color w:val="auto"/>
          <w:sz w:val="24"/>
          <w:szCs w:val="24"/>
          <w:highlight w:val="none"/>
          <w:lang w:val="en-US" w:eastAsia="zh-CN"/>
        </w:rPr>
        <w:t>康家</w:t>
      </w:r>
      <w:r>
        <w:rPr>
          <w:rFonts w:hint="default" w:ascii="Times New Roman" w:hAnsi="Times New Roman" w:eastAsia="宋体" w:cs="Times New Roman"/>
          <w:color w:val="auto"/>
          <w:sz w:val="24"/>
          <w:szCs w:val="24"/>
          <w:highlight w:val="none"/>
          <w:lang w:eastAsia="zh-CN"/>
        </w:rPr>
        <w:t>屯</w:t>
      </w:r>
      <w:r>
        <w:rPr>
          <w:rFonts w:hint="default" w:ascii="Times New Roman" w:hAnsi="Times New Roman" w:eastAsia="宋体" w:cs="Times New Roman"/>
          <w:color w:val="auto"/>
          <w:sz w:val="24"/>
          <w:szCs w:val="24"/>
          <w:highlight w:val="none"/>
        </w:rPr>
        <w:t>。</w:t>
      </w:r>
    </w:p>
    <w:p w14:paraId="3B014C7A">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项目区域生态环境保护与恢复治理应坚持“预防为主、防治结合、过程控制”的原则，生态保护体现在水土流失防范及植被的恢复两方面。</w:t>
      </w:r>
    </w:p>
    <w:p w14:paraId="1CE0B3B3">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（1）植物资源保护措施</w:t>
      </w:r>
    </w:p>
    <w:p w14:paraId="6925F9B6">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在项目运营过程中，拟采取以下植物资源保护措施：</w:t>
      </w:r>
    </w:p>
    <w:p w14:paraId="0273C8B8">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保护好占地范围外的植被，减少对生态环境的破坏。在工程建设中，除占地外，不得随意开挖、填埋、毁坏及其周围区域</w:t>
      </w:r>
      <w:r>
        <w:rPr>
          <w:rFonts w:hint="default" w:ascii="Times New Roman" w:hAnsi="Times New Roman" w:eastAsia="宋体" w:cs="Times New Roman"/>
          <w:b w:val="0"/>
          <w:bCs w:val="0"/>
          <w:color w:val="auto"/>
          <w:sz w:val="24"/>
          <w:highlight w:val="none"/>
          <w:lang w:val="en-US" w:eastAsia="zh-CN"/>
        </w:rPr>
        <w:t>的土地</w:t>
      </w:r>
      <w:r>
        <w:rPr>
          <w:rFonts w:hint="default" w:ascii="Times New Roman" w:hAnsi="Times New Roman" w:eastAsia="宋体" w:cs="Times New Roman"/>
          <w:b w:val="0"/>
          <w:bCs w:val="0"/>
          <w:color w:val="auto"/>
          <w:sz w:val="24"/>
          <w:highlight w:val="none"/>
          <w:lang w:val="zh-CN"/>
        </w:rPr>
        <w:t>等；应因地制宜进行绿化，在</w:t>
      </w:r>
      <w:r>
        <w:rPr>
          <w:rFonts w:hint="default" w:ascii="Times New Roman" w:hAnsi="Times New Roman" w:eastAsia="宋体" w:cs="Times New Roman"/>
          <w:b w:val="0"/>
          <w:bCs w:val="0"/>
          <w:color w:val="auto"/>
          <w:sz w:val="24"/>
          <w:highlight w:val="none"/>
          <w:lang w:val="en-US" w:eastAsia="zh-CN"/>
        </w:rPr>
        <w:t>场区</w:t>
      </w:r>
      <w:r>
        <w:rPr>
          <w:rFonts w:hint="default" w:ascii="Times New Roman" w:hAnsi="Times New Roman" w:eastAsia="宋体" w:cs="Times New Roman"/>
          <w:b w:val="0"/>
          <w:bCs w:val="0"/>
          <w:color w:val="auto"/>
          <w:sz w:val="24"/>
          <w:highlight w:val="none"/>
          <w:lang w:val="zh-CN"/>
        </w:rPr>
        <w:t>周围植树，建立防护林草，</w:t>
      </w:r>
      <w:r>
        <w:rPr>
          <w:rFonts w:hint="default" w:ascii="Times New Roman" w:hAnsi="Times New Roman" w:eastAsia="宋体" w:cs="Times New Roman"/>
          <w:b w:val="0"/>
          <w:bCs w:val="0"/>
          <w:color w:val="auto"/>
          <w:sz w:val="24"/>
          <w:highlight w:val="none"/>
          <w:lang w:val="en-US" w:eastAsia="zh-CN"/>
        </w:rPr>
        <w:t>场区</w:t>
      </w:r>
      <w:r>
        <w:rPr>
          <w:rFonts w:hint="default" w:ascii="Times New Roman" w:hAnsi="Times New Roman" w:eastAsia="宋体" w:cs="Times New Roman"/>
          <w:b w:val="0"/>
          <w:bCs w:val="0"/>
          <w:color w:val="auto"/>
          <w:sz w:val="24"/>
          <w:highlight w:val="none"/>
          <w:lang w:val="zh-CN"/>
        </w:rPr>
        <w:t>内根据空地情况，进行植树、种草种花等，以补偿因占地引起的生态损失；生产期间禁止在占地范围外开荒，不得随意砍伐占地范围外的现有树木，破坏植被。</w:t>
      </w:r>
    </w:p>
    <w:p w14:paraId="6C0DB085">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（2）绿化及景观保护措施</w:t>
      </w:r>
    </w:p>
    <w:p w14:paraId="57D738E0">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加强</w:t>
      </w:r>
      <w:r>
        <w:rPr>
          <w:rFonts w:hint="default" w:ascii="Times New Roman" w:hAnsi="Times New Roman" w:eastAsia="宋体" w:cs="Times New Roman"/>
          <w:b w:val="0"/>
          <w:bCs w:val="0"/>
          <w:color w:val="auto"/>
          <w:sz w:val="24"/>
          <w:highlight w:val="none"/>
          <w:lang w:val="en-US" w:eastAsia="zh-CN"/>
        </w:rPr>
        <w:t>场区</w:t>
      </w:r>
      <w:r>
        <w:rPr>
          <w:rFonts w:hint="default" w:ascii="Times New Roman" w:hAnsi="Times New Roman" w:eastAsia="宋体" w:cs="Times New Roman"/>
          <w:b w:val="0"/>
          <w:bCs w:val="0"/>
          <w:color w:val="auto"/>
          <w:sz w:val="24"/>
          <w:highlight w:val="none"/>
          <w:lang w:val="zh-CN"/>
        </w:rPr>
        <w:t>周边绿化工作，通过种植花草树木水土保持等措施，美化环境，同时具有防风固土作用，减少水土流失量的发生。在</w:t>
      </w:r>
      <w:r>
        <w:rPr>
          <w:rFonts w:hint="default" w:ascii="Times New Roman" w:hAnsi="Times New Roman" w:eastAsia="宋体" w:cs="Times New Roman"/>
          <w:b w:val="0"/>
          <w:bCs w:val="0"/>
          <w:color w:val="auto"/>
          <w:sz w:val="24"/>
          <w:highlight w:val="none"/>
          <w:lang w:val="en-US" w:eastAsia="zh-CN"/>
        </w:rPr>
        <w:t>场区</w:t>
      </w:r>
      <w:r>
        <w:rPr>
          <w:rFonts w:hint="default" w:ascii="Times New Roman" w:hAnsi="Times New Roman" w:eastAsia="宋体" w:cs="Times New Roman"/>
          <w:b w:val="0"/>
          <w:bCs w:val="0"/>
          <w:color w:val="auto"/>
          <w:sz w:val="24"/>
          <w:highlight w:val="none"/>
          <w:lang w:val="zh-CN"/>
        </w:rPr>
        <w:t>道路两旁及建筑物四周进行植树、种草。林木可选用适合本地区自然条件、耐寒性强，具有防尘、降噪环境功能的乔木和灌木。闲置地块种植花草及硬化处理；周边栽植适宜本地区、根系发达，盘根错节的樟子松、杨树等，能起到很好的稳定及加固土壤的作用，防止水土流失。</w:t>
      </w:r>
    </w:p>
    <w:p w14:paraId="0C4337FF">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（3）生态影响的防护及恢复措施</w:t>
      </w:r>
    </w:p>
    <w:p w14:paraId="2C5A9CDB">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务必做好生产过程中的废物治理工作，使各污染物达标排放。加强对运输物料的封闭、覆盖和包装管理，减少运输途中对环境产生的危害。对</w:t>
      </w:r>
      <w:r>
        <w:rPr>
          <w:rFonts w:hint="default" w:ascii="Times New Roman" w:hAnsi="Times New Roman" w:eastAsia="宋体" w:cs="Times New Roman"/>
          <w:b w:val="0"/>
          <w:bCs w:val="0"/>
          <w:color w:val="auto"/>
          <w:sz w:val="24"/>
          <w:highlight w:val="none"/>
          <w:lang w:val="en-US" w:eastAsia="zh-CN"/>
        </w:rPr>
        <w:t>场区</w:t>
      </w:r>
      <w:r>
        <w:rPr>
          <w:rFonts w:hint="default" w:ascii="Times New Roman" w:hAnsi="Times New Roman" w:eastAsia="宋体" w:cs="Times New Roman"/>
          <w:b w:val="0"/>
          <w:bCs w:val="0"/>
          <w:color w:val="auto"/>
          <w:sz w:val="24"/>
          <w:highlight w:val="none"/>
          <w:lang w:val="zh-CN"/>
        </w:rPr>
        <w:t>及场前区的道路两侧和物料</w:t>
      </w:r>
      <w:r>
        <w:rPr>
          <w:rFonts w:hint="default" w:ascii="Times New Roman" w:hAnsi="Times New Roman" w:eastAsia="宋体" w:cs="Times New Roman"/>
          <w:b w:val="0"/>
          <w:bCs w:val="0"/>
          <w:color w:val="auto"/>
          <w:sz w:val="24"/>
          <w:highlight w:val="none"/>
          <w:lang w:val="en-US" w:eastAsia="zh-CN"/>
        </w:rPr>
        <w:t>储存设施</w:t>
      </w:r>
      <w:r>
        <w:rPr>
          <w:rFonts w:hint="default" w:ascii="Times New Roman" w:hAnsi="Times New Roman" w:eastAsia="宋体" w:cs="Times New Roman"/>
          <w:b w:val="0"/>
          <w:bCs w:val="0"/>
          <w:color w:val="auto"/>
          <w:sz w:val="24"/>
          <w:highlight w:val="none"/>
          <w:lang w:val="zh-CN"/>
        </w:rPr>
        <w:t>的周边进行合理的绿化，选择一些抗性较强的、滞尘效果较好、又有较好的观赏和生态价值的树种美化</w:t>
      </w:r>
      <w:r>
        <w:rPr>
          <w:rFonts w:hint="default" w:ascii="Times New Roman" w:hAnsi="Times New Roman" w:eastAsia="宋体" w:cs="Times New Roman"/>
          <w:b w:val="0"/>
          <w:bCs w:val="0"/>
          <w:color w:val="auto"/>
          <w:sz w:val="24"/>
          <w:highlight w:val="none"/>
          <w:lang w:val="en-US" w:eastAsia="zh-CN"/>
        </w:rPr>
        <w:t>场区</w:t>
      </w:r>
      <w:r>
        <w:rPr>
          <w:rFonts w:hint="default" w:ascii="Times New Roman" w:hAnsi="Times New Roman" w:eastAsia="宋体" w:cs="Times New Roman"/>
          <w:b w:val="0"/>
          <w:bCs w:val="0"/>
          <w:color w:val="auto"/>
          <w:sz w:val="24"/>
          <w:highlight w:val="none"/>
          <w:lang w:val="zh-CN"/>
        </w:rPr>
        <w:t>和场前区。</w:t>
      </w:r>
    </w:p>
    <w:p w14:paraId="0005CB8D">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w:t>
      </w:r>
      <w:r>
        <w:rPr>
          <w:rFonts w:hint="default" w:ascii="Times New Roman" w:hAnsi="Times New Roman" w:eastAsia="宋体" w:cs="Times New Roman"/>
          <w:b w:val="0"/>
          <w:bCs w:val="0"/>
          <w:color w:val="auto"/>
          <w:sz w:val="24"/>
          <w:highlight w:val="none"/>
          <w:lang w:val="en-US" w:eastAsia="zh-CN"/>
        </w:rPr>
        <w:t>4</w:t>
      </w:r>
      <w:r>
        <w:rPr>
          <w:rFonts w:hint="default" w:ascii="Times New Roman" w:hAnsi="Times New Roman" w:eastAsia="宋体" w:cs="Times New Roman"/>
          <w:b w:val="0"/>
          <w:bCs w:val="0"/>
          <w:color w:val="auto"/>
          <w:sz w:val="24"/>
          <w:highlight w:val="none"/>
          <w:lang w:val="zh-CN"/>
        </w:rPr>
        <w:t>）生态补偿措施</w:t>
      </w:r>
    </w:p>
    <w:p w14:paraId="158C74FD">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项目占地对生态环境</w:t>
      </w:r>
      <w:r>
        <w:rPr>
          <w:rFonts w:hint="default" w:ascii="Times New Roman" w:hAnsi="Times New Roman" w:eastAsia="宋体" w:cs="Times New Roman"/>
          <w:b w:val="0"/>
          <w:bCs w:val="0"/>
          <w:color w:val="auto"/>
          <w:sz w:val="24"/>
          <w:highlight w:val="none"/>
          <w:lang w:val="en-US" w:eastAsia="zh-CN"/>
        </w:rPr>
        <w:t>造成</w:t>
      </w:r>
      <w:r>
        <w:rPr>
          <w:rFonts w:hint="default" w:ascii="Times New Roman" w:hAnsi="Times New Roman" w:eastAsia="宋体" w:cs="Times New Roman"/>
          <w:b w:val="0"/>
          <w:bCs w:val="0"/>
          <w:color w:val="auto"/>
          <w:sz w:val="24"/>
          <w:highlight w:val="none"/>
          <w:lang w:val="zh-CN"/>
        </w:rPr>
        <w:t>破坏，因此，除加强减缓生态破坏措施外，必须进行生态补偿和恢复，具体方案如下：</w:t>
      </w:r>
    </w:p>
    <w:p w14:paraId="15CBAD9A">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依据《中华人民共和国农村土地承包法》、《中华人民共和国草原法》、《中华人民共和国合同法》、《黑龙江省草原条例》等文件相关规定及标准。</w:t>
      </w:r>
      <w:r>
        <w:rPr>
          <w:rFonts w:hint="default" w:ascii="Times New Roman" w:hAnsi="Times New Roman" w:eastAsia="宋体" w:cs="Times New Roman"/>
          <w:b w:val="0"/>
          <w:bCs w:val="0"/>
          <w:color w:val="auto"/>
          <w:kern w:val="2"/>
          <w:sz w:val="24"/>
          <w:szCs w:val="24"/>
          <w:highlight w:val="none"/>
          <w:lang w:val="en-US" w:eastAsia="zh-CN" w:bidi="ar-SA"/>
        </w:rPr>
        <w:t>根据项目占用天然牧草地状况，按照“占补平衡”的原则选定适宜地块，采取异地补充的方式完成占补平衡。</w:t>
      </w:r>
    </w:p>
    <w:p w14:paraId="25D4084D">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w:t>
      </w:r>
      <w:r>
        <w:rPr>
          <w:rFonts w:hint="default" w:ascii="Times New Roman" w:hAnsi="Times New Roman" w:eastAsia="宋体" w:cs="Times New Roman"/>
          <w:b w:val="0"/>
          <w:bCs w:val="0"/>
          <w:color w:val="auto"/>
          <w:sz w:val="24"/>
          <w:highlight w:val="none"/>
          <w:lang w:val="en-US" w:eastAsia="zh-CN"/>
        </w:rPr>
        <w:t>5</w:t>
      </w:r>
      <w:r>
        <w:rPr>
          <w:rFonts w:hint="default" w:ascii="Times New Roman" w:hAnsi="Times New Roman" w:eastAsia="宋体" w:cs="Times New Roman"/>
          <w:b w:val="0"/>
          <w:bCs w:val="0"/>
          <w:color w:val="auto"/>
          <w:sz w:val="24"/>
          <w:highlight w:val="none"/>
          <w:lang w:val="zh-CN"/>
        </w:rPr>
        <w:t>）野生动物资源保护措施</w:t>
      </w:r>
    </w:p>
    <w:p w14:paraId="52C725C7">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color w:val="auto"/>
          <w:sz w:val="24"/>
          <w:highlight w:val="none"/>
          <w:lang w:val="zh-CN"/>
        </w:rPr>
        <w:t>项目运营过程中严格执行《中华人民共和国野生动物保护法》，严禁捕杀或破坏野生动物，加强职工的行为管理，建立严格的生态保护制度，在道路边，设置“保护生态环境、保护野生动植物”等警示牌，防止捕猎野生动物、滥采天然植被情况的发生。并针对</w:t>
      </w:r>
      <w:r>
        <w:rPr>
          <w:rFonts w:hint="eastAsia" w:ascii="Times New Roman" w:hAnsi="Times New Roman" w:eastAsia="宋体" w:cs="Times New Roman"/>
          <w:b w:val="0"/>
          <w:bCs w:val="0"/>
          <w:color w:val="auto"/>
          <w:sz w:val="24"/>
          <w:highlight w:val="none"/>
          <w:lang w:val="zh-CN"/>
        </w:rPr>
        <w:t>属于</w:t>
      </w:r>
      <w:r>
        <w:rPr>
          <w:rFonts w:hint="default" w:ascii="Times New Roman" w:hAnsi="Times New Roman" w:eastAsia="宋体" w:cs="Times New Roman"/>
          <w:b w:val="0"/>
          <w:bCs w:val="0"/>
          <w:color w:val="auto"/>
          <w:sz w:val="24"/>
          <w:highlight w:val="none"/>
          <w:lang w:val="zh-CN"/>
        </w:rPr>
        <w:t>《“三有”名录》的动物在严格执行《中华人民共和国野生动物保护法》的同时，针对其有益、有重要经济、有科学研究的特性，采取主动避让、保护、避免人为干扰，加强员工的野生动物保护意识宣传教育等措施。</w:t>
      </w:r>
    </w:p>
    <w:p w14:paraId="5F420A91">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right="0" w:rightChars="0" w:firstLine="480" w:firstLineChars="200"/>
        <w:textAlignment w:val="baseline"/>
        <w:outlineLvl w:val="9"/>
        <w:rPr>
          <w:rFonts w:hint="default" w:ascii="Times New Roman" w:hAnsi="Times New Roman" w:eastAsia="宋体" w:cs="Times New Roman"/>
          <w:b w:val="0"/>
          <w:bCs w:val="0"/>
          <w:color w:val="auto"/>
          <w:sz w:val="24"/>
          <w:highlight w:val="none"/>
          <w:lang w:val="zh-CN"/>
        </w:rPr>
      </w:pPr>
      <w:r>
        <w:rPr>
          <w:rFonts w:hint="default" w:ascii="Times New Roman" w:hAnsi="Times New Roman" w:eastAsia="宋体" w:cs="Times New Roman"/>
          <w:b w:val="0"/>
          <w:bCs w:val="0"/>
          <w:snapToGrid w:val="0"/>
          <w:color w:val="auto"/>
          <w:kern w:val="0"/>
          <w:sz w:val="24"/>
          <w:szCs w:val="21"/>
          <w:highlight w:val="none"/>
          <w:lang w:val="zh-CN" w:eastAsia="en-US" w:bidi="ar-SA"/>
        </w:rPr>
        <w:t>（6）</w:t>
      </w:r>
      <w:r>
        <w:rPr>
          <w:rFonts w:hint="default" w:ascii="Times New Roman" w:hAnsi="Times New Roman" w:eastAsia="宋体" w:cs="Times New Roman"/>
          <w:b w:val="0"/>
          <w:bCs w:val="0"/>
          <w:color w:val="auto"/>
          <w:sz w:val="24"/>
          <w:highlight w:val="none"/>
          <w:lang w:val="zh-CN"/>
        </w:rPr>
        <w:t>管理由运营方负责牵头，设立管理机构，明确责权鉴别、人员配置及其素质要求、管理制度建设、环境与资源监测控制</w:t>
      </w:r>
      <w:r>
        <w:rPr>
          <w:rFonts w:hint="default" w:ascii="Times New Roman" w:hAnsi="Times New Roman" w:eastAsia="宋体" w:cs="Times New Roman"/>
          <w:b w:val="0"/>
          <w:bCs w:val="0"/>
          <w:color w:val="auto"/>
          <w:sz w:val="24"/>
          <w:highlight w:val="none"/>
          <w:lang w:val="en-US" w:eastAsia="zh-CN"/>
        </w:rPr>
        <w:t>及</w:t>
      </w:r>
      <w:r>
        <w:rPr>
          <w:rFonts w:hint="default" w:ascii="Times New Roman" w:hAnsi="Times New Roman" w:eastAsia="宋体" w:cs="Times New Roman"/>
          <w:b w:val="0"/>
          <w:bCs w:val="0"/>
          <w:color w:val="auto"/>
          <w:sz w:val="24"/>
          <w:highlight w:val="none"/>
          <w:lang w:val="zh-CN"/>
        </w:rPr>
        <w:t>管理计划</w:t>
      </w:r>
      <w:r>
        <w:rPr>
          <w:rFonts w:hint="default" w:ascii="Times New Roman" w:hAnsi="Times New Roman" w:eastAsia="宋体" w:cs="Times New Roman"/>
          <w:b w:val="0"/>
          <w:bCs w:val="0"/>
          <w:color w:val="auto"/>
          <w:sz w:val="24"/>
          <w:highlight w:val="none"/>
          <w:lang w:val="en-US" w:eastAsia="zh-CN"/>
        </w:rPr>
        <w:t>的制定实施</w:t>
      </w:r>
      <w:r>
        <w:rPr>
          <w:rFonts w:hint="default" w:ascii="Times New Roman" w:hAnsi="Times New Roman" w:eastAsia="宋体" w:cs="Times New Roman"/>
          <w:b w:val="0"/>
          <w:bCs w:val="0"/>
          <w:color w:val="auto"/>
          <w:sz w:val="24"/>
          <w:highlight w:val="none"/>
          <w:lang w:val="zh-CN"/>
        </w:rPr>
        <w:t>。</w:t>
      </w:r>
    </w:p>
    <w:p w14:paraId="6499140D">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221" w:name="_Toc2140"/>
      <w:r>
        <w:rPr>
          <w:rFonts w:hint="default" w:ascii="Times New Roman" w:hAnsi="Times New Roman" w:eastAsia="Times New Roman" w:cs="Times New Roman"/>
          <w:b/>
          <w:bCs/>
          <w:color w:val="auto"/>
          <w:spacing w:val="-5"/>
          <w:sz w:val="28"/>
          <w:szCs w:val="28"/>
          <w:highlight w:val="none"/>
          <w:lang w:val="zh-CN" w:eastAsia="zh-CN"/>
        </w:rPr>
        <w:t>6.</w:t>
      </w:r>
      <w:r>
        <w:rPr>
          <w:rFonts w:hint="default" w:ascii="Times New Roman" w:hAnsi="Times New Roman" w:eastAsia="Times New Roman" w:cs="Times New Roman"/>
          <w:b/>
          <w:bCs/>
          <w:color w:val="auto"/>
          <w:spacing w:val="-5"/>
          <w:sz w:val="28"/>
          <w:szCs w:val="28"/>
          <w:highlight w:val="none"/>
          <w:lang w:val="en-US" w:eastAsia="zh-CN"/>
        </w:rPr>
        <w:t>3</w:t>
      </w:r>
      <w:r>
        <w:rPr>
          <w:rFonts w:hint="default" w:ascii="Times New Roman" w:hAnsi="Times New Roman" w:eastAsia="宋体" w:cs="Times New Roman"/>
          <w:b/>
          <w:bCs w:val="0"/>
          <w:color w:val="auto"/>
          <w:kern w:val="44"/>
          <w:sz w:val="28"/>
          <w:szCs w:val="28"/>
          <w:highlight w:val="none"/>
        </w:rPr>
        <w:t>风险防范措施</w:t>
      </w:r>
      <w:bookmarkEnd w:id="221"/>
    </w:p>
    <w:p w14:paraId="0934BF7F">
      <w:pPr>
        <w:keepNext w:val="0"/>
        <w:keepLines w:val="0"/>
        <w:pageBreakBefore w:val="0"/>
        <w:widowControl/>
        <w:kinsoku/>
        <w:wordWrap w:val="0"/>
        <w:overflowPunct/>
        <w:topLinePunct/>
        <w:autoSpaceDE/>
        <w:autoSpaceDN/>
        <w:bidi w:val="0"/>
        <w:adjustRightInd w:val="0"/>
        <w:snapToGrid w:val="0"/>
        <w:spacing w:line="360" w:lineRule="auto"/>
        <w:ind w:left="0" w:right="0" w:firstLine="460" w:firstLineChars="200"/>
        <w:textAlignment w:val="baseline"/>
        <w:rPr>
          <w:rFonts w:hint="default" w:ascii="Times New Roman" w:hAnsi="Times New Roman" w:eastAsia="宋体" w:cs="Times New Roman"/>
          <w:color w:val="auto"/>
          <w:highlight w:val="none"/>
        </w:rPr>
      </w:pPr>
      <w:r>
        <w:rPr>
          <w:rFonts w:hint="default" w:ascii="Times New Roman" w:hAnsi="Times New Roman" w:eastAsia="宋体" w:cs="Times New Roman"/>
          <w:color w:val="auto"/>
          <w:spacing w:val="-5"/>
          <w:sz w:val="24"/>
          <w:szCs w:val="24"/>
          <w:highlight w:val="none"/>
        </w:rPr>
        <w:t>由环境风险识别可知，本项目运营期涉及到的风险主要为养殖过程中的疾病疫情风险。</w:t>
      </w:r>
    </w:p>
    <w:p w14:paraId="0C24B436">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22" w:name="_Toc5669"/>
      <w:r>
        <w:rPr>
          <w:rFonts w:hint="default" w:ascii="Times New Roman" w:hAnsi="Times New Roman" w:eastAsia="宋体" w:cs="Times New Roman"/>
          <w:b/>
          <w:bCs/>
          <w:color w:val="auto"/>
          <w:spacing w:val="-2"/>
          <w:sz w:val="24"/>
          <w:szCs w:val="24"/>
          <w:highlight w:val="none"/>
          <w:lang w:val="en-US" w:eastAsia="zh-CN"/>
        </w:rPr>
        <w:t>6.3.1疾病疫情风险防范措施</w:t>
      </w:r>
      <w:bookmarkEnd w:id="222"/>
    </w:p>
    <w:p w14:paraId="763E6F0F">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（1）日常预防措施</w:t>
      </w:r>
    </w:p>
    <w:p w14:paraId="0BBCF4E3">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①在生产中应坚持“防病重于治病”的方针，改变原来的被动治疗为现在的主动预防。如引种时的检疫、隔离、消毒；</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场疾病的化验与预测；疫苗的注射、药物预防等等，都是将疾病拒之门外的有效办法。</w:t>
      </w:r>
    </w:p>
    <w:p w14:paraId="5EA4F264">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②企业应将养殖区与生活区分开。养殖区门口应设置消毒池和消毒室(内设紫外线灯等消毒设施)。</w:t>
      </w:r>
    </w:p>
    <w:p w14:paraId="128EE1B7">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③严格控制非生产人员进入生产区，必须进入时应更换工作服及鞋帽，经消毒室消毒后才能进入。</w:t>
      </w:r>
    </w:p>
    <w:p w14:paraId="69F1ECA8">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④兽医必须转变观念，现代化养</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必须树立兽医新观念。</w:t>
      </w:r>
    </w:p>
    <w:p w14:paraId="0A0AE2D3">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兽医除了对常见疾病进行治疗外，还必须经常对</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群临床症状进行收集、分析、整理，形成最佳、最可信的详细资料，再根据流行病学的基本特征去排除</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场一些慢性病和亚临床症状疾病，保证</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群健康，达到预期的生长性能。传统的治疗兽医将变成防疫兽医，再发展成现在的保健兽医。只有这样，才能在</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病防控工作上取得突破性进展。</w:t>
      </w:r>
    </w:p>
    <w:p w14:paraId="43490478">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⑤合理布局、完善设施及严格消毒是预防疾病的基础。</w:t>
      </w:r>
    </w:p>
    <w:p w14:paraId="64C808CF">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场选址一般要求地势高，远离主干道，通风向阳，水质好，排污治污方便的地方。现代化养</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往往通过改善养</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设备来控制或减少疾病。如</w:t>
      </w:r>
      <w:r>
        <w:rPr>
          <w:rFonts w:hint="default" w:ascii="Times New Roman" w:hAnsi="Times New Roman" w:eastAsia="宋体" w:cs="Times New Roman"/>
          <w:b w:val="0"/>
          <w:bCs w:val="0"/>
          <w:snapToGrid w:val="0"/>
          <w:color w:val="auto"/>
          <w:kern w:val="0"/>
          <w:sz w:val="24"/>
          <w:szCs w:val="21"/>
          <w:highlight w:val="none"/>
          <w:lang w:val="zh-CN" w:eastAsia="zh-CN" w:bidi="ar-SA"/>
        </w:rPr>
        <w:t>干清粪工艺</w:t>
      </w:r>
      <w:r>
        <w:rPr>
          <w:rFonts w:hint="default" w:ascii="Times New Roman" w:hAnsi="Times New Roman" w:eastAsia="宋体" w:cs="Times New Roman"/>
          <w:b w:val="0"/>
          <w:bCs w:val="0"/>
          <w:snapToGrid w:val="0"/>
          <w:color w:val="auto"/>
          <w:kern w:val="0"/>
          <w:sz w:val="24"/>
          <w:szCs w:val="21"/>
          <w:highlight w:val="none"/>
          <w:lang w:val="zh-CN" w:eastAsia="en-US" w:bidi="ar-SA"/>
        </w:rPr>
        <w:t>；小单元的全进全出；通风系统及温控设备等等。不可忽视隔离墙、隔离沟、消毒池和排污道的建设。经常开展常规的消毒，保持良好的消毒效果来减少疾病的感染机会，进一步促进</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群健康。</w:t>
      </w:r>
    </w:p>
    <w:p w14:paraId="594FC919">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常见空圈舍消毒程序：</w:t>
      </w:r>
    </w:p>
    <w:p w14:paraId="3F407D93">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空圈</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清理杂物</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消毒</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晾干</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熏蒸消毒</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晾干</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阳离子表面活性消毒剂消毒</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晾干</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进</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w:t>
      </w:r>
    </w:p>
    <w:p w14:paraId="7C2F4382">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⑥加强饲养管理，搞好环境卫生是预防疾病的条件。</w:t>
      </w:r>
    </w:p>
    <w:p w14:paraId="23A5FD68">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全价平衡的营养是保证</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群发挥生产性能的重要因素，良好的饲养环境有利于</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群生产性能的正常发挥。科学程序化的管理使</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群生产性能获得最大经济效益。相反，营养不良、环境恶劣、管理不善，都能降低</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群的抗感染能力或者引起</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群疾病加重。即便是很健康、免疫能力很强的</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群在极其恶劣的环境下也很难避免疾病的发生。另外及时淘汰无价值的个体，对减少疾病非常重要。</w:t>
      </w:r>
    </w:p>
    <w:p w14:paraId="7B23AD9D">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⑦饲养人员每年应至少进行一次体格检查，如发现患有危害人、</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的传染病者，应及时调离，以防传染。</w:t>
      </w:r>
    </w:p>
    <w:p w14:paraId="36901989">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⑧经常保持</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舍、</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体的清洁，</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舍还应保持平整、干燥、无污物。</w:t>
      </w:r>
    </w:p>
    <w:p w14:paraId="504C61C7">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（2）疫病监测制度</w:t>
      </w:r>
    </w:p>
    <w:p w14:paraId="568032FB">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疫病监测是预防疾病的关键。</w:t>
      </w:r>
    </w:p>
    <w:p w14:paraId="2D7BCB75">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只有对本场所有</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只的健康状况、免疫水平以及原发病史进行全面、细致的了解，才能有针对性制定免疫程序、防控措施和净化方案。</w:t>
      </w:r>
    </w:p>
    <w:p w14:paraId="6CF544FA">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场应建立如下疾病监测制度：</w:t>
      </w:r>
    </w:p>
    <w:p w14:paraId="286618FF">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①进行细小病毒病、伪狂犬病、乙脑、瘟疫苗注射及注射1</w:t>
      </w:r>
      <w:r>
        <w:rPr>
          <w:rFonts w:hint="default" w:ascii="Times New Roman" w:hAnsi="Times New Roman" w:eastAsia="宋体" w:cs="Times New Roman"/>
          <w:b w:val="0"/>
          <w:bCs w:val="0"/>
          <w:snapToGrid w:val="0"/>
          <w:color w:val="auto"/>
          <w:kern w:val="0"/>
          <w:sz w:val="24"/>
          <w:szCs w:val="21"/>
          <w:highlight w:val="none"/>
          <w:lang w:val="en-US" w:eastAsia="zh-CN" w:bidi="ar-SA"/>
        </w:rPr>
        <w:t>~</w:t>
      </w:r>
      <w:r>
        <w:rPr>
          <w:rFonts w:hint="default" w:ascii="Times New Roman" w:hAnsi="Times New Roman" w:eastAsia="宋体" w:cs="Times New Roman"/>
          <w:b w:val="0"/>
          <w:bCs w:val="0"/>
          <w:snapToGrid w:val="0"/>
          <w:color w:val="auto"/>
          <w:kern w:val="0"/>
          <w:sz w:val="24"/>
          <w:szCs w:val="21"/>
          <w:highlight w:val="none"/>
          <w:lang w:val="zh-CN" w:eastAsia="en-US" w:bidi="ar-SA"/>
        </w:rPr>
        <w:t>3周后抽血化验工作。进行血清学检测，监测</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群健康状态和免疫效果。</w:t>
      </w:r>
    </w:p>
    <w:p w14:paraId="6910FE82">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②做好疫苗接种前后的血清抗体监测工作，以便能随时掌握</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群免疫状况和接种效果。对血清监测的结果，应根据监测样品多少、监测方法的准确性，以及</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群的临床检查结果等方面的资料，进行综合分析，可随时调整免疫程序或补免。</w:t>
      </w:r>
    </w:p>
    <w:p w14:paraId="260336C4">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③定期监测</w:t>
      </w:r>
      <w:r>
        <w:rPr>
          <w:rFonts w:hint="default" w:ascii="Times New Roman" w:hAnsi="Times New Roman" w:eastAsia="宋体" w:cs="Times New Roman"/>
          <w:b w:val="0"/>
          <w:bCs w:val="0"/>
          <w:snapToGrid w:val="0"/>
          <w:color w:val="auto"/>
          <w:kern w:val="0"/>
          <w:sz w:val="24"/>
          <w:szCs w:val="21"/>
          <w:highlight w:val="none"/>
          <w:lang w:val="zh-CN" w:eastAsia="zh-CN" w:bidi="ar-SA"/>
        </w:rPr>
        <w:t>口蹄疫</w:t>
      </w:r>
      <w:r>
        <w:rPr>
          <w:rFonts w:hint="default" w:ascii="Times New Roman" w:hAnsi="Times New Roman" w:eastAsia="宋体" w:cs="Times New Roman"/>
          <w:b w:val="0"/>
          <w:bCs w:val="0"/>
          <w:snapToGrid w:val="0"/>
          <w:color w:val="auto"/>
          <w:kern w:val="0"/>
          <w:sz w:val="24"/>
          <w:szCs w:val="21"/>
          <w:highlight w:val="none"/>
          <w:lang w:val="zh-CN" w:eastAsia="en-US" w:bidi="ar-SA"/>
        </w:rPr>
        <w:t>、</w:t>
      </w:r>
      <w:r>
        <w:rPr>
          <w:rFonts w:hint="default" w:ascii="Times New Roman" w:hAnsi="Times New Roman" w:eastAsia="宋体" w:cs="Times New Roman"/>
          <w:b w:val="0"/>
          <w:bCs w:val="0"/>
          <w:snapToGrid w:val="0"/>
          <w:color w:val="auto"/>
          <w:kern w:val="0"/>
          <w:sz w:val="24"/>
          <w:szCs w:val="21"/>
          <w:highlight w:val="none"/>
          <w:lang w:val="zh-CN" w:eastAsia="zh-CN" w:bidi="ar-SA"/>
        </w:rPr>
        <w:t>炭疽病</w:t>
      </w:r>
      <w:r>
        <w:rPr>
          <w:rFonts w:hint="default" w:ascii="Times New Roman" w:hAnsi="Times New Roman" w:eastAsia="宋体" w:cs="Times New Roman"/>
          <w:b w:val="0"/>
          <w:bCs w:val="0"/>
          <w:snapToGrid w:val="0"/>
          <w:color w:val="auto"/>
          <w:kern w:val="0"/>
          <w:sz w:val="24"/>
          <w:szCs w:val="21"/>
          <w:highlight w:val="none"/>
          <w:lang w:val="zh-CN" w:eastAsia="en-US" w:bidi="ar-SA"/>
        </w:rPr>
        <w:t>、传染性胸膜肺炎</w:t>
      </w:r>
      <w:r>
        <w:rPr>
          <w:rFonts w:hint="default" w:ascii="Times New Roman" w:hAnsi="Times New Roman" w:eastAsia="宋体" w:cs="Times New Roman"/>
          <w:b w:val="0"/>
          <w:bCs w:val="0"/>
          <w:snapToGrid w:val="0"/>
          <w:color w:val="auto"/>
          <w:kern w:val="0"/>
          <w:sz w:val="24"/>
          <w:szCs w:val="21"/>
          <w:highlight w:val="none"/>
          <w:lang w:val="zh-CN" w:eastAsia="zh-CN" w:bidi="ar-SA"/>
        </w:rPr>
        <w:t>等</w:t>
      </w:r>
      <w:r>
        <w:rPr>
          <w:rFonts w:hint="default" w:ascii="Times New Roman" w:hAnsi="Times New Roman" w:eastAsia="宋体" w:cs="Times New Roman"/>
          <w:b w:val="0"/>
          <w:bCs w:val="0"/>
          <w:snapToGrid w:val="0"/>
          <w:color w:val="auto"/>
          <w:kern w:val="0"/>
          <w:sz w:val="24"/>
          <w:szCs w:val="21"/>
          <w:highlight w:val="none"/>
          <w:lang w:val="zh-CN" w:eastAsia="en-US" w:bidi="ar-SA"/>
        </w:rPr>
        <w:t>。</w:t>
      </w:r>
    </w:p>
    <w:p w14:paraId="784DD7E1">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④做好</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群驱虫前、后的化验监测工作，特别是监测弓形虫病、附红细胞体病等寄生病的有无、存在的程度。</w:t>
      </w:r>
    </w:p>
    <w:p w14:paraId="6F38D5C3">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0"/>
          <w:sz w:val="24"/>
          <w:szCs w:val="21"/>
          <w:highlight w:val="none"/>
          <w:lang w:val="zh-CN" w:eastAsia="en-US" w:bidi="ar-SA"/>
        </w:rPr>
      </w:pPr>
      <w:r>
        <w:rPr>
          <w:rFonts w:hint="default" w:ascii="Times New Roman" w:hAnsi="Times New Roman" w:eastAsia="宋体" w:cs="Times New Roman"/>
          <w:b w:val="0"/>
          <w:bCs w:val="0"/>
          <w:snapToGrid w:val="0"/>
          <w:color w:val="auto"/>
          <w:kern w:val="0"/>
          <w:sz w:val="24"/>
          <w:szCs w:val="21"/>
          <w:highlight w:val="none"/>
          <w:lang w:val="zh-CN" w:eastAsia="en-US" w:bidi="ar-SA"/>
        </w:rPr>
        <w:t>总之，引起</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场疾病的因素很多。在实际工作中只有注意到生产中的各种细节，职工能积极主动配合，疾病防治工作才能做好，</w:t>
      </w:r>
      <w:r>
        <w:rPr>
          <w:rFonts w:hint="default" w:ascii="Times New Roman" w:hAnsi="Times New Roman" w:eastAsia="宋体" w:cs="Times New Roman"/>
          <w:b w:val="0"/>
          <w:bCs w:val="0"/>
          <w:snapToGrid w:val="0"/>
          <w:color w:val="auto"/>
          <w:kern w:val="0"/>
          <w:sz w:val="24"/>
          <w:szCs w:val="21"/>
          <w:highlight w:val="none"/>
          <w:lang w:val="zh-CN" w:eastAsia="zh-CN" w:bidi="ar-SA"/>
        </w:rPr>
        <w:t>牛</w:t>
      </w:r>
      <w:r>
        <w:rPr>
          <w:rFonts w:hint="default" w:ascii="Times New Roman" w:hAnsi="Times New Roman" w:eastAsia="宋体" w:cs="Times New Roman"/>
          <w:b w:val="0"/>
          <w:bCs w:val="0"/>
          <w:snapToGrid w:val="0"/>
          <w:color w:val="auto"/>
          <w:kern w:val="0"/>
          <w:sz w:val="24"/>
          <w:szCs w:val="21"/>
          <w:highlight w:val="none"/>
          <w:lang w:val="zh-CN" w:eastAsia="en-US" w:bidi="ar-SA"/>
        </w:rPr>
        <w:t>场才能实现安全生产。</w:t>
      </w:r>
    </w:p>
    <w:p w14:paraId="7BDAC5E3">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23" w:name="_Toc5260"/>
      <w:r>
        <w:rPr>
          <w:rFonts w:hint="default" w:ascii="Times New Roman" w:hAnsi="Times New Roman" w:eastAsia="宋体" w:cs="Times New Roman"/>
          <w:b/>
          <w:bCs/>
          <w:color w:val="auto"/>
          <w:spacing w:val="-2"/>
          <w:sz w:val="24"/>
          <w:szCs w:val="24"/>
          <w:highlight w:val="none"/>
          <w:lang w:val="en-US" w:eastAsia="zh-CN"/>
        </w:rPr>
        <w:t>6.3.2应急预案</w:t>
      </w:r>
      <w:bookmarkEnd w:id="223"/>
    </w:p>
    <w:p w14:paraId="61193384">
      <w:pPr>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重大事故可能造成人员的严重伤害或丧生和引起财产的损失，它一般要求</w:t>
      </w:r>
      <w:r>
        <w:rPr>
          <w:rFonts w:hint="eastAsia" w:ascii="Times New Roman" w:hAnsi="Times New Roman" w:eastAsia="宋体" w:cs="Times New Roman"/>
          <w:color w:val="auto"/>
          <w:kern w:val="2"/>
          <w:sz w:val="24"/>
          <w:szCs w:val="24"/>
          <w:highlight w:val="none"/>
          <w:lang w:val="en-US" w:eastAsia="zh-CN" w:bidi="ar-SA"/>
        </w:rPr>
        <w:t>场外</w:t>
      </w:r>
      <w:r>
        <w:rPr>
          <w:rFonts w:hint="default" w:ascii="Times New Roman" w:hAnsi="Times New Roman" w:eastAsia="宋体" w:cs="Times New Roman"/>
          <w:color w:val="auto"/>
          <w:kern w:val="2"/>
          <w:sz w:val="24"/>
          <w:szCs w:val="24"/>
          <w:highlight w:val="none"/>
          <w:lang w:val="en-US" w:eastAsia="zh-CN" w:bidi="ar-SA"/>
        </w:rPr>
        <w:t>紧急服务部门帮助进行有效地处理。尽管事故可由许多不同因素引起，如设备故障、人的失误、自然灾害等，但其主要表现形式一般为两种：火灾、爆炸。好的设计、操作、维护和检查可以用来预防事故、减少事故的危险，但不能消除它，即绝对安全是达不到的，因而重大危险控制的重要组成部分是如何降低重大事故后果的影响。</w:t>
      </w:r>
    </w:p>
    <w:p w14:paraId="169D24BA">
      <w:pPr>
        <w:keepNext w:val="0"/>
        <w:keepLines w:val="0"/>
        <w:pageBreakBefore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事故应急预案的总目标是：将紧急事故局部化，若可能并予以消除；尽量缩小事故对人和财产的影响。消除事故一定要求操作人员和工厂紧急事故人员迅速行动，并使用消防设备、紧急关闭阀门等。</w:t>
      </w:r>
    </w:p>
    <w:p w14:paraId="2C0D1EA4">
      <w:pPr>
        <w:pStyle w:val="40"/>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事故应急救援预案应由管理和操作人员针对装置的具体情况进行编写，为了能在事故发生的初期阶段采取紧急措施，控制事态，把事故损失降低到最小。针对可能出现较大事故，应该制定相应的事故应急预案。</w:t>
      </w:r>
    </w:p>
    <w:p w14:paraId="39743AC6">
      <w:pPr>
        <w:pStyle w:val="40"/>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b/>
          <w:bCs/>
          <w:color w:val="auto"/>
          <w:kern w:val="2"/>
          <w:sz w:val="24"/>
          <w:szCs w:val="24"/>
          <w:highlight w:val="none"/>
          <w:lang w:val="zh-CN" w:eastAsia="zh-CN" w:bidi="ar-SA"/>
        </w:rPr>
        <w:t>表6</w:t>
      </w:r>
      <w:r>
        <w:rPr>
          <w:rFonts w:hint="default" w:ascii="Times New Roman" w:hAnsi="Times New Roman" w:eastAsia="宋体" w:cs="Times New Roman"/>
          <w:b/>
          <w:bCs/>
          <w:color w:val="auto"/>
          <w:kern w:val="2"/>
          <w:sz w:val="24"/>
          <w:szCs w:val="24"/>
          <w:highlight w:val="none"/>
          <w:lang w:val="en-US" w:eastAsia="zh-CN" w:bidi="ar-SA"/>
        </w:rPr>
        <w:t>.3</w:t>
      </w:r>
      <w:r>
        <w:rPr>
          <w:rFonts w:hint="default" w:ascii="Times New Roman" w:hAnsi="Times New Roman" w:eastAsia="宋体" w:cs="Times New Roman"/>
          <w:b/>
          <w:bCs/>
          <w:color w:val="auto"/>
          <w:kern w:val="2"/>
          <w:sz w:val="24"/>
          <w:szCs w:val="24"/>
          <w:highlight w:val="none"/>
          <w:lang w:val="zh-CN" w:eastAsia="zh-CN" w:bidi="ar-SA"/>
        </w:rPr>
        <w:t>-</w:t>
      </w:r>
      <w:r>
        <w:rPr>
          <w:rFonts w:hint="default" w:ascii="Times New Roman" w:hAnsi="Times New Roman" w:eastAsia="宋体" w:cs="Times New Roman"/>
          <w:b/>
          <w:bCs/>
          <w:color w:val="auto"/>
          <w:kern w:val="2"/>
          <w:sz w:val="24"/>
          <w:szCs w:val="24"/>
          <w:highlight w:val="none"/>
          <w:lang w:val="en-US" w:eastAsia="zh-CN" w:bidi="ar-SA"/>
        </w:rPr>
        <w:t>1</w:t>
      </w:r>
      <w:r>
        <w:rPr>
          <w:rFonts w:hint="default" w:ascii="Times New Roman" w:hAnsi="Times New Roman" w:eastAsia="宋体" w:cs="Times New Roman"/>
          <w:b/>
          <w:bCs/>
          <w:color w:val="auto"/>
          <w:kern w:val="2"/>
          <w:sz w:val="24"/>
          <w:szCs w:val="24"/>
          <w:highlight w:val="none"/>
          <w:lang w:val="zh-CN" w:eastAsia="zh-CN" w:bidi="ar-SA"/>
        </w:rPr>
        <w:t xml:space="preserve"> 应急预案的主要内容</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17"/>
        <w:gridCol w:w="2775"/>
        <w:gridCol w:w="4736"/>
      </w:tblGrid>
      <w:tr w14:paraId="1A59A1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980" w:type="dxa"/>
            <w:shd w:val="clear" w:color="auto" w:fill="auto"/>
            <w:vAlign w:val="center"/>
          </w:tcPr>
          <w:p w14:paraId="07C60E85">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序号</w:t>
            </w:r>
          </w:p>
        </w:tc>
        <w:tc>
          <w:tcPr>
            <w:tcW w:w="2672" w:type="dxa"/>
            <w:shd w:val="clear" w:color="auto" w:fill="auto"/>
            <w:vAlign w:val="center"/>
          </w:tcPr>
          <w:p w14:paraId="28DF5487">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项目</w:t>
            </w:r>
          </w:p>
        </w:tc>
        <w:tc>
          <w:tcPr>
            <w:tcW w:w="4561" w:type="dxa"/>
            <w:shd w:val="clear" w:color="auto" w:fill="auto"/>
            <w:vAlign w:val="center"/>
          </w:tcPr>
          <w:p w14:paraId="5EC6F5AE">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snapToGrid w:val="0"/>
                <w:color w:val="auto"/>
                <w:sz w:val="21"/>
                <w:szCs w:val="21"/>
                <w:highlight w:val="none"/>
              </w:rPr>
            </w:pPr>
            <w:r>
              <w:rPr>
                <w:rFonts w:hint="default" w:ascii="Times New Roman" w:hAnsi="Times New Roman" w:eastAsia="宋体" w:cs="Times New Roman"/>
                <w:b/>
                <w:bCs/>
                <w:snapToGrid w:val="0"/>
                <w:color w:val="auto"/>
                <w:sz w:val="21"/>
                <w:szCs w:val="21"/>
                <w:highlight w:val="none"/>
              </w:rPr>
              <w:t>内容及要求</w:t>
            </w:r>
          </w:p>
        </w:tc>
      </w:tr>
      <w:tr w14:paraId="5EA517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00BC787D">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w:t>
            </w:r>
          </w:p>
        </w:tc>
        <w:tc>
          <w:tcPr>
            <w:tcW w:w="2672" w:type="dxa"/>
            <w:shd w:val="clear" w:color="auto" w:fill="auto"/>
            <w:vAlign w:val="center"/>
          </w:tcPr>
          <w:p w14:paraId="57812669">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应急计划区</w:t>
            </w:r>
          </w:p>
        </w:tc>
        <w:tc>
          <w:tcPr>
            <w:tcW w:w="4561" w:type="dxa"/>
            <w:shd w:val="clear" w:color="auto" w:fill="auto"/>
            <w:vAlign w:val="center"/>
          </w:tcPr>
          <w:p w14:paraId="1831CDAA">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危险目标：</w:t>
            </w:r>
            <w:r>
              <w:rPr>
                <w:rFonts w:hint="default" w:ascii="Times New Roman" w:hAnsi="Times New Roman" w:eastAsia="宋体" w:cs="Times New Roman"/>
                <w:snapToGrid w:val="0"/>
                <w:color w:val="auto"/>
                <w:sz w:val="21"/>
                <w:szCs w:val="21"/>
                <w:highlight w:val="none"/>
                <w:lang w:val="en-US" w:eastAsia="zh-CN"/>
              </w:rPr>
              <w:t>养殖区</w:t>
            </w:r>
            <w:r>
              <w:rPr>
                <w:rFonts w:hint="default" w:ascii="Times New Roman" w:hAnsi="Times New Roman" w:eastAsia="宋体" w:cs="Times New Roman"/>
                <w:snapToGrid w:val="0"/>
                <w:color w:val="auto"/>
                <w:sz w:val="21"/>
                <w:szCs w:val="21"/>
                <w:highlight w:val="none"/>
              </w:rPr>
              <w:t>、环境保护目标</w:t>
            </w:r>
          </w:p>
        </w:tc>
      </w:tr>
      <w:tr w14:paraId="0A006D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4FB91FF8">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2</w:t>
            </w:r>
          </w:p>
        </w:tc>
        <w:tc>
          <w:tcPr>
            <w:tcW w:w="2672" w:type="dxa"/>
            <w:shd w:val="clear" w:color="auto" w:fill="auto"/>
            <w:vAlign w:val="center"/>
          </w:tcPr>
          <w:p w14:paraId="7FE51C2D">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应急组织机构、人员</w:t>
            </w:r>
          </w:p>
        </w:tc>
        <w:tc>
          <w:tcPr>
            <w:tcW w:w="4561" w:type="dxa"/>
            <w:shd w:val="clear" w:color="auto" w:fill="auto"/>
            <w:vAlign w:val="center"/>
          </w:tcPr>
          <w:p w14:paraId="37EA4FA7">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lang w:val="en-US" w:eastAsia="zh-CN"/>
              </w:rPr>
              <w:t>建设单位</w:t>
            </w:r>
            <w:r>
              <w:rPr>
                <w:rFonts w:hint="default" w:ascii="Times New Roman" w:hAnsi="Times New Roman" w:eastAsia="宋体" w:cs="Times New Roman"/>
                <w:snapToGrid w:val="0"/>
                <w:color w:val="auto"/>
                <w:sz w:val="21"/>
                <w:szCs w:val="21"/>
                <w:highlight w:val="none"/>
              </w:rPr>
              <w:t>、地区应急组织机构、人员</w:t>
            </w:r>
          </w:p>
        </w:tc>
      </w:tr>
      <w:tr w14:paraId="435400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51D8A6A7">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3</w:t>
            </w:r>
          </w:p>
        </w:tc>
        <w:tc>
          <w:tcPr>
            <w:tcW w:w="2672" w:type="dxa"/>
            <w:shd w:val="clear" w:color="auto" w:fill="auto"/>
            <w:vAlign w:val="center"/>
          </w:tcPr>
          <w:p w14:paraId="500FEBAB">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预案分级响应条件</w:t>
            </w:r>
          </w:p>
        </w:tc>
        <w:tc>
          <w:tcPr>
            <w:tcW w:w="4561" w:type="dxa"/>
            <w:shd w:val="clear" w:color="auto" w:fill="auto"/>
            <w:vAlign w:val="center"/>
          </w:tcPr>
          <w:p w14:paraId="5A5220A2">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规定预案的级别及分级响应程序</w:t>
            </w:r>
          </w:p>
        </w:tc>
      </w:tr>
      <w:tr w14:paraId="74211A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1D4BEF84">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4</w:t>
            </w:r>
          </w:p>
        </w:tc>
        <w:tc>
          <w:tcPr>
            <w:tcW w:w="2672" w:type="dxa"/>
            <w:shd w:val="clear" w:color="auto" w:fill="auto"/>
            <w:vAlign w:val="center"/>
          </w:tcPr>
          <w:p w14:paraId="755B6CEB">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应急救援保障</w:t>
            </w:r>
          </w:p>
        </w:tc>
        <w:tc>
          <w:tcPr>
            <w:tcW w:w="4561" w:type="dxa"/>
            <w:shd w:val="clear" w:color="auto" w:fill="auto"/>
            <w:vAlign w:val="center"/>
          </w:tcPr>
          <w:p w14:paraId="11E571CB">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应急设施，设备与器材等</w:t>
            </w:r>
          </w:p>
        </w:tc>
      </w:tr>
      <w:tr w14:paraId="4574FB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0BF8BFD7">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5</w:t>
            </w:r>
          </w:p>
        </w:tc>
        <w:tc>
          <w:tcPr>
            <w:tcW w:w="2672" w:type="dxa"/>
            <w:shd w:val="clear" w:color="auto" w:fill="auto"/>
            <w:vAlign w:val="center"/>
          </w:tcPr>
          <w:p w14:paraId="4A3DCDD6">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报警、通讯联络方式</w:t>
            </w:r>
          </w:p>
        </w:tc>
        <w:tc>
          <w:tcPr>
            <w:tcW w:w="4561" w:type="dxa"/>
            <w:shd w:val="clear" w:color="auto" w:fill="auto"/>
            <w:vAlign w:val="center"/>
          </w:tcPr>
          <w:p w14:paraId="2C0F874C">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规定应急状态下的报警通讯</w:t>
            </w:r>
            <w:r>
              <w:rPr>
                <w:rFonts w:hint="default" w:ascii="Times New Roman" w:hAnsi="Times New Roman" w:eastAsia="宋体" w:cs="Times New Roman"/>
                <w:snapToGrid w:val="0"/>
                <w:color w:val="auto"/>
                <w:sz w:val="21"/>
                <w:szCs w:val="21"/>
                <w:highlight w:val="none"/>
                <w:lang w:val="en-US" w:eastAsia="zh-CN"/>
              </w:rPr>
              <w:t>方</w:t>
            </w:r>
            <w:r>
              <w:rPr>
                <w:rFonts w:hint="default" w:ascii="Times New Roman" w:hAnsi="Times New Roman" w:eastAsia="宋体" w:cs="Times New Roman"/>
                <w:snapToGrid w:val="0"/>
                <w:color w:val="auto"/>
                <w:sz w:val="21"/>
                <w:szCs w:val="21"/>
                <w:highlight w:val="none"/>
              </w:rPr>
              <w:t>式、通知方式和交通保障、管制</w:t>
            </w:r>
          </w:p>
        </w:tc>
      </w:tr>
      <w:tr w14:paraId="535D3D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1FB24B1A">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6</w:t>
            </w:r>
          </w:p>
        </w:tc>
        <w:tc>
          <w:tcPr>
            <w:tcW w:w="2672" w:type="dxa"/>
            <w:shd w:val="clear" w:color="auto" w:fill="auto"/>
            <w:vAlign w:val="center"/>
          </w:tcPr>
          <w:p w14:paraId="74C9B47A">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应急环境监测、抢险、救援及控制措施</w:t>
            </w:r>
          </w:p>
        </w:tc>
        <w:tc>
          <w:tcPr>
            <w:tcW w:w="4561" w:type="dxa"/>
            <w:shd w:val="clear" w:color="auto" w:fill="auto"/>
            <w:vAlign w:val="center"/>
          </w:tcPr>
          <w:p w14:paraId="38354EEA">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由专业队伍负责对事故现场进行侦察监测，对事故性质、参数与后果进行评估，为指挥部门提供决策依据</w:t>
            </w:r>
          </w:p>
        </w:tc>
      </w:tr>
      <w:tr w14:paraId="705E40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04A235F0">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7</w:t>
            </w:r>
          </w:p>
        </w:tc>
        <w:tc>
          <w:tcPr>
            <w:tcW w:w="2672" w:type="dxa"/>
            <w:shd w:val="clear" w:color="auto" w:fill="auto"/>
            <w:vAlign w:val="center"/>
          </w:tcPr>
          <w:p w14:paraId="64CBEF45">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应急检测、防护措施、清除泄漏措施和器材</w:t>
            </w:r>
          </w:p>
        </w:tc>
        <w:tc>
          <w:tcPr>
            <w:tcW w:w="4561" w:type="dxa"/>
            <w:shd w:val="clear" w:color="auto" w:fill="auto"/>
            <w:vAlign w:val="center"/>
          </w:tcPr>
          <w:p w14:paraId="626298F1">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事故现场、邻近区域、控制防火区域，控制和清除污染措施及相应设备</w:t>
            </w:r>
          </w:p>
        </w:tc>
      </w:tr>
      <w:tr w14:paraId="18204C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68F93A41">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8</w:t>
            </w:r>
          </w:p>
        </w:tc>
        <w:tc>
          <w:tcPr>
            <w:tcW w:w="2672" w:type="dxa"/>
            <w:shd w:val="clear" w:color="auto" w:fill="auto"/>
            <w:vAlign w:val="center"/>
          </w:tcPr>
          <w:p w14:paraId="7939CD58">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人员紧急撤离、疏散，应急剂量控制、撤离组织计划</w:t>
            </w:r>
          </w:p>
        </w:tc>
        <w:tc>
          <w:tcPr>
            <w:tcW w:w="4561" w:type="dxa"/>
            <w:shd w:val="clear" w:color="auto" w:fill="auto"/>
            <w:vAlign w:val="center"/>
          </w:tcPr>
          <w:p w14:paraId="1DE41950">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事故现场、受事故影响的区域人员及公众对</w:t>
            </w:r>
            <w:r>
              <w:rPr>
                <w:rFonts w:hint="default" w:ascii="Times New Roman" w:hAnsi="Times New Roman" w:eastAsia="宋体" w:cs="Times New Roman"/>
                <w:snapToGrid w:val="0"/>
                <w:color w:val="auto"/>
                <w:sz w:val="21"/>
                <w:szCs w:val="21"/>
                <w:highlight w:val="none"/>
                <w:lang w:val="en-US" w:eastAsia="zh-CN"/>
              </w:rPr>
              <w:t>泄漏</w:t>
            </w:r>
            <w:r>
              <w:rPr>
                <w:rFonts w:hint="default" w:ascii="Times New Roman" w:hAnsi="Times New Roman" w:eastAsia="宋体" w:cs="Times New Roman"/>
                <w:snapToGrid w:val="0"/>
                <w:color w:val="auto"/>
                <w:sz w:val="21"/>
                <w:szCs w:val="21"/>
                <w:highlight w:val="none"/>
              </w:rPr>
              <w:t>浓度的控制规定，撤离组织计划及</w:t>
            </w:r>
            <w:r>
              <w:rPr>
                <w:rFonts w:hint="default" w:ascii="Times New Roman" w:hAnsi="Times New Roman" w:eastAsia="宋体" w:cs="Times New Roman"/>
                <w:snapToGrid w:val="0"/>
                <w:color w:val="auto"/>
                <w:sz w:val="21"/>
                <w:szCs w:val="21"/>
                <w:highlight w:val="none"/>
                <w:lang w:val="en-US" w:eastAsia="zh-CN"/>
              </w:rPr>
              <w:t>救</w:t>
            </w:r>
            <w:r>
              <w:rPr>
                <w:rFonts w:hint="default" w:ascii="Times New Roman" w:hAnsi="Times New Roman" w:eastAsia="宋体" w:cs="Times New Roman"/>
                <w:snapToGrid w:val="0"/>
                <w:color w:val="auto"/>
                <w:sz w:val="21"/>
                <w:szCs w:val="21"/>
                <w:highlight w:val="none"/>
              </w:rPr>
              <w:t>护，医疗救护与公众安全。</w:t>
            </w:r>
          </w:p>
        </w:tc>
      </w:tr>
      <w:tr w14:paraId="7590AB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7C6E926D">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9</w:t>
            </w:r>
          </w:p>
        </w:tc>
        <w:tc>
          <w:tcPr>
            <w:tcW w:w="2672" w:type="dxa"/>
            <w:shd w:val="clear" w:color="auto" w:fill="auto"/>
            <w:vAlign w:val="center"/>
          </w:tcPr>
          <w:p w14:paraId="37D028D7">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事故应急救援关闭程序与恢复措施</w:t>
            </w:r>
          </w:p>
        </w:tc>
        <w:tc>
          <w:tcPr>
            <w:tcW w:w="4561" w:type="dxa"/>
            <w:shd w:val="clear" w:color="auto" w:fill="auto"/>
            <w:vAlign w:val="center"/>
          </w:tcPr>
          <w:p w14:paraId="38F94494">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规定应急状态终止程序；事故现场善后处理，恢复措施；邻近区域解除事故警戒及善后恢复措施</w:t>
            </w:r>
          </w:p>
        </w:tc>
      </w:tr>
      <w:tr w14:paraId="341F09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33442A41">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10</w:t>
            </w:r>
          </w:p>
        </w:tc>
        <w:tc>
          <w:tcPr>
            <w:tcW w:w="2672" w:type="dxa"/>
            <w:shd w:val="clear" w:color="auto" w:fill="auto"/>
            <w:vAlign w:val="center"/>
          </w:tcPr>
          <w:p w14:paraId="7FED4CFA">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应急培训计划</w:t>
            </w:r>
          </w:p>
        </w:tc>
        <w:tc>
          <w:tcPr>
            <w:tcW w:w="4561" w:type="dxa"/>
            <w:shd w:val="clear" w:color="auto" w:fill="auto"/>
            <w:vAlign w:val="center"/>
          </w:tcPr>
          <w:p w14:paraId="4745B30E">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应急计划制定后，平时安排人员培训与演练</w:t>
            </w:r>
          </w:p>
        </w:tc>
      </w:tr>
      <w:tr w14:paraId="7E80BA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80" w:type="dxa"/>
            <w:shd w:val="clear" w:color="auto" w:fill="auto"/>
            <w:vAlign w:val="center"/>
          </w:tcPr>
          <w:p w14:paraId="472540B4">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11</w:t>
            </w:r>
          </w:p>
        </w:tc>
        <w:tc>
          <w:tcPr>
            <w:tcW w:w="2672" w:type="dxa"/>
            <w:shd w:val="clear" w:color="auto" w:fill="auto"/>
            <w:vAlign w:val="center"/>
          </w:tcPr>
          <w:p w14:paraId="70024651">
            <w:pPr>
              <w:pStyle w:val="38"/>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公众教育和信息</w:t>
            </w:r>
          </w:p>
        </w:tc>
        <w:tc>
          <w:tcPr>
            <w:tcW w:w="4561" w:type="dxa"/>
            <w:shd w:val="clear" w:color="auto" w:fill="auto"/>
            <w:vAlign w:val="center"/>
          </w:tcPr>
          <w:p w14:paraId="372113B6">
            <w:pPr>
              <w:pStyle w:val="38"/>
              <w:pageBreakBefore w:val="0"/>
              <w:kinsoku/>
              <w:wordWrap/>
              <w:overflowPunct/>
              <w:topLinePunct w:val="0"/>
              <w:autoSpaceDE/>
              <w:autoSpaceDN/>
              <w:bidi w:val="0"/>
              <w:adjustRightInd/>
              <w:snapToGrid/>
              <w:jc w:val="left"/>
              <w:textAlignment w:val="auto"/>
              <w:rPr>
                <w:rFonts w:hint="default" w:ascii="Times New Roman" w:hAnsi="Times New Roman" w:eastAsia="宋体" w:cs="Times New Roman"/>
                <w:snapToGrid w:val="0"/>
                <w:color w:val="auto"/>
                <w:sz w:val="21"/>
                <w:szCs w:val="21"/>
                <w:highlight w:val="none"/>
              </w:rPr>
            </w:pPr>
            <w:r>
              <w:rPr>
                <w:rFonts w:hint="default" w:ascii="Times New Roman" w:hAnsi="Times New Roman" w:eastAsia="宋体" w:cs="Times New Roman"/>
                <w:snapToGrid w:val="0"/>
                <w:color w:val="auto"/>
                <w:sz w:val="21"/>
                <w:szCs w:val="21"/>
                <w:highlight w:val="none"/>
              </w:rPr>
              <w:t>对沿线地区开展公众教育、培训和发布有关信息</w:t>
            </w:r>
          </w:p>
        </w:tc>
      </w:tr>
    </w:tbl>
    <w:p w14:paraId="2EF5F866">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24" w:name="_Toc30148"/>
      <w:r>
        <w:rPr>
          <w:rFonts w:hint="default" w:ascii="Times New Roman" w:hAnsi="Times New Roman" w:eastAsia="宋体" w:cs="Times New Roman"/>
          <w:b/>
          <w:bCs/>
          <w:color w:val="auto"/>
          <w:spacing w:val="-2"/>
          <w:sz w:val="24"/>
          <w:szCs w:val="24"/>
          <w:highlight w:val="none"/>
          <w:lang w:val="en-US" w:eastAsia="zh-CN"/>
        </w:rPr>
        <w:t>6.3.3风险评价结论</w:t>
      </w:r>
      <w:bookmarkEnd w:id="224"/>
    </w:p>
    <w:p w14:paraId="38E3A5E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（1）项目危险因素</w:t>
      </w:r>
    </w:p>
    <w:p w14:paraId="6D9334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lang w:eastAsia="zh-CN"/>
        </w:rPr>
        <w:t>根据《建设项目环境风险评价技术导则》（HJ169-2018）“附录B重点关注的危险物质及临界量”可知，本项目所涉及的危险物质</w:t>
      </w:r>
      <w:r>
        <w:rPr>
          <w:rFonts w:hint="default" w:ascii="Times New Roman" w:hAnsi="Times New Roman" w:eastAsia="宋体" w:cs="Times New Roman"/>
          <w:color w:val="auto"/>
          <w:sz w:val="24"/>
          <w:szCs w:val="24"/>
          <w:highlight w:val="none"/>
          <w:lang w:val="en-US" w:eastAsia="zh-CN"/>
        </w:rPr>
        <w:t>主要</w:t>
      </w:r>
      <w:r>
        <w:rPr>
          <w:rFonts w:hint="default" w:ascii="Times New Roman" w:hAnsi="Times New Roman" w:eastAsia="宋体" w:cs="Times New Roman"/>
          <w:color w:val="auto"/>
          <w:sz w:val="24"/>
          <w:szCs w:val="24"/>
          <w:highlight w:val="none"/>
          <w:lang w:eastAsia="zh-CN"/>
        </w:rPr>
        <w:t>为</w:t>
      </w:r>
      <w:r>
        <w:rPr>
          <w:rFonts w:hint="default" w:ascii="Times New Roman" w:hAnsi="Times New Roman" w:eastAsia="宋体" w:cs="Times New Roman"/>
          <w:b w:val="0"/>
          <w:bCs w:val="0"/>
          <w:smallCaps w:val="0"/>
          <w:color w:val="auto"/>
          <w:kern w:val="0"/>
          <w:sz w:val="24"/>
          <w:szCs w:val="24"/>
          <w:highlight w:val="none"/>
          <w:lang w:val="en-US" w:eastAsia="zh-CN" w:bidi="ar-SA"/>
        </w:rPr>
        <w:t>排放的废气H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2</w:t>
      </w:r>
      <w:r>
        <w:rPr>
          <w:rFonts w:hint="default" w:ascii="Times New Roman" w:hAnsi="Times New Roman" w:eastAsia="宋体" w:cs="Times New Roman"/>
          <w:b w:val="0"/>
          <w:bCs w:val="0"/>
          <w:smallCaps w:val="0"/>
          <w:color w:val="auto"/>
          <w:kern w:val="0"/>
          <w:sz w:val="24"/>
          <w:szCs w:val="24"/>
          <w:highlight w:val="none"/>
          <w:lang w:val="en-US" w:eastAsia="zh-CN" w:bidi="ar-SA"/>
        </w:rPr>
        <w:t>S、NH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3</w:t>
      </w:r>
      <w:r>
        <w:rPr>
          <w:rFonts w:hint="default" w:ascii="Times New Roman" w:hAnsi="Times New Roman" w:eastAsia="宋体" w:cs="Times New Roman"/>
          <w:b w:val="0"/>
          <w:bCs w:val="0"/>
          <w:smallCaps w:val="0"/>
          <w:color w:val="auto"/>
          <w:kern w:val="0"/>
          <w:sz w:val="24"/>
          <w:szCs w:val="24"/>
          <w:highlight w:val="none"/>
          <w:vertAlign w:val="baseline"/>
          <w:lang w:val="en-US" w:eastAsia="zh-CN" w:bidi="ar-SA"/>
        </w:rPr>
        <w:t>，</w:t>
      </w:r>
      <w:r>
        <w:rPr>
          <w:rFonts w:hint="default" w:ascii="Times New Roman" w:hAnsi="Times New Roman" w:eastAsia="宋体" w:cs="Times New Roman"/>
          <w:b w:val="0"/>
          <w:bCs w:val="0"/>
          <w:smallCaps w:val="0"/>
          <w:color w:val="auto"/>
          <w:kern w:val="0"/>
          <w:sz w:val="24"/>
          <w:szCs w:val="24"/>
          <w:highlight w:val="none"/>
          <w:lang w:val="en-US" w:eastAsia="zh-CN" w:bidi="ar-SA"/>
        </w:rPr>
        <w:t>由于本项目排放废气H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2</w:t>
      </w:r>
      <w:r>
        <w:rPr>
          <w:rFonts w:hint="default" w:ascii="Times New Roman" w:hAnsi="Times New Roman" w:eastAsia="宋体" w:cs="Times New Roman"/>
          <w:b w:val="0"/>
          <w:bCs w:val="0"/>
          <w:smallCaps w:val="0"/>
          <w:color w:val="auto"/>
          <w:kern w:val="0"/>
          <w:sz w:val="24"/>
          <w:szCs w:val="24"/>
          <w:highlight w:val="none"/>
          <w:lang w:val="en-US" w:eastAsia="zh-CN" w:bidi="ar-SA"/>
        </w:rPr>
        <w:t>S、NH</w:t>
      </w:r>
      <w:r>
        <w:rPr>
          <w:rFonts w:hint="default" w:ascii="Times New Roman" w:hAnsi="Times New Roman" w:eastAsia="宋体" w:cs="Times New Roman"/>
          <w:b w:val="0"/>
          <w:bCs w:val="0"/>
          <w:smallCaps w:val="0"/>
          <w:color w:val="auto"/>
          <w:kern w:val="0"/>
          <w:sz w:val="24"/>
          <w:szCs w:val="24"/>
          <w:highlight w:val="none"/>
          <w:vertAlign w:val="subscript"/>
          <w:lang w:val="en-US" w:eastAsia="zh-CN" w:bidi="ar-SA"/>
        </w:rPr>
        <w:t>3</w:t>
      </w:r>
      <w:r>
        <w:rPr>
          <w:rFonts w:hint="default" w:ascii="Times New Roman" w:hAnsi="Times New Roman" w:eastAsia="宋体" w:cs="Times New Roman"/>
          <w:b w:val="0"/>
          <w:bCs w:val="0"/>
          <w:smallCaps w:val="0"/>
          <w:color w:val="auto"/>
          <w:kern w:val="0"/>
          <w:sz w:val="24"/>
          <w:szCs w:val="24"/>
          <w:highlight w:val="none"/>
          <w:lang w:val="en-US" w:eastAsia="zh-CN" w:bidi="ar-SA"/>
        </w:rPr>
        <w:t>为无组织排放，不储存，因此</w:t>
      </w:r>
      <w:r>
        <w:rPr>
          <w:rFonts w:hint="default" w:ascii="Times New Roman" w:hAnsi="Times New Roman" w:eastAsia="宋体" w:cs="Times New Roman"/>
          <w:color w:val="auto"/>
          <w:sz w:val="24"/>
          <w:szCs w:val="24"/>
          <w:highlight w:val="none"/>
        </w:rPr>
        <w:t>本项目运营期涉及到的风险主要为养殖过程中的疾病疫情风险</w:t>
      </w:r>
      <w:r>
        <w:rPr>
          <w:rFonts w:hint="default" w:ascii="Times New Roman" w:hAnsi="Times New Roman" w:eastAsia="宋体" w:cs="Times New Roman"/>
          <w:color w:val="auto"/>
          <w:sz w:val="24"/>
          <w:szCs w:val="24"/>
          <w:highlight w:val="none"/>
          <w:lang w:eastAsia="zh-CN"/>
        </w:rPr>
        <w:t>。</w:t>
      </w:r>
    </w:p>
    <w:p w14:paraId="5E3D79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（2）环境敏感性及事故环境影响</w:t>
      </w:r>
    </w:p>
    <w:p w14:paraId="2953B7F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t>本项目位于</w:t>
      </w:r>
      <w:r>
        <w:rPr>
          <w:rFonts w:hint="default" w:ascii="Times New Roman" w:hAnsi="Times New Roman" w:cs="Times New Roman"/>
          <w:color w:val="auto"/>
          <w:sz w:val="24"/>
          <w:szCs w:val="24"/>
          <w:highlight w:val="none"/>
          <w:lang w:val="en-US" w:eastAsia="zh-CN"/>
        </w:rPr>
        <w:t>黑龙江省</w:t>
      </w:r>
      <w:r>
        <w:rPr>
          <w:rFonts w:hint="default" w:ascii="Times New Roman" w:hAnsi="Times New Roman" w:eastAsia="宋体" w:cs="Times New Roman"/>
          <w:color w:val="auto"/>
          <w:sz w:val="24"/>
          <w:szCs w:val="24"/>
          <w:highlight w:val="none"/>
          <w:lang w:val="en-US" w:eastAsia="zh-CN"/>
        </w:rPr>
        <w:t>双鸭山市集贤县集贤镇种畜场（康家屯），项目</w:t>
      </w:r>
      <w:r>
        <w:rPr>
          <w:rFonts w:hint="default" w:ascii="Times New Roman" w:hAnsi="Times New Roman" w:eastAsia="宋体" w:cs="Times New Roman"/>
          <w:color w:val="auto"/>
          <w:sz w:val="24"/>
          <w:szCs w:val="24"/>
          <w:highlight w:val="none"/>
        </w:rPr>
        <w:t>中心地理位置坐标：131.</w:t>
      </w:r>
      <w:r>
        <w:rPr>
          <w:rFonts w:hint="default" w:ascii="Times New Roman" w:hAnsi="Times New Roman" w:eastAsia="宋体" w:cs="Times New Roman"/>
          <w:color w:val="auto"/>
          <w:sz w:val="24"/>
          <w:szCs w:val="24"/>
          <w:highlight w:val="none"/>
          <w:lang w:val="en-US" w:eastAsia="zh-CN"/>
        </w:rPr>
        <w:t>157911924</w:t>
      </w:r>
      <w:r>
        <w:rPr>
          <w:rFonts w:hint="default" w:ascii="Times New Roman" w:hAnsi="Times New Roman" w:eastAsia="宋体" w:cs="Times New Roman"/>
          <w:color w:val="auto"/>
          <w:sz w:val="24"/>
          <w:szCs w:val="24"/>
          <w:highlight w:val="none"/>
        </w:rPr>
        <w:t>°,46.</w:t>
      </w:r>
      <w:r>
        <w:rPr>
          <w:rFonts w:hint="default" w:ascii="Times New Roman" w:hAnsi="Times New Roman" w:eastAsia="宋体" w:cs="Times New Roman"/>
          <w:color w:val="auto"/>
          <w:sz w:val="24"/>
          <w:szCs w:val="24"/>
          <w:highlight w:val="none"/>
          <w:lang w:val="en-US" w:eastAsia="zh-CN"/>
        </w:rPr>
        <w:t>795928082</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snapToGrid w:val="0"/>
          <w:color w:val="auto"/>
          <w:sz w:val="24"/>
          <w:szCs w:val="24"/>
          <w:highlight w:val="none"/>
          <w:lang w:eastAsia="zh-CN"/>
        </w:rPr>
        <w:t>。</w:t>
      </w:r>
      <w:r>
        <w:rPr>
          <w:rFonts w:hint="default" w:ascii="Times New Roman" w:hAnsi="Times New Roman" w:eastAsia="宋体" w:cs="Times New Roman"/>
          <w:b w:val="0"/>
          <w:bCs w:val="0"/>
          <w:color w:val="auto"/>
          <w:kern w:val="2"/>
          <w:sz w:val="24"/>
          <w:szCs w:val="24"/>
          <w:highlight w:val="none"/>
          <w:lang w:val="en-US" w:eastAsia="zh-CN" w:bidi="ar-SA"/>
        </w:rPr>
        <w:t>因本项目占地类型为</w:t>
      </w:r>
      <w:r>
        <w:rPr>
          <w:rFonts w:hint="default" w:ascii="Times New Roman" w:hAnsi="Times New Roman" w:eastAsia="宋体" w:cs="Times New Roman"/>
          <w:color w:val="FF0000"/>
          <w:spacing w:val="-3"/>
          <w:sz w:val="24"/>
          <w:szCs w:val="24"/>
          <w:highlight w:val="none"/>
        </w:rPr>
        <w:t>设施农用地</w:t>
      </w:r>
      <w:r>
        <w:rPr>
          <w:rFonts w:hint="default" w:ascii="Times New Roman" w:hAnsi="Times New Roman" w:eastAsia="宋体" w:cs="Times New Roman"/>
          <w:b w:val="0"/>
          <w:bCs w:val="0"/>
          <w:color w:val="auto"/>
          <w:kern w:val="2"/>
          <w:sz w:val="24"/>
          <w:szCs w:val="24"/>
          <w:highlight w:val="none"/>
          <w:lang w:val="en-US" w:eastAsia="zh-CN" w:bidi="ar-SA"/>
        </w:rPr>
        <w:t>，项目评价范围内存在大气降水地表径流而形成无水体功能的低洼水泡。</w:t>
      </w:r>
      <w:r>
        <w:rPr>
          <w:rFonts w:hint="default" w:ascii="Times New Roman" w:hAnsi="Times New Roman" w:eastAsia="宋体" w:cs="Times New Roman"/>
          <w:color w:val="auto"/>
          <w:sz w:val="24"/>
          <w:szCs w:val="24"/>
          <w:highlight w:val="none"/>
        </w:rPr>
        <w:t>项目场区外500m范围内无敏感目标，本项目距离最近居民区为</w:t>
      </w:r>
      <w:r>
        <w:rPr>
          <w:rFonts w:hint="default" w:ascii="Times New Roman" w:hAnsi="Times New Roman" w:eastAsia="宋体" w:cs="Times New Roman"/>
          <w:color w:val="auto"/>
          <w:sz w:val="24"/>
          <w:szCs w:val="24"/>
          <w:highlight w:val="none"/>
          <w:lang w:eastAsia="zh-CN"/>
        </w:rPr>
        <w:t>北侧</w:t>
      </w:r>
      <w:r>
        <w:rPr>
          <w:rFonts w:hint="default" w:ascii="Times New Roman" w:hAnsi="Times New Roman" w:eastAsia="宋体" w:cs="Times New Roman"/>
          <w:color w:val="auto"/>
          <w:sz w:val="24"/>
          <w:szCs w:val="24"/>
          <w:highlight w:val="none"/>
          <w:lang w:val="en-US" w:eastAsia="zh-CN"/>
        </w:rPr>
        <w:t>720</w:t>
      </w:r>
      <w:r>
        <w:rPr>
          <w:rFonts w:hint="default" w:ascii="Times New Roman" w:hAnsi="Times New Roman" w:eastAsia="宋体" w:cs="Times New Roman"/>
          <w:color w:val="auto"/>
          <w:sz w:val="24"/>
          <w:szCs w:val="24"/>
          <w:highlight w:val="none"/>
          <w:lang w:eastAsia="zh-CN"/>
        </w:rPr>
        <w:t>m处的</w:t>
      </w:r>
      <w:r>
        <w:rPr>
          <w:rFonts w:hint="default" w:ascii="Times New Roman" w:hAnsi="Times New Roman" w:eastAsia="宋体" w:cs="Times New Roman"/>
          <w:color w:val="auto"/>
          <w:sz w:val="24"/>
          <w:szCs w:val="24"/>
          <w:highlight w:val="none"/>
          <w:lang w:val="en-US" w:eastAsia="zh-CN"/>
        </w:rPr>
        <w:t>康家</w:t>
      </w:r>
      <w:r>
        <w:rPr>
          <w:rFonts w:hint="default" w:ascii="Times New Roman" w:hAnsi="Times New Roman" w:cs="Times New Roman"/>
          <w:color w:val="auto"/>
          <w:sz w:val="24"/>
          <w:szCs w:val="24"/>
          <w:highlight w:val="none"/>
          <w:lang w:eastAsia="zh-CN"/>
        </w:rPr>
        <w:t>屯</w:t>
      </w:r>
      <w:r>
        <w:rPr>
          <w:rFonts w:hint="default" w:ascii="Times New Roman" w:hAnsi="Times New Roman" w:eastAsia="宋体" w:cs="Times New Roman"/>
          <w:color w:val="auto"/>
          <w:sz w:val="24"/>
          <w:szCs w:val="24"/>
          <w:highlight w:val="none"/>
        </w:rPr>
        <w:t>。</w:t>
      </w:r>
    </w:p>
    <w:p w14:paraId="4A37F80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（3）风险防范措施</w:t>
      </w:r>
    </w:p>
    <w:p w14:paraId="35FED1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本工程在设计过程中应充分考虑应急防范措施，优化平面布局、加强安全防范措施、加强防疫防范措施、加强地下水防渗措施。</w:t>
      </w:r>
    </w:p>
    <w:p w14:paraId="78B0C9A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（4）风险评价结论与建议</w:t>
      </w:r>
    </w:p>
    <w:p w14:paraId="762DFA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建设单位运营过程中应从多方面积极采取</w:t>
      </w:r>
      <w:r>
        <w:rPr>
          <w:rFonts w:hint="default" w:ascii="Times New Roman" w:hAnsi="Times New Roman" w:eastAsia="宋体" w:cs="Times New Roman"/>
          <w:color w:val="auto"/>
          <w:sz w:val="24"/>
          <w:szCs w:val="24"/>
          <w:highlight w:val="none"/>
          <w:lang w:val="en-US" w:eastAsia="zh-CN"/>
        </w:rPr>
        <w:t>防范</w:t>
      </w:r>
      <w:r>
        <w:rPr>
          <w:rFonts w:hint="default" w:ascii="Times New Roman" w:hAnsi="Times New Roman" w:eastAsia="宋体" w:cs="Times New Roman"/>
          <w:color w:val="auto"/>
          <w:sz w:val="24"/>
          <w:szCs w:val="24"/>
          <w:highlight w:val="none"/>
        </w:rPr>
        <w:t>措施，制订突发环境</w:t>
      </w:r>
      <w:r>
        <w:rPr>
          <w:rFonts w:hint="default" w:ascii="Times New Roman" w:hAnsi="Times New Roman" w:eastAsia="宋体" w:cs="Times New Roman"/>
          <w:color w:val="auto"/>
          <w:sz w:val="24"/>
          <w:szCs w:val="24"/>
          <w:highlight w:val="none"/>
          <w:lang w:val="en-US" w:eastAsia="zh-CN"/>
        </w:rPr>
        <w:t>事件</w:t>
      </w:r>
      <w:r>
        <w:rPr>
          <w:rFonts w:hint="default" w:ascii="Times New Roman" w:hAnsi="Times New Roman" w:eastAsia="宋体" w:cs="Times New Roman"/>
          <w:color w:val="auto"/>
          <w:sz w:val="24"/>
          <w:szCs w:val="24"/>
          <w:highlight w:val="none"/>
        </w:rPr>
        <w:t>应急预案，一旦</w:t>
      </w:r>
      <w:r>
        <w:rPr>
          <w:rFonts w:hint="default" w:ascii="Times New Roman" w:hAnsi="Times New Roman" w:eastAsia="宋体" w:cs="Times New Roman"/>
          <w:color w:val="auto"/>
          <w:sz w:val="24"/>
          <w:szCs w:val="24"/>
          <w:highlight w:val="none"/>
          <w:lang w:val="en-US" w:eastAsia="zh-CN"/>
        </w:rPr>
        <w:t>发生</w:t>
      </w:r>
      <w:r>
        <w:rPr>
          <w:rFonts w:hint="default" w:ascii="Times New Roman" w:hAnsi="Times New Roman" w:eastAsia="宋体" w:cs="Times New Roman"/>
          <w:color w:val="auto"/>
          <w:sz w:val="24"/>
          <w:szCs w:val="24"/>
          <w:highlight w:val="none"/>
        </w:rPr>
        <w:t>环境风险</w:t>
      </w:r>
      <w:r>
        <w:rPr>
          <w:rFonts w:hint="default" w:ascii="Times New Roman" w:hAnsi="Times New Roman" w:eastAsia="宋体" w:cs="Times New Roman"/>
          <w:color w:val="auto"/>
          <w:sz w:val="24"/>
          <w:szCs w:val="24"/>
          <w:highlight w:val="none"/>
          <w:lang w:val="en-US" w:eastAsia="zh-CN"/>
        </w:rPr>
        <w:t>事故</w:t>
      </w:r>
      <w:r>
        <w:rPr>
          <w:rFonts w:hint="default" w:ascii="Times New Roman" w:hAnsi="Times New Roman" w:eastAsia="宋体" w:cs="Times New Roman"/>
          <w:color w:val="auto"/>
          <w:sz w:val="24"/>
          <w:szCs w:val="24"/>
          <w:highlight w:val="none"/>
        </w:rPr>
        <w:t>，立即按应急预案提到的紧急处理、救援、监测方案等进行紧急救援，项目可以有效的防范风险事故发生或对事故的发生进行有效处置，项目发生的环境风险可以控制在较低水平。</w:t>
      </w:r>
    </w:p>
    <w:p w14:paraId="0FC4A6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综上所述，建设项目的事故风险处于可接受水平。本工程建设从环境风险角度分析是可行的。</w:t>
      </w:r>
    </w:p>
    <w:p w14:paraId="7570CFA4">
      <w:pPr>
        <w:pageBreakBefore w:val="0"/>
        <w:wordWrap/>
        <w:topLinePunct w:val="0"/>
        <w:bidi w:val="0"/>
        <w:adjustRightInd/>
        <w:snapToGrid/>
        <w:spacing w:line="360" w:lineRule="auto"/>
        <w:ind w:firstLine="0" w:firstLineChars="0"/>
        <w:jc w:val="center"/>
        <w:rPr>
          <w:rFonts w:hint="default" w:ascii="Times New Roman" w:hAnsi="Times New Roman" w:eastAsia="宋体" w:cs="Times New Roman"/>
          <w:color w:val="auto"/>
          <w:highlight w:val="none"/>
          <w:lang w:val="zh-CN" w:eastAsia="zh-CN"/>
        </w:rPr>
      </w:pPr>
      <w:r>
        <w:rPr>
          <w:rFonts w:hint="default" w:ascii="Times New Roman" w:hAnsi="Times New Roman" w:eastAsia="宋体" w:cs="Times New Roman"/>
          <w:b/>
          <w:bCs/>
          <w:color w:val="auto"/>
          <w:sz w:val="24"/>
          <w:szCs w:val="24"/>
          <w:highlight w:val="none"/>
          <w:lang w:val="zh-CN" w:eastAsia="zh-CN"/>
        </w:rPr>
        <w:t>表6</w:t>
      </w:r>
      <w:r>
        <w:rPr>
          <w:rFonts w:hint="default" w:ascii="Times New Roman" w:hAnsi="Times New Roman" w:eastAsia="宋体" w:cs="Times New Roman"/>
          <w:b/>
          <w:bCs/>
          <w:color w:val="auto"/>
          <w:sz w:val="24"/>
          <w:szCs w:val="24"/>
          <w:highlight w:val="none"/>
          <w:lang w:val="en-US" w:eastAsia="zh-CN"/>
        </w:rPr>
        <w:t>.3</w:t>
      </w:r>
      <w:r>
        <w:rPr>
          <w:rFonts w:hint="default" w:ascii="Times New Roman" w:hAnsi="Times New Roman" w:eastAsia="宋体" w:cs="Times New Roman"/>
          <w:b/>
          <w:bCs/>
          <w:color w:val="auto"/>
          <w:sz w:val="24"/>
          <w:szCs w:val="24"/>
          <w:highlight w:val="none"/>
          <w:lang w:val="zh-CN"/>
        </w:rPr>
        <w:t>-</w:t>
      </w:r>
      <w:r>
        <w:rPr>
          <w:rFonts w:hint="default" w:ascii="Times New Roman" w:hAnsi="Times New Roman" w:eastAsia="宋体" w:cs="Times New Roman"/>
          <w:b/>
          <w:bCs/>
          <w:color w:val="auto"/>
          <w:sz w:val="24"/>
          <w:szCs w:val="24"/>
          <w:highlight w:val="none"/>
          <w:lang w:val="en-US" w:eastAsia="zh-CN"/>
        </w:rPr>
        <w:t>2</w:t>
      </w:r>
      <w:r>
        <w:rPr>
          <w:rFonts w:hint="default" w:ascii="Times New Roman" w:hAnsi="Times New Roman" w:eastAsia="宋体" w:cs="Times New Roman"/>
          <w:b/>
          <w:bCs/>
          <w:color w:val="auto"/>
          <w:sz w:val="24"/>
          <w:szCs w:val="24"/>
          <w:highlight w:val="none"/>
          <w:lang w:val="zh-CN"/>
        </w:rPr>
        <w:t xml:space="preserve"> </w:t>
      </w:r>
      <w:r>
        <w:rPr>
          <w:rFonts w:hint="default" w:ascii="Times New Roman" w:hAnsi="Times New Roman" w:eastAsia="宋体" w:cs="Times New Roman"/>
          <w:b/>
          <w:bCs/>
          <w:color w:val="auto"/>
          <w:sz w:val="24"/>
          <w:szCs w:val="24"/>
          <w:highlight w:val="none"/>
          <w:lang w:val="zh-CN" w:eastAsia="zh-CN"/>
        </w:rPr>
        <w:t>建设项目环境风险简单分析内容</w:t>
      </w:r>
      <w:r>
        <w:rPr>
          <w:rFonts w:hint="default" w:ascii="Times New Roman" w:hAnsi="Times New Roman" w:eastAsia="宋体" w:cs="Times New Roman"/>
          <w:b/>
          <w:bCs/>
          <w:color w:val="auto"/>
          <w:sz w:val="24"/>
          <w:szCs w:val="24"/>
          <w:highlight w:val="none"/>
          <w:lang w:val="en-US" w:eastAsia="zh-CN"/>
        </w:rPr>
        <w:t>一览</w:t>
      </w:r>
      <w:r>
        <w:rPr>
          <w:rFonts w:hint="default" w:ascii="Times New Roman" w:hAnsi="Times New Roman" w:eastAsia="宋体" w:cs="Times New Roman"/>
          <w:b/>
          <w:bCs/>
          <w:color w:val="auto"/>
          <w:sz w:val="24"/>
          <w:szCs w:val="24"/>
          <w:highlight w:val="none"/>
          <w:lang w:val="zh-CN" w:eastAsia="zh-CN"/>
        </w:rPr>
        <w:t>表</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823"/>
        <w:gridCol w:w="5705"/>
      </w:tblGrid>
      <w:tr w14:paraId="2119A8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55" w:type="pct"/>
            <w:shd w:val="clear" w:color="auto" w:fill="auto"/>
            <w:vAlign w:val="center"/>
          </w:tcPr>
          <w:p w14:paraId="03CDECBE">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b/>
                <w:bCs/>
                <w:snapToGrid w:val="0"/>
                <w:color w:val="auto"/>
                <w:sz w:val="21"/>
                <w:szCs w:val="21"/>
                <w:highlight w:val="none"/>
                <w:lang w:val="zh-CN" w:eastAsia="zh-CN"/>
              </w:rPr>
            </w:pPr>
            <w:r>
              <w:rPr>
                <w:rFonts w:hint="default" w:ascii="Times New Roman" w:hAnsi="Times New Roman" w:eastAsia="宋体" w:cs="Times New Roman"/>
                <w:b/>
                <w:bCs/>
                <w:snapToGrid w:val="0"/>
                <w:color w:val="auto"/>
                <w:sz w:val="21"/>
                <w:szCs w:val="21"/>
                <w:highlight w:val="none"/>
                <w:lang w:val="zh-CN"/>
              </w:rPr>
              <w:t>建设项目名称</w:t>
            </w:r>
          </w:p>
        </w:tc>
        <w:tc>
          <w:tcPr>
            <w:tcW w:w="3344" w:type="pct"/>
            <w:shd w:val="clear" w:color="auto" w:fill="auto"/>
            <w:vAlign w:val="center"/>
          </w:tcPr>
          <w:p w14:paraId="7E0D5A55">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snapToGrid w:val="0"/>
                <w:color w:val="auto"/>
                <w:sz w:val="21"/>
                <w:szCs w:val="21"/>
                <w:highlight w:val="none"/>
                <w:lang w:val="zh-CN" w:eastAsia="zh-CN"/>
              </w:rPr>
            </w:pPr>
            <w:r>
              <w:rPr>
                <w:rFonts w:hint="default" w:ascii="Times New Roman" w:hAnsi="Times New Roman" w:eastAsia="宋体" w:cs="Times New Roman"/>
                <w:snapToGrid w:val="0"/>
                <w:color w:val="auto"/>
                <w:sz w:val="21"/>
                <w:szCs w:val="21"/>
                <w:highlight w:val="none"/>
                <w:lang w:val="zh-CN" w:eastAsia="zh-CN"/>
              </w:rPr>
              <w:t>双鸭山市永胜农机合作社肉牛养殖基地项目</w:t>
            </w:r>
          </w:p>
        </w:tc>
      </w:tr>
      <w:tr w14:paraId="455F7C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55" w:type="pct"/>
            <w:shd w:val="clear" w:color="auto" w:fill="auto"/>
            <w:vAlign w:val="center"/>
          </w:tcPr>
          <w:p w14:paraId="75958808">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b/>
                <w:bCs/>
                <w:snapToGrid w:val="0"/>
                <w:color w:val="auto"/>
                <w:sz w:val="21"/>
                <w:szCs w:val="21"/>
                <w:highlight w:val="none"/>
                <w:lang w:val="zh-CN" w:eastAsia="zh-CN"/>
              </w:rPr>
            </w:pPr>
            <w:r>
              <w:rPr>
                <w:rFonts w:hint="default" w:ascii="Times New Roman" w:hAnsi="Times New Roman" w:eastAsia="宋体" w:cs="Times New Roman"/>
                <w:b/>
                <w:bCs/>
                <w:snapToGrid w:val="0"/>
                <w:color w:val="auto"/>
                <w:sz w:val="21"/>
                <w:szCs w:val="21"/>
                <w:highlight w:val="none"/>
                <w:lang w:val="zh-CN"/>
              </w:rPr>
              <w:t>建设地点</w:t>
            </w:r>
          </w:p>
        </w:tc>
        <w:tc>
          <w:tcPr>
            <w:tcW w:w="3344" w:type="pct"/>
            <w:shd w:val="clear" w:color="auto" w:fill="auto"/>
            <w:vAlign w:val="center"/>
          </w:tcPr>
          <w:p w14:paraId="3AD4A88F">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snapToGrid w:val="0"/>
                <w:color w:val="auto"/>
                <w:sz w:val="21"/>
                <w:szCs w:val="21"/>
                <w:highlight w:val="none"/>
                <w:lang w:val="zh-CN"/>
              </w:rPr>
            </w:pPr>
            <w:r>
              <w:rPr>
                <w:rFonts w:hint="default" w:ascii="Times New Roman" w:hAnsi="Times New Roman" w:cs="Times New Roman"/>
                <w:snapToGrid w:val="0"/>
                <w:color w:val="auto"/>
                <w:sz w:val="21"/>
                <w:szCs w:val="21"/>
                <w:highlight w:val="none"/>
                <w:lang w:val="zh-CN" w:eastAsia="zh-CN"/>
              </w:rPr>
              <w:t>黑龙江省双鸭山市集贤县集贤镇种畜场（康家屯）</w:t>
            </w:r>
          </w:p>
        </w:tc>
      </w:tr>
      <w:tr w14:paraId="626E6F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55" w:type="pct"/>
            <w:shd w:val="clear" w:color="auto" w:fill="auto"/>
            <w:vAlign w:val="center"/>
          </w:tcPr>
          <w:p w14:paraId="5BEE1C10">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b/>
                <w:bCs/>
                <w:snapToGrid w:val="0"/>
                <w:color w:val="auto"/>
                <w:sz w:val="21"/>
                <w:szCs w:val="21"/>
                <w:highlight w:val="none"/>
                <w:lang w:val="zh-CN"/>
              </w:rPr>
            </w:pPr>
            <w:r>
              <w:rPr>
                <w:rFonts w:hint="default" w:ascii="Times New Roman" w:hAnsi="Times New Roman" w:eastAsia="宋体" w:cs="Times New Roman"/>
                <w:b/>
                <w:bCs/>
                <w:snapToGrid w:val="0"/>
                <w:color w:val="auto"/>
                <w:sz w:val="21"/>
                <w:szCs w:val="21"/>
                <w:highlight w:val="none"/>
                <w:lang w:val="zh-CN"/>
              </w:rPr>
              <w:t>地理坐标</w:t>
            </w:r>
          </w:p>
        </w:tc>
        <w:tc>
          <w:tcPr>
            <w:tcW w:w="3344" w:type="pct"/>
            <w:shd w:val="clear" w:color="auto" w:fill="auto"/>
            <w:vAlign w:val="center"/>
          </w:tcPr>
          <w:p w14:paraId="3A351D07">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snapToGrid w:val="0"/>
                <w:color w:val="auto"/>
                <w:sz w:val="21"/>
                <w:szCs w:val="21"/>
                <w:highlight w:val="none"/>
                <w:lang w:val="zh-CN" w:eastAsia="zh-CN"/>
              </w:rPr>
            </w:pPr>
            <w:r>
              <w:rPr>
                <w:rFonts w:hint="default" w:ascii="Times New Roman" w:hAnsi="Times New Roman" w:eastAsia="宋体" w:cs="Times New Roman"/>
                <w:snapToGrid w:val="0"/>
                <w:color w:val="auto"/>
                <w:sz w:val="21"/>
                <w:szCs w:val="21"/>
                <w:highlight w:val="none"/>
                <w:lang w:val="zh-CN"/>
              </w:rPr>
              <w:t>东经131.</w:t>
            </w:r>
            <w:r>
              <w:rPr>
                <w:rFonts w:hint="default" w:ascii="Times New Roman" w:hAnsi="Times New Roman" w:eastAsia="宋体" w:cs="Times New Roman"/>
                <w:snapToGrid w:val="0"/>
                <w:color w:val="auto"/>
                <w:sz w:val="21"/>
                <w:szCs w:val="21"/>
                <w:highlight w:val="none"/>
                <w:lang w:val="zh-CN" w:eastAsia="zh-CN"/>
              </w:rPr>
              <w:t>157911924</w:t>
            </w:r>
            <w:r>
              <w:rPr>
                <w:rFonts w:hint="default" w:ascii="Times New Roman" w:hAnsi="Times New Roman" w:eastAsia="宋体" w:cs="Times New Roman"/>
                <w:snapToGrid w:val="0"/>
                <w:color w:val="auto"/>
                <w:sz w:val="21"/>
                <w:szCs w:val="21"/>
                <w:highlight w:val="none"/>
                <w:lang w:val="zh-CN"/>
              </w:rPr>
              <w:t>°，北纬46.</w:t>
            </w:r>
            <w:r>
              <w:rPr>
                <w:rFonts w:hint="default" w:ascii="Times New Roman" w:hAnsi="Times New Roman" w:eastAsia="宋体" w:cs="Times New Roman"/>
                <w:snapToGrid w:val="0"/>
                <w:color w:val="auto"/>
                <w:sz w:val="21"/>
                <w:szCs w:val="21"/>
                <w:highlight w:val="none"/>
                <w:lang w:val="zh-CN" w:eastAsia="zh-CN"/>
              </w:rPr>
              <w:t>795928082</w:t>
            </w:r>
            <w:r>
              <w:rPr>
                <w:rFonts w:hint="default" w:ascii="Times New Roman" w:hAnsi="Times New Roman" w:eastAsia="宋体" w:cs="Times New Roman"/>
                <w:snapToGrid w:val="0"/>
                <w:color w:val="auto"/>
                <w:sz w:val="21"/>
                <w:szCs w:val="21"/>
                <w:highlight w:val="none"/>
                <w:lang w:val="zh-CN"/>
              </w:rPr>
              <w:t>°</w:t>
            </w:r>
          </w:p>
        </w:tc>
      </w:tr>
      <w:tr w14:paraId="4BCD22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55" w:type="pct"/>
            <w:shd w:val="clear" w:color="auto" w:fill="auto"/>
            <w:vAlign w:val="center"/>
          </w:tcPr>
          <w:p w14:paraId="603D1AF0">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b/>
                <w:bCs/>
                <w:snapToGrid w:val="0"/>
                <w:color w:val="auto"/>
                <w:sz w:val="21"/>
                <w:szCs w:val="21"/>
                <w:highlight w:val="none"/>
                <w:lang w:val="zh-CN"/>
              </w:rPr>
            </w:pPr>
            <w:r>
              <w:rPr>
                <w:rFonts w:hint="default" w:ascii="Times New Roman" w:hAnsi="Times New Roman" w:eastAsia="宋体" w:cs="Times New Roman"/>
                <w:b/>
                <w:bCs/>
                <w:snapToGrid w:val="0"/>
                <w:color w:val="auto"/>
                <w:sz w:val="21"/>
                <w:szCs w:val="21"/>
                <w:highlight w:val="none"/>
                <w:lang w:val="zh-CN"/>
              </w:rPr>
              <w:t>主要危险物质及分布</w:t>
            </w:r>
          </w:p>
        </w:tc>
        <w:tc>
          <w:tcPr>
            <w:tcW w:w="3344" w:type="pct"/>
            <w:shd w:val="clear" w:color="auto" w:fill="auto"/>
            <w:vAlign w:val="center"/>
          </w:tcPr>
          <w:p w14:paraId="46F7EAE4">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snapToGrid w:val="0"/>
                <w:color w:val="auto"/>
                <w:sz w:val="21"/>
                <w:szCs w:val="21"/>
                <w:highlight w:val="none"/>
                <w:lang w:val="zh-CN" w:eastAsia="zh-CN"/>
              </w:rPr>
            </w:pPr>
            <w:r>
              <w:rPr>
                <w:rFonts w:hint="default" w:ascii="Times New Roman" w:hAnsi="Times New Roman" w:eastAsia="宋体" w:cs="Times New Roman"/>
                <w:b w:val="0"/>
                <w:bCs w:val="0"/>
                <w:smallCaps w:val="0"/>
                <w:color w:val="auto"/>
                <w:kern w:val="0"/>
                <w:sz w:val="21"/>
                <w:szCs w:val="21"/>
                <w:highlight w:val="none"/>
                <w:lang w:val="en-US" w:eastAsia="zh-CN" w:bidi="ar-SA"/>
              </w:rPr>
              <w:t>H</w:t>
            </w:r>
            <w:r>
              <w:rPr>
                <w:rFonts w:hint="default" w:ascii="Times New Roman" w:hAnsi="Times New Roman" w:eastAsia="宋体" w:cs="Times New Roman"/>
                <w:b w:val="0"/>
                <w:bCs w:val="0"/>
                <w:smallCaps w:val="0"/>
                <w:color w:val="auto"/>
                <w:kern w:val="0"/>
                <w:sz w:val="21"/>
                <w:szCs w:val="21"/>
                <w:highlight w:val="none"/>
                <w:vertAlign w:val="subscript"/>
                <w:lang w:val="en-US" w:eastAsia="zh-CN" w:bidi="ar-SA"/>
              </w:rPr>
              <w:t>2</w:t>
            </w:r>
            <w:r>
              <w:rPr>
                <w:rFonts w:hint="default" w:ascii="Times New Roman" w:hAnsi="Times New Roman" w:eastAsia="宋体" w:cs="Times New Roman"/>
                <w:b w:val="0"/>
                <w:bCs w:val="0"/>
                <w:smallCaps w:val="0"/>
                <w:color w:val="auto"/>
                <w:kern w:val="0"/>
                <w:sz w:val="21"/>
                <w:szCs w:val="21"/>
                <w:highlight w:val="none"/>
                <w:lang w:val="en-US" w:eastAsia="zh-CN" w:bidi="ar-SA"/>
              </w:rPr>
              <w:t>S、NH</w:t>
            </w:r>
            <w:r>
              <w:rPr>
                <w:rFonts w:hint="default" w:ascii="Times New Roman" w:hAnsi="Times New Roman" w:eastAsia="宋体" w:cs="Times New Roman"/>
                <w:b w:val="0"/>
                <w:bCs w:val="0"/>
                <w:smallCaps w:val="0"/>
                <w:color w:val="auto"/>
                <w:kern w:val="0"/>
                <w:sz w:val="21"/>
                <w:szCs w:val="21"/>
                <w:highlight w:val="none"/>
                <w:vertAlign w:val="subscript"/>
                <w:lang w:val="en-US" w:eastAsia="zh-CN" w:bidi="ar-SA"/>
              </w:rPr>
              <w:t>3</w:t>
            </w:r>
          </w:p>
        </w:tc>
      </w:tr>
      <w:tr w14:paraId="0F99C0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55" w:type="pct"/>
            <w:shd w:val="clear" w:color="auto" w:fill="auto"/>
            <w:vAlign w:val="center"/>
          </w:tcPr>
          <w:p w14:paraId="04C0390A">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b/>
                <w:bCs/>
                <w:snapToGrid w:val="0"/>
                <w:color w:val="auto"/>
                <w:sz w:val="21"/>
                <w:szCs w:val="21"/>
                <w:highlight w:val="none"/>
                <w:lang w:val="zh-CN"/>
              </w:rPr>
            </w:pPr>
            <w:r>
              <w:rPr>
                <w:rFonts w:hint="default" w:ascii="Times New Roman" w:hAnsi="Times New Roman" w:eastAsia="宋体" w:cs="Times New Roman"/>
                <w:b/>
                <w:bCs/>
                <w:snapToGrid w:val="0"/>
                <w:color w:val="auto"/>
                <w:sz w:val="21"/>
                <w:szCs w:val="21"/>
                <w:highlight w:val="none"/>
                <w:lang w:val="zh-CN"/>
              </w:rPr>
              <w:t>环境影响途径及危害后果（大气、地表水、地下水等）</w:t>
            </w:r>
          </w:p>
        </w:tc>
        <w:tc>
          <w:tcPr>
            <w:tcW w:w="3344" w:type="pct"/>
            <w:shd w:val="clear" w:color="auto" w:fill="auto"/>
            <w:vAlign w:val="center"/>
          </w:tcPr>
          <w:p w14:paraId="3BAD49B8">
            <w:pPr>
              <w:pageBreakBefore w:val="0"/>
              <w:wordWrap/>
              <w:topLinePunct w:val="0"/>
              <w:bidi w:val="0"/>
              <w:adjustRightInd/>
              <w:snapToGrid/>
              <w:spacing w:line="240" w:lineRule="auto"/>
              <w:ind w:firstLine="0" w:firstLineChars="0"/>
              <w:jc w:val="left"/>
              <w:rPr>
                <w:rFonts w:hint="default" w:ascii="Times New Roman" w:hAnsi="Times New Roman" w:eastAsia="宋体" w:cs="Times New Roman"/>
                <w:snapToGrid w:val="0"/>
                <w:color w:val="auto"/>
                <w:sz w:val="21"/>
                <w:szCs w:val="21"/>
                <w:highlight w:val="none"/>
                <w:lang w:val="zh-CN" w:eastAsia="zh-CN"/>
              </w:rPr>
            </w:pPr>
            <w:r>
              <w:rPr>
                <w:rFonts w:hint="default" w:ascii="Times New Roman" w:hAnsi="Times New Roman" w:eastAsia="宋体" w:cs="Times New Roman"/>
                <w:snapToGrid w:val="0"/>
                <w:color w:val="auto"/>
                <w:sz w:val="21"/>
                <w:szCs w:val="21"/>
                <w:highlight w:val="none"/>
                <w:lang w:val="zh-CN"/>
              </w:rPr>
              <w:t>本项目排放废气H</w:t>
            </w:r>
            <w:r>
              <w:rPr>
                <w:rFonts w:hint="default" w:ascii="Times New Roman" w:hAnsi="Times New Roman" w:eastAsia="宋体" w:cs="Times New Roman"/>
                <w:snapToGrid w:val="0"/>
                <w:color w:val="auto"/>
                <w:sz w:val="21"/>
                <w:szCs w:val="21"/>
                <w:highlight w:val="none"/>
                <w:vertAlign w:val="subscript"/>
                <w:lang w:val="zh-CN"/>
              </w:rPr>
              <w:t>2</w:t>
            </w:r>
            <w:r>
              <w:rPr>
                <w:rFonts w:hint="default" w:ascii="Times New Roman" w:hAnsi="Times New Roman" w:eastAsia="宋体" w:cs="Times New Roman"/>
                <w:snapToGrid w:val="0"/>
                <w:color w:val="auto"/>
                <w:sz w:val="21"/>
                <w:szCs w:val="21"/>
                <w:highlight w:val="none"/>
                <w:lang w:val="zh-CN"/>
              </w:rPr>
              <w:t>S、NH</w:t>
            </w:r>
            <w:r>
              <w:rPr>
                <w:rFonts w:hint="default" w:ascii="Times New Roman" w:hAnsi="Times New Roman" w:eastAsia="宋体" w:cs="Times New Roman"/>
                <w:snapToGrid w:val="0"/>
                <w:color w:val="auto"/>
                <w:sz w:val="21"/>
                <w:szCs w:val="21"/>
                <w:highlight w:val="none"/>
                <w:vertAlign w:val="subscript"/>
                <w:lang w:val="zh-CN"/>
              </w:rPr>
              <w:t>3</w:t>
            </w:r>
            <w:r>
              <w:rPr>
                <w:rFonts w:hint="default" w:ascii="Times New Roman" w:hAnsi="Times New Roman" w:eastAsia="宋体" w:cs="Times New Roman"/>
                <w:snapToGrid w:val="0"/>
                <w:color w:val="auto"/>
                <w:sz w:val="21"/>
                <w:szCs w:val="21"/>
                <w:highlight w:val="none"/>
                <w:lang w:val="zh-CN"/>
              </w:rPr>
              <w:t>为无组织排放，不储存，</w:t>
            </w:r>
            <w:r>
              <w:rPr>
                <w:rFonts w:hint="default" w:ascii="Times New Roman" w:hAnsi="Times New Roman" w:eastAsia="宋体" w:cs="Times New Roman"/>
                <w:snapToGrid w:val="0"/>
                <w:color w:val="auto"/>
                <w:sz w:val="21"/>
                <w:szCs w:val="21"/>
                <w:highlight w:val="none"/>
                <w:lang w:val="en-US" w:eastAsia="zh-CN"/>
              </w:rPr>
              <w:t>当污染防治措施不到位可能</w:t>
            </w:r>
            <w:r>
              <w:rPr>
                <w:rFonts w:hint="default" w:ascii="Times New Roman" w:hAnsi="Times New Roman" w:eastAsia="宋体" w:cs="Times New Roman"/>
                <w:snapToGrid w:val="0"/>
                <w:color w:val="auto"/>
                <w:sz w:val="21"/>
                <w:szCs w:val="21"/>
                <w:highlight w:val="none"/>
                <w:lang w:val="zh-CN"/>
              </w:rPr>
              <w:t>对周围大气环境造成污染。</w:t>
            </w:r>
          </w:p>
        </w:tc>
      </w:tr>
      <w:tr w14:paraId="48C24E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55" w:type="pct"/>
            <w:shd w:val="clear" w:color="auto" w:fill="auto"/>
            <w:vAlign w:val="center"/>
          </w:tcPr>
          <w:p w14:paraId="50E50FEA">
            <w:pPr>
              <w:pageBreakBefore w:val="0"/>
              <w:wordWrap/>
              <w:topLinePunct w:val="0"/>
              <w:bidi w:val="0"/>
              <w:adjustRightInd/>
              <w:snapToGrid/>
              <w:spacing w:line="240" w:lineRule="auto"/>
              <w:ind w:firstLine="0" w:firstLineChars="0"/>
              <w:jc w:val="center"/>
              <w:rPr>
                <w:rFonts w:hint="default" w:ascii="Times New Roman" w:hAnsi="Times New Roman" w:eastAsia="宋体" w:cs="Times New Roman"/>
                <w:b/>
                <w:bCs/>
                <w:snapToGrid w:val="0"/>
                <w:color w:val="auto"/>
                <w:sz w:val="21"/>
                <w:szCs w:val="21"/>
                <w:highlight w:val="none"/>
                <w:lang w:val="zh-CN"/>
              </w:rPr>
            </w:pPr>
            <w:r>
              <w:rPr>
                <w:rFonts w:hint="default" w:ascii="Times New Roman" w:hAnsi="Times New Roman" w:eastAsia="宋体" w:cs="Times New Roman"/>
                <w:b/>
                <w:bCs/>
                <w:snapToGrid w:val="0"/>
                <w:color w:val="auto"/>
                <w:sz w:val="21"/>
                <w:szCs w:val="21"/>
                <w:highlight w:val="none"/>
                <w:lang w:val="zh-CN"/>
              </w:rPr>
              <w:t>风险防范措施要求</w:t>
            </w:r>
          </w:p>
        </w:tc>
        <w:tc>
          <w:tcPr>
            <w:tcW w:w="3344" w:type="pct"/>
            <w:shd w:val="clear" w:color="auto" w:fill="auto"/>
            <w:vAlign w:val="center"/>
          </w:tcPr>
          <w:p w14:paraId="4DD52A4D">
            <w:pPr>
              <w:pageBreakBefore w:val="0"/>
              <w:wordWrap/>
              <w:topLinePunct w:val="0"/>
              <w:bidi w:val="0"/>
              <w:adjustRightInd/>
              <w:snapToGrid/>
              <w:spacing w:line="240" w:lineRule="auto"/>
              <w:ind w:firstLine="0" w:firstLineChars="0"/>
              <w:jc w:val="left"/>
              <w:rPr>
                <w:rFonts w:hint="default" w:ascii="Times New Roman" w:hAnsi="Times New Roman" w:eastAsia="宋体" w:cs="Times New Roman"/>
                <w:color w:val="auto"/>
                <w:sz w:val="21"/>
                <w:szCs w:val="21"/>
                <w:highlight w:val="none"/>
                <w:lang w:val="zh-CN"/>
              </w:rPr>
            </w:pPr>
            <w:r>
              <w:rPr>
                <w:rFonts w:hint="default" w:ascii="Times New Roman" w:hAnsi="Times New Roman" w:eastAsia="宋体" w:cs="Times New Roman"/>
                <w:color w:val="auto"/>
                <w:sz w:val="21"/>
                <w:szCs w:val="21"/>
                <w:highlight w:val="none"/>
                <w:lang w:val="zh-CN" w:eastAsia="zh-CN"/>
              </w:rPr>
              <w:t>优化平面布局、加强安全防范措施、加强防疫防范措施、加强地下水防渗措施</w:t>
            </w:r>
          </w:p>
        </w:tc>
      </w:tr>
    </w:tbl>
    <w:p w14:paraId="01D39D90">
      <w:pPr>
        <w:rPr>
          <w:rFonts w:hint="default" w:ascii="Times New Roman" w:hAnsi="Times New Roman" w:eastAsia="Times New Roman" w:cs="Times New Roman"/>
          <w:b/>
          <w:bCs/>
          <w:color w:val="auto"/>
          <w:spacing w:val="6"/>
          <w:sz w:val="31"/>
          <w:szCs w:val="31"/>
          <w:highlight w:val="none"/>
        </w:rPr>
      </w:pPr>
      <w:bookmarkStart w:id="225" w:name="_Toc10934"/>
      <w:bookmarkStart w:id="226" w:name="_Toc29752"/>
      <w:r>
        <w:rPr>
          <w:rFonts w:hint="default" w:ascii="Times New Roman" w:hAnsi="Times New Roman" w:eastAsia="Times New Roman" w:cs="Times New Roman"/>
          <w:b/>
          <w:bCs/>
          <w:color w:val="auto"/>
          <w:spacing w:val="6"/>
          <w:sz w:val="31"/>
          <w:szCs w:val="31"/>
          <w:highlight w:val="none"/>
        </w:rPr>
        <w:br w:type="page"/>
      </w:r>
    </w:p>
    <w:p w14:paraId="23A76F40">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0"/>
        <w:rPr>
          <w:rFonts w:hint="default" w:ascii="Times New Roman" w:hAnsi="Times New Roman" w:eastAsia="Times New Roman" w:cs="Times New Roman"/>
          <w:b/>
          <w:bCs/>
          <w:color w:val="auto"/>
          <w:sz w:val="32"/>
          <w:szCs w:val="32"/>
          <w:highlight w:val="none"/>
        </w:rPr>
      </w:pPr>
      <w:bookmarkStart w:id="227" w:name="_Toc454"/>
      <w:r>
        <w:rPr>
          <w:rFonts w:hint="default" w:ascii="Times New Roman" w:hAnsi="Times New Roman" w:eastAsia="Times New Roman" w:cs="Times New Roman"/>
          <w:b/>
          <w:bCs/>
          <w:color w:val="auto"/>
          <w:sz w:val="32"/>
          <w:szCs w:val="32"/>
          <w:highlight w:val="none"/>
        </w:rPr>
        <w:t>7.环境影响经济损益分析</w:t>
      </w:r>
      <w:bookmarkEnd w:id="225"/>
      <w:bookmarkEnd w:id="226"/>
      <w:bookmarkEnd w:id="227"/>
    </w:p>
    <w:p w14:paraId="562E29ED">
      <w:pPr>
        <w:keepNext w:val="0"/>
        <w:keepLines w:val="0"/>
        <w:pageBreakBefore w:val="0"/>
        <w:kinsoku/>
        <w:wordWrap/>
        <w:overflowPunct/>
        <w:topLinePunct w:val="0"/>
        <w:bidi w:val="0"/>
        <w:adjustRightInd/>
        <w:snapToGrid/>
        <w:spacing w:line="360" w:lineRule="auto"/>
        <w:ind w:firstLine="480" w:firstLineChars="200"/>
        <w:contextualSpacing/>
        <w:jc w:val="left"/>
        <w:textAlignment w:val="auto"/>
        <w:outlineLvl w:val="9"/>
        <w:rPr>
          <w:rFonts w:hint="default" w:ascii="Times New Roman" w:hAnsi="Times New Roman" w:eastAsia="宋体" w:cs="Times New Roman"/>
          <w:color w:val="auto"/>
          <w:spacing w:val="0"/>
          <w:kern w:val="2"/>
          <w:sz w:val="24"/>
          <w:szCs w:val="24"/>
          <w:highlight w:val="none"/>
          <w:lang w:val="en-US" w:eastAsia="zh-CN" w:bidi="ar-SA"/>
        </w:rPr>
      </w:pPr>
      <w:bookmarkStart w:id="228" w:name="_Toc17980"/>
      <w:bookmarkStart w:id="229" w:name="_Toc5827"/>
      <w:r>
        <w:rPr>
          <w:rFonts w:hint="default" w:ascii="Times New Roman" w:hAnsi="Times New Roman" w:eastAsia="宋体" w:cs="Times New Roman"/>
          <w:color w:val="auto"/>
          <w:spacing w:val="0"/>
          <w:kern w:val="2"/>
          <w:sz w:val="24"/>
          <w:szCs w:val="24"/>
          <w:highlight w:val="none"/>
          <w:lang w:val="en-US" w:eastAsia="zh-CN" w:bidi="ar-SA"/>
        </w:rPr>
        <w:t>环境影响经济损益分析是环境影响评价的一项主要内容，设置的目的在于衡量建设项目所需投入的环保投资和能收到的环保效果，以评价拟建项目的环境经济可行性。因而在环境经济损益分析中除计算用于控制污染所需投资费用外，同时还需估算可能收到的环境与经济效益，以实现扩大生产、提高经济效益的同时不至于造成区域环境污染，做到经济效益、社会效益和环境效益的协</w:t>
      </w:r>
      <w:bookmarkStart w:id="230" w:name="_Toc29330"/>
      <w:r>
        <w:rPr>
          <w:rFonts w:hint="default" w:ascii="Times New Roman" w:hAnsi="Times New Roman" w:eastAsia="宋体" w:cs="Times New Roman"/>
          <w:color w:val="auto"/>
          <w:spacing w:val="0"/>
          <w:kern w:val="2"/>
          <w:sz w:val="24"/>
          <w:szCs w:val="24"/>
          <w:highlight w:val="none"/>
          <w:lang w:val="en-US" w:eastAsia="zh-CN" w:bidi="ar-SA"/>
        </w:rPr>
        <w:t>调发展。</w:t>
      </w:r>
    </w:p>
    <w:p w14:paraId="44080AAE">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宋体" w:cs="Times New Roman"/>
          <w:b/>
          <w:bCs/>
          <w:color w:val="auto"/>
          <w:spacing w:val="-5"/>
          <w:sz w:val="28"/>
          <w:szCs w:val="28"/>
          <w:highlight w:val="none"/>
        </w:rPr>
      </w:pPr>
      <w:bookmarkStart w:id="231" w:name="_Toc16367"/>
      <w:r>
        <w:rPr>
          <w:rFonts w:hint="default" w:ascii="Times New Roman" w:hAnsi="Times New Roman" w:eastAsia="宋体" w:cs="Times New Roman"/>
          <w:b/>
          <w:bCs/>
          <w:color w:val="auto"/>
          <w:spacing w:val="-5"/>
          <w:sz w:val="28"/>
          <w:szCs w:val="28"/>
          <w:highlight w:val="none"/>
        </w:rPr>
        <w:t>7.1环境保护投资估算</w:t>
      </w:r>
      <w:bookmarkEnd w:id="230"/>
      <w:bookmarkEnd w:id="231"/>
    </w:p>
    <w:p w14:paraId="6F7D17DA">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snapToGrid w:val="0"/>
          <w:color w:val="auto"/>
          <w:kern w:val="0"/>
          <w:sz w:val="24"/>
          <w:highlight w:val="none"/>
        </w:rPr>
      </w:pPr>
      <w:r>
        <w:rPr>
          <w:rFonts w:hint="default" w:ascii="Times New Roman" w:hAnsi="Times New Roman" w:eastAsia="宋体" w:cs="Times New Roman"/>
          <w:snapToGrid w:val="0"/>
          <w:color w:val="auto"/>
          <w:kern w:val="0"/>
          <w:sz w:val="24"/>
          <w:highlight w:val="none"/>
        </w:rPr>
        <w:t>环保投资比按下式计算：</w:t>
      </w:r>
    </w:p>
    <w:p w14:paraId="69A18BE6">
      <w:pPr>
        <w:keepNext w:val="0"/>
        <w:keepLines w:val="0"/>
        <w:pageBreakBefore w:val="0"/>
        <w:kinsoku/>
        <w:wordWrap/>
        <w:overflowPunct/>
        <w:topLinePunct w:val="0"/>
        <w:bidi w:val="0"/>
        <w:adjustRightInd/>
        <w:snapToGrid/>
        <w:spacing w:line="360" w:lineRule="auto"/>
        <w:jc w:val="center"/>
        <w:textAlignment w:val="auto"/>
        <w:rPr>
          <w:rFonts w:hint="default" w:ascii="Times New Roman" w:hAnsi="Times New Roman" w:eastAsia="宋体" w:cs="Times New Roman"/>
          <w:snapToGrid w:val="0"/>
          <w:color w:val="auto"/>
          <w:kern w:val="0"/>
          <w:sz w:val="24"/>
          <w:highlight w:val="none"/>
        </w:rPr>
      </w:pPr>
      <w:r>
        <w:rPr>
          <w:rFonts w:hint="default" w:ascii="Times New Roman" w:hAnsi="Times New Roman" w:eastAsia="宋体" w:cs="Times New Roman"/>
          <w:color w:val="auto"/>
          <w:kern w:val="0"/>
          <w:sz w:val="24"/>
          <w:highlight w:val="none"/>
        </w:rPr>
        <w:drawing>
          <wp:inline distT="0" distB="0" distL="0" distR="0">
            <wp:extent cx="1132840" cy="409575"/>
            <wp:effectExtent l="0" t="0" r="10160" b="8890"/>
            <wp:docPr id="80"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51"/>
                    <pic:cNvPicPr>
                      <a:picLocks noChangeAspect="1" noChangeArrowheads="1"/>
                    </pic:cNvPicPr>
                  </pic:nvPicPr>
                  <pic:blipFill>
                    <a:blip r:embed="rId107" cstate="print"/>
                    <a:srcRect/>
                    <a:stretch>
                      <a:fillRect/>
                    </a:stretch>
                  </pic:blipFill>
                  <pic:spPr>
                    <a:xfrm>
                      <a:off x="0" y="0"/>
                      <a:ext cx="1132840" cy="409575"/>
                    </a:xfrm>
                    <a:prstGeom prst="rect">
                      <a:avLst/>
                    </a:prstGeom>
                    <a:noFill/>
                    <a:ln w="9525">
                      <a:noFill/>
                      <a:miter lim="800000"/>
                      <a:headEnd/>
                      <a:tailEnd/>
                    </a:ln>
                  </pic:spPr>
                </pic:pic>
              </a:graphicData>
            </a:graphic>
          </wp:inline>
        </w:drawing>
      </w:r>
    </w:p>
    <w:p w14:paraId="03A7A7D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highlight w:val="none"/>
        </w:rPr>
      </w:pPr>
      <w:r>
        <w:rPr>
          <w:rFonts w:hint="default" w:ascii="Times New Roman" w:hAnsi="Times New Roman" w:eastAsia="宋体" w:cs="Times New Roman"/>
          <w:snapToGrid w:val="0"/>
          <w:color w:val="auto"/>
          <w:kern w:val="0"/>
          <w:sz w:val="24"/>
          <w:highlight w:val="none"/>
        </w:rPr>
        <w:t>式中：</w:t>
      </w:r>
      <w:r>
        <w:rPr>
          <w:rFonts w:hint="default" w:ascii="Times New Roman" w:hAnsi="Times New Roman" w:eastAsia="宋体" w:cs="Times New Roman"/>
          <w:i/>
          <w:snapToGrid w:val="0"/>
          <w:color w:val="auto"/>
          <w:kern w:val="0"/>
          <w:sz w:val="24"/>
          <w:highlight w:val="none"/>
        </w:rPr>
        <w:t>HJ</w:t>
      </w:r>
      <w:r>
        <w:rPr>
          <w:rFonts w:hint="default" w:ascii="Times New Roman" w:hAnsi="Times New Roman" w:eastAsia="宋体" w:cs="Times New Roman"/>
          <w:snapToGrid w:val="0"/>
          <w:color w:val="auto"/>
          <w:kern w:val="0"/>
          <w:sz w:val="24"/>
          <w:highlight w:val="none"/>
        </w:rPr>
        <w:t>—环保费用投资比，100％；</w:t>
      </w:r>
    </w:p>
    <w:p w14:paraId="787FF598">
      <w:pPr>
        <w:keepNext w:val="0"/>
        <w:keepLines w:val="0"/>
        <w:pageBreakBefore w:val="0"/>
        <w:widowControl w:val="0"/>
        <w:kinsoku/>
        <w:wordWrap/>
        <w:overflowPunct/>
        <w:topLinePunct w:val="0"/>
        <w:autoSpaceDE/>
        <w:autoSpaceDN/>
        <w:bidi w:val="0"/>
        <w:adjustRightInd/>
        <w:snapToGrid/>
        <w:spacing w:line="360" w:lineRule="auto"/>
        <w:ind w:firstLine="1200" w:firstLineChars="500"/>
        <w:textAlignment w:val="auto"/>
        <w:rPr>
          <w:rFonts w:hint="default" w:ascii="Times New Roman" w:hAnsi="Times New Roman" w:eastAsia="宋体" w:cs="Times New Roman"/>
          <w:snapToGrid w:val="0"/>
          <w:color w:val="auto"/>
          <w:kern w:val="0"/>
          <w:sz w:val="24"/>
          <w:highlight w:val="none"/>
        </w:rPr>
      </w:pPr>
      <w:r>
        <w:rPr>
          <w:rFonts w:hint="default" w:ascii="Times New Roman" w:hAnsi="Times New Roman" w:eastAsia="宋体" w:cs="Times New Roman"/>
          <w:i/>
          <w:snapToGrid w:val="0"/>
          <w:color w:val="auto"/>
          <w:kern w:val="0"/>
          <w:sz w:val="24"/>
          <w:highlight w:val="none"/>
        </w:rPr>
        <w:t>HT</w:t>
      </w:r>
      <w:r>
        <w:rPr>
          <w:rFonts w:hint="default" w:ascii="Times New Roman" w:hAnsi="Times New Roman" w:eastAsia="宋体" w:cs="Times New Roman"/>
          <w:snapToGrid w:val="0"/>
          <w:color w:val="auto"/>
          <w:kern w:val="0"/>
          <w:sz w:val="24"/>
          <w:highlight w:val="none"/>
        </w:rPr>
        <w:t>—环保投资，万元；</w:t>
      </w:r>
    </w:p>
    <w:p w14:paraId="1A23F3F7">
      <w:pPr>
        <w:keepNext w:val="0"/>
        <w:keepLines w:val="0"/>
        <w:pageBreakBefore w:val="0"/>
        <w:widowControl w:val="0"/>
        <w:kinsoku/>
        <w:wordWrap/>
        <w:overflowPunct/>
        <w:topLinePunct w:val="0"/>
        <w:autoSpaceDE/>
        <w:autoSpaceDN/>
        <w:bidi w:val="0"/>
        <w:adjustRightInd/>
        <w:snapToGrid/>
        <w:spacing w:line="360" w:lineRule="auto"/>
        <w:ind w:firstLine="1200" w:firstLineChars="500"/>
        <w:textAlignment w:val="auto"/>
        <w:rPr>
          <w:rFonts w:hint="default" w:ascii="Times New Roman" w:hAnsi="Times New Roman" w:eastAsia="宋体" w:cs="Times New Roman"/>
          <w:snapToGrid w:val="0"/>
          <w:color w:val="auto"/>
          <w:kern w:val="0"/>
          <w:sz w:val="24"/>
          <w:highlight w:val="none"/>
        </w:rPr>
      </w:pPr>
      <w:r>
        <w:rPr>
          <w:rFonts w:hint="default" w:ascii="Times New Roman" w:hAnsi="Times New Roman" w:eastAsia="宋体" w:cs="Times New Roman"/>
          <w:i/>
          <w:snapToGrid w:val="0"/>
          <w:color w:val="auto"/>
          <w:kern w:val="0"/>
          <w:sz w:val="24"/>
          <w:highlight w:val="none"/>
        </w:rPr>
        <w:t>JI</w:t>
      </w:r>
      <w:r>
        <w:rPr>
          <w:rFonts w:hint="default" w:ascii="Times New Roman" w:hAnsi="Times New Roman" w:eastAsia="宋体" w:cs="Times New Roman"/>
          <w:snapToGrid w:val="0"/>
          <w:color w:val="auto"/>
          <w:kern w:val="0"/>
          <w:sz w:val="24"/>
          <w:highlight w:val="none"/>
        </w:rPr>
        <w:t>—项目总投资，万元。</w:t>
      </w:r>
    </w:p>
    <w:p w14:paraId="60AC540B">
      <w:pPr>
        <w:keepNext w:val="0"/>
        <w:keepLines w:val="0"/>
        <w:pageBreakBefore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highlight w:val="none"/>
        </w:rPr>
      </w:pPr>
      <w:r>
        <w:rPr>
          <w:rFonts w:hint="default" w:ascii="Times New Roman" w:hAnsi="Times New Roman" w:eastAsia="宋体" w:cs="Times New Roman"/>
          <w:snapToGrid w:val="0"/>
          <w:color w:val="auto"/>
          <w:kern w:val="0"/>
          <w:sz w:val="24"/>
          <w:highlight w:val="none"/>
        </w:rPr>
        <w:t>根据工程分析和环境影响预测及评价结果，本项目产生的</w:t>
      </w:r>
      <w:r>
        <w:rPr>
          <w:rFonts w:hint="default" w:ascii="Times New Roman" w:hAnsi="Times New Roman" w:eastAsia="宋体" w:cs="Times New Roman"/>
          <w:snapToGrid w:val="0"/>
          <w:color w:val="auto"/>
          <w:kern w:val="0"/>
          <w:sz w:val="24"/>
          <w:highlight w:val="none"/>
          <w:lang w:val="en-US" w:eastAsia="zh-CN"/>
        </w:rPr>
        <w:t>废水</w:t>
      </w:r>
      <w:r>
        <w:rPr>
          <w:rFonts w:hint="default" w:ascii="Times New Roman" w:hAnsi="Times New Roman" w:eastAsia="宋体" w:cs="Times New Roman"/>
          <w:snapToGrid w:val="0"/>
          <w:color w:val="auto"/>
          <w:kern w:val="0"/>
          <w:sz w:val="24"/>
          <w:highlight w:val="none"/>
        </w:rPr>
        <w:t>、</w:t>
      </w:r>
      <w:r>
        <w:rPr>
          <w:rFonts w:hint="default" w:ascii="Times New Roman" w:hAnsi="Times New Roman" w:eastAsia="宋体" w:cs="Times New Roman"/>
          <w:color w:val="auto"/>
          <w:sz w:val="24"/>
          <w:highlight w:val="none"/>
          <w:lang w:val="en-US" w:eastAsia="zh-CN"/>
        </w:rPr>
        <w:t>废气</w:t>
      </w:r>
      <w:r>
        <w:rPr>
          <w:rFonts w:hint="default" w:ascii="Times New Roman" w:hAnsi="Times New Roman" w:eastAsia="宋体" w:cs="Times New Roman"/>
          <w:snapToGrid w:val="0"/>
          <w:color w:val="auto"/>
          <w:kern w:val="0"/>
          <w:sz w:val="24"/>
          <w:highlight w:val="none"/>
        </w:rPr>
        <w:t>、噪声</w:t>
      </w:r>
      <w:r>
        <w:rPr>
          <w:rFonts w:hint="default" w:ascii="Times New Roman" w:hAnsi="Times New Roman" w:eastAsia="宋体" w:cs="Times New Roman"/>
          <w:snapToGrid w:val="0"/>
          <w:color w:val="auto"/>
          <w:kern w:val="0"/>
          <w:sz w:val="24"/>
          <w:highlight w:val="none"/>
          <w:lang w:eastAsia="zh-CN"/>
        </w:rPr>
        <w:t>、</w:t>
      </w:r>
      <w:r>
        <w:rPr>
          <w:rFonts w:hint="default" w:ascii="Times New Roman" w:hAnsi="Times New Roman" w:eastAsia="宋体" w:cs="Times New Roman"/>
          <w:snapToGrid w:val="0"/>
          <w:color w:val="auto"/>
          <w:kern w:val="0"/>
          <w:sz w:val="24"/>
          <w:highlight w:val="none"/>
          <w:lang w:val="en-US" w:eastAsia="zh-CN"/>
        </w:rPr>
        <w:t>固体废物</w:t>
      </w:r>
      <w:r>
        <w:rPr>
          <w:rFonts w:hint="default" w:ascii="Times New Roman" w:hAnsi="Times New Roman" w:eastAsia="宋体" w:cs="Times New Roman"/>
          <w:snapToGrid w:val="0"/>
          <w:color w:val="auto"/>
          <w:kern w:val="0"/>
          <w:sz w:val="24"/>
          <w:highlight w:val="none"/>
        </w:rPr>
        <w:t>等对周围环境将会产生一定的影响，因此，必须采取相应的环境保护措施加以控制，并保证相应环保投资的投入，以使项目建成后生产过程中产生的各类污染物对周围环境的影响降低到最小程度。根据初步估算，本项目的环保投资见表</w:t>
      </w:r>
      <w:r>
        <w:rPr>
          <w:rFonts w:hint="default" w:ascii="Times New Roman" w:hAnsi="Times New Roman" w:eastAsia="宋体" w:cs="Times New Roman"/>
          <w:snapToGrid w:val="0"/>
          <w:color w:val="auto"/>
          <w:kern w:val="0"/>
          <w:sz w:val="24"/>
          <w:highlight w:val="none"/>
          <w:lang w:val="en-US" w:eastAsia="zh-CN"/>
        </w:rPr>
        <w:t>7.1</w:t>
      </w:r>
      <w:r>
        <w:rPr>
          <w:rFonts w:hint="default" w:ascii="Times New Roman" w:hAnsi="Times New Roman" w:eastAsia="宋体" w:cs="Times New Roman"/>
          <w:snapToGrid w:val="0"/>
          <w:color w:val="auto"/>
          <w:kern w:val="0"/>
          <w:sz w:val="24"/>
          <w:highlight w:val="none"/>
        </w:rPr>
        <w:t>-</w:t>
      </w:r>
      <w:r>
        <w:rPr>
          <w:rFonts w:hint="default" w:ascii="Times New Roman" w:hAnsi="Times New Roman" w:eastAsia="宋体" w:cs="Times New Roman"/>
          <w:snapToGrid w:val="0"/>
          <w:color w:val="auto"/>
          <w:kern w:val="0"/>
          <w:sz w:val="24"/>
          <w:highlight w:val="none"/>
          <w:lang w:val="en-US" w:eastAsia="zh-CN"/>
        </w:rPr>
        <w:t>1</w:t>
      </w:r>
      <w:r>
        <w:rPr>
          <w:rFonts w:hint="default" w:ascii="Times New Roman" w:hAnsi="Times New Roman" w:eastAsia="宋体" w:cs="Times New Roman"/>
          <w:snapToGrid w:val="0"/>
          <w:color w:val="auto"/>
          <w:kern w:val="0"/>
          <w:sz w:val="24"/>
          <w:highlight w:val="none"/>
        </w:rPr>
        <w:t>。</w:t>
      </w:r>
    </w:p>
    <w:p w14:paraId="022704F4">
      <w:pPr>
        <w:keepNext w:val="0"/>
        <w:keepLines w:val="0"/>
        <w:pageBreakBefore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snapToGrid w:val="0"/>
          <w:color w:val="FF0000"/>
          <w:kern w:val="0"/>
          <w:highlight w:val="none"/>
        </w:rPr>
      </w:pPr>
      <w:r>
        <w:rPr>
          <w:rFonts w:hint="default" w:ascii="Times New Roman" w:hAnsi="Times New Roman" w:eastAsia="宋体" w:cs="Times New Roman"/>
          <w:color w:val="auto"/>
          <w:kern w:val="2"/>
          <w:sz w:val="24"/>
          <w:szCs w:val="24"/>
          <w:highlight w:val="none"/>
          <w:lang w:val="zh-CN"/>
        </w:rPr>
        <w:t>本</w:t>
      </w:r>
      <w:r>
        <w:rPr>
          <w:rFonts w:hint="default" w:ascii="Times New Roman" w:hAnsi="Times New Roman" w:eastAsia="宋体" w:cs="Times New Roman"/>
          <w:color w:val="FF0000"/>
          <w:kern w:val="2"/>
          <w:sz w:val="24"/>
          <w:szCs w:val="24"/>
          <w:highlight w:val="none"/>
          <w:lang w:val="zh-CN"/>
        </w:rPr>
        <w:t>项目总投资</w:t>
      </w:r>
      <w:r>
        <w:rPr>
          <w:rFonts w:hint="default" w:ascii="Times New Roman" w:hAnsi="Times New Roman" w:eastAsia="宋体" w:cs="Times New Roman"/>
          <w:color w:val="FF0000"/>
          <w:kern w:val="2"/>
          <w:sz w:val="24"/>
          <w:szCs w:val="24"/>
          <w:highlight w:val="none"/>
          <w:lang w:val="en-US" w:eastAsia="zh-CN"/>
        </w:rPr>
        <w:t>11000</w:t>
      </w:r>
      <w:r>
        <w:rPr>
          <w:rFonts w:hint="default" w:ascii="Times New Roman" w:hAnsi="Times New Roman" w:eastAsia="宋体" w:cs="Times New Roman"/>
          <w:color w:val="FF0000"/>
          <w:kern w:val="2"/>
          <w:sz w:val="24"/>
          <w:szCs w:val="24"/>
          <w:highlight w:val="none"/>
          <w:lang w:eastAsia="zh-CN"/>
        </w:rPr>
        <w:t>万元</w:t>
      </w:r>
      <w:r>
        <w:rPr>
          <w:rFonts w:hint="default" w:ascii="Times New Roman" w:hAnsi="Times New Roman" w:eastAsia="宋体" w:cs="Times New Roman"/>
          <w:color w:val="FF0000"/>
          <w:kern w:val="2"/>
          <w:sz w:val="24"/>
          <w:szCs w:val="24"/>
          <w:highlight w:val="none"/>
          <w:lang w:val="zh-CN"/>
        </w:rPr>
        <w:t>，环保投资</w:t>
      </w:r>
      <w:r>
        <w:rPr>
          <w:rFonts w:hint="default" w:ascii="Times New Roman" w:hAnsi="Times New Roman" w:eastAsia="宋体" w:cs="Times New Roman"/>
          <w:color w:val="FF0000"/>
          <w:kern w:val="2"/>
          <w:sz w:val="24"/>
          <w:szCs w:val="24"/>
          <w:highlight w:val="none"/>
          <w:lang w:val="en-US" w:eastAsia="zh-CN"/>
        </w:rPr>
        <w:t>401</w:t>
      </w:r>
      <w:r>
        <w:rPr>
          <w:rFonts w:hint="default" w:ascii="Times New Roman" w:hAnsi="Times New Roman" w:eastAsia="宋体" w:cs="Times New Roman"/>
          <w:color w:val="FF0000"/>
          <w:kern w:val="2"/>
          <w:sz w:val="24"/>
          <w:szCs w:val="24"/>
          <w:highlight w:val="none"/>
          <w:lang w:val="zh-CN"/>
        </w:rPr>
        <w:t>万元，占总投资的</w:t>
      </w:r>
      <w:r>
        <w:rPr>
          <w:rFonts w:hint="default" w:ascii="Times New Roman" w:hAnsi="Times New Roman" w:eastAsia="宋体" w:cs="Times New Roman"/>
          <w:color w:val="FF0000"/>
          <w:kern w:val="2"/>
          <w:sz w:val="24"/>
          <w:szCs w:val="24"/>
          <w:highlight w:val="none"/>
          <w:lang w:val="en-US" w:eastAsia="zh-CN"/>
        </w:rPr>
        <w:t>4</w:t>
      </w:r>
      <w:r>
        <w:rPr>
          <w:rFonts w:hint="default" w:ascii="Times New Roman" w:hAnsi="Times New Roman" w:eastAsia="宋体" w:cs="Times New Roman"/>
          <w:color w:val="FF0000"/>
          <w:kern w:val="2"/>
          <w:sz w:val="24"/>
          <w:szCs w:val="24"/>
          <w:highlight w:val="none"/>
          <w:lang w:val="zh-CN"/>
        </w:rPr>
        <w:t>%。</w:t>
      </w:r>
    </w:p>
    <w:p w14:paraId="0957DAE5">
      <w:pPr>
        <w:keepNext w:val="0"/>
        <w:keepLines w:val="0"/>
        <w:pageBreakBefore w:val="0"/>
        <w:kinsoku/>
        <w:wordWrap/>
        <w:overflowPunct/>
        <w:topLinePunct w:val="0"/>
        <w:bidi w:val="0"/>
        <w:adjustRightInd/>
        <w:snapToGrid/>
        <w:spacing w:line="360" w:lineRule="auto"/>
        <w:jc w:val="center"/>
        <w:textAlignment w:val="auto"/>
        <w:rPr>
          <w:rFonts w:hint="default" w:ascii="Times New Roman" w:hAnsi="Times New Roman" w:eastAsia="宋体" w:cs="Times New Roman"/>
          <w:b/>
          <w:bCs/>
          <w:color w:val="FF0000"/>
          <w:sz w:val="24"/>
          <w:szCs w:val="20"/>
          <w:highlight w:val="none"/>
        </w:rPr>
      </w:pPr>
      <w:r>
        <w:rPr>
          <w:rFonts w:hint="default" w:ascii="Times New Roman" w:hAnsi="Times New Roman" w:eastAsia="宋体" w:cs="Times New Roman"/>
          <w:b/>
          <w:bCs/>
          <w:color w:val="FF0000"/>
          <w:sz w:val="24"/>
          <w:szCs w:val="24"/>
          <w:highlight w:val="none"/>
        </w:rPr>
        <w:t>表</w:t>
      </w:r>
      <w:r>
        <w:rPr>
          <w:rFonts w:hint="default" w:ascii="Times New Roman" w:hAnsi="Times New Roman" w:eastAsia="宋体" w:cs="Times New Roman"/>
          <w:b/>
          <w:bCs/>
          <w:snapToGrid w:val="0"/>
          <w:color w:val="FF0000"/>
          <w:kern w:val="0"/>
          <w:sz w:val="24"/>
          <w:highlight w:val="none"/>
          <w:lang w:val="en-US" w:eastAsia="zh-CN"/>
        </w:rPr>
        <w:t>7.1</w:t>
      </w:r>
      <w:r>
        <w:rPr>
          <w:rFonts w:hint="default" w:ascii="Times New Roman" w:hAnsi="Times New Roman" w:eastAsia="宋体" w:cs="Times New Roman"/>
          <w:b/>
          <w:bCs/>
          <w:snapToGrid w:val="0"/>
          <w:color w:val="FF0000"/>
          <w:kern w:val="0"/>
          <w:sz w:val="24"/>
          <w:highlight w:val="none"/>
        </w:rPr>
        <w:t>-</w:t>
      </w:r>
      <w:r>
        <w:rPr>
          <w:rFonts w:hint="default" w:ascii="Times New Roman" w:hAnsi="Times New Roman" w:eastAsia="宋体" w:cs="Times New Roman"/>
          <w:b/>
          <w:bCs/>
          <w:snapToGrid w:val="0"/>
          <w:color w:val="FF0000"/>
          <w:kern w:val="0"/>
          <w:sz w:val="24"/>
          <w:highlight w:val="none"/>
          <w:lang w:val="en-US" w:eastAsia="zh-CN"/>
        </w:rPr>
        <w:t>1</w:t>
      </w:r>
      <w:r>
        <w:rPr>
          <w:rFonts w:hint="default" w:ascii="Times New Roman" w:hAnsi="Times New Roman" w:eastAsia="宋体" w:cs="Times New Roman"/>
          <w:b/>
          <w:bCs/>
          <w:color w:val="FF0000"/>
          <w:sz w:val="24"/>
          <w:szCs w:val="24"/>
          <w:highlight w:val="none"/>
          <w:lang w:val="en-US" w:eastAsia="zh-CN"/>
        </w:rPr>
        <w:t xml:space="preserve"> </w:t>
      </w:r>
      <w:r>
        <w:rPr>
          <w:rFonts w:hint="default" w:ascii="Times New Roman" w:hAnsi="Times New Roman" w:eastAsia="宋体" w:cs="Times New Roman"/>
          <w:b/>
          <w:bCs/>
          <w:color w:val="FF0000"/>
          <w:sz w:val="24"/>
          <w:szCs w:val="24"/>
          <w:highlight w:val="none"/>
        </w:rPr>
        <w:t>环保投资一览表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20"/>
        <w:gridCol w:w="571"/>
        <w:gridCol w:w="87"/>
        <w:gridCol w:w="697"/>
        <w:gridCol w:w="1541"/>
        <w:gridCol w:w="3384"/>
        <w:gridCol w:w="1328"/>
      </w:tblGrid>
      <w:tr w14:paraId="3444AF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920" w:type="dxa"/>
            <w:tcBorders>
              <w:tl2br w:val="nil"/>
              <w:tr2bl w:val="nil"/>
            </w:tcBorders>
            <w:noWrap w:val="0"/>
            <w:vAlign w:val="center"/>
          </w:tcPr>
          <w:p w14:paraId="52973108">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b/>
                <w:bCs/>
                <w:color w:val="FF0000"/>
                <w:sz w:val="21"/>
                <w:szCs w:val="21"/>
                <w:highlight w:val="none"/>
              </w:rPr>
            </w:pPr>
            <w:r>
              <w:rPr>
                <w:rFonts w:hint="default" w:ascii="Times New Roman" w:hAnsi="Times New Roman" w:eastAsia="宋体" w:cs="Times New Roman"/>
                <w:b/>
                <w:bCs/>
                <w:color w:val="FF0000"/>
                <w:sz w:val="21"/>
                <w:szCs w:val="21"/>
                <w:highlight w:val="none"/>
              </w:rPr>
              <w:t>序号</w:t>
            </w:r>
          </w:p>
        </w:tc>
        <w:tc>
          <w:tcPr>
            <w:tcW w:w="1355" w:type="dxa"/>
            <w:gridSpan w:val="3"/>
            <w:tcBorders>
              <w:tl2br w:val="nil"/>
              <w:tr2bl w:val="nil"/>
            </w:tcBorders>
            <w:noWrap w:val="0"/>
            <w:vAlign w:val="center"/>
          </w:tcPr>
          <w:p w14:paraId="1E5931E4">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b/>
                <w:bCs/>
                <w:color w:val="FF0000"/>
                <w:sz w:val="21"/>
                <w:szCs w:val="21"/>
                <w:highlight w:val="none"/>
              </w:rPr>
            </w:pPr>
            <w:r>
              <w:rPr>
                <w:rFonts w:hint="default" w:ascii="Times New Roman" w:hAnsi="Times New Roman" w:eastAsia="宋体" w:cs="Times New Roman"/>
                <w:b/>
                <w:bCs/>
                <w:color w:val="FF0000"/>
                <w:sz w:val="21"/>
                <w:szCs w:val="21"/>
                <w:highlight w:val="none"/>
              </w:rPr>
              <w:t>治理项目</w:t>
            </w:r>
          </w:p>
        </w:tc>
        <w:tc>
          <w:tcPr>
            <w:tcW w:w="1541" w:type="dxa"/>
            <w:tcBorders>
              <w:tl2br w:val="nil"/>
              <w:tr2bl w:val="nil"/>
            </w:tcBorders>
            <w:noWrap w:val="0"/>
            <w:vAlign w:val="center"/>
          </w:tcPr>
          <w:p w14:paraId="7496A965">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b/>
                <w:bCs/>
                <w:color w:val="FF0000"/>
                <w:sz w:val="21"/>
                <w:szCs w:val="21"/>
                <w:highlight w:val="none"/>
                <w:lang w:eastAsia="zh-CN"/>
              </w:rPr>
            </w:pPr>
            <w:r>
              <w:rPr>
                <w:rFonts w:hint="default" w:ascii="Times New Roman" w:hAnsi="Times New Roman" w:eastAsia="宋体" w:cs="Times New Roman"/>
                <w:b/>
                <w:bCs/>
                <w:color w:val="FF0000"/>
                <w:sz w:val="21"/>
                <w:szCs w:val="21"/>
                <w:highlight w:val="none"/>
                <w:lang w:eastAsia="zh-CN"/>
              </w:rPr>
              <w:t>产污环节</w:t>
            </w:r>
          </w:p>
        </w:tc>
        <w:tc>
          <w:tcPr>
            <w:tcW w:w="3384" w:type="dxa"/>
            <w:tcBorders>
              <w:tl2br w:val="nil"/>
              <w:tr2bl w:val="nil"/>
            </w:tcBorders>
            <w:noWrap w:val="0"/>
            <w:vAlign w:val="center"/>
          </w:tcPr>
          <w:p w14:paraId="7C8CCFD6">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b/>
                <w:bCs/>
                <w:color w:val="FF0000"/>
                <w:sz w:val="21"/>
                <w:szCs w:val="21"/>
                <w:highlight w:val="none"/>
              </w:rPr>
            </w:pPr>
            <w:r>
              <w:rPr>
                <w:rFonts w:hint="default" w:ascii="Times New Roman" w:hAnsi="Times New Roman" w:eastAsia="宋体" w:cs="Times New Roman"/>
                <w:b/>
                <w:bCs/>
                <w:color w:val="FF0000"/>
                <w:sz w:val="21"/>
                <w:szCs w:val="21"/>
                <w:highlight w:val="none"/>
              </w:rPr>
              <w:t>治理措施</w:t>
            </w:r>
          </w:p>
        </w:tc>
        <w:tc>
          <w:tcPr>
            <w:tcW w:w="1328" w:type="dxa"/>
            <w:tcBorders>
              <w:tl2br w:val="nil"/>
              <w:tr2bl w:val="nil"/>
            </w:tcBorders>
            <w:noWrap w:val="0"/>
            <w:vAlign w:val="center"/>
          </w:tcPr>
          <w:p w14:paraId="2FC718B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b/>
                <w:bCs/>
                <w:color w:val="FF0000"/>
                <w:sz w:val="21"/>
                <w:szCs w:val="21"/>
                <w:highlight w:val="none"/>
                <w:lang w:eastAsia="zh-CN"/>
              </w:rPr>
            </w:pPr>
            <w:r>
              <w:rPr>
                <w:rFonts w:hint="default" w:ascii="Times New Roman" w:hAnsi="Times New Roman" w:eastAsia="宋体" w:cs="Times New Roman"/>
                <w:b/>
                <w:bCs/>
                <w:color w:val="FF0000"/>
                <w:sz w:val="21"/>
                <w:szCs w:val="21"/>
                <w:highlight w:val="none"/>
              </w:rPr>
              <w:t>环保投资</w:t>
            </w:r>
            <w:r>
              <w:rPr>
                <w:rFonts w:hint="default" w:ascii="Times New Roman" w:hAnsi="Times New Roman" w:eastAsia="宋体" w:cs="Times New Roman"/>
                <w:b/>
                <w:bCs/>
                <w:color w:val="FF0000"/>
                <w:sz w:val="21"/>
                <w:szCs w:val="21"/>
                <w:highlight w:val="none"/>
                <w:lang w:eastAsia="zh-CN"/>
              </w:rPr>
              <w:t>（</w:t>
            </w:r>
            <w:r>
              <w:rPr>
                <w:rFonts w:hint="default" w:ascii="Times New Roman" w:hAnsi="Times New Roman" w:eastAsia="宋体" w:cs="Times New Roman"/>
                <w:b/>
                <w:bCs/>
                <w:color w:val="FF0000"/>
                <w:sz w:val="21"/>
                <w:szCs w:val="21"/>
                <w:highlight w:val="none"/>
              </w:rPr>
              <w:t>万元</w:t>
            </w:r>
            <w:r>
              <w:rPr>
                <w:rFonts w:hint="default" w:ascii="Times New Roman" w:hAnsi="Times New Roman" w:eastAsia="宋体" w:cs="Times New Roman"/>
                <w:b/>
                <w:bCs/>
                <w:color w:val="FF0000"/>
                <w:sz w:val="21"/>
                <w:szCs w:val="21"/>
                <w:highlight w:val="none"/>
                <w:lang w:eastAsia="zh-CN"/>
              </w:rPr>
              <w:t>）</w:t>
            </w:r>
          </w:p>
        </w:tc>
      </w:tr>
      <w:tr w14:paraId="2C238B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restart"/>
            <w:tcBorders>
              <w:tl2br w:val="nil"/>
              <w:tr2bl w:val="nil"/>
            </w:tcBorders>
            <w:noWrap w:val="0"/>
            <w:vAlign w:val="center"/>
          </w:tcPr>
          <w:p w14:paraId="6802DB1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施工期</w:t>
            </w:r>
          </w:p>
        </w:tc>
        <w:tc>
          <w:tcPr>
            <w:tcW w:w="1355" w:type="dxa"/>
            <w:gridSpan w:val="3"/>
            <w:tcBorders>
              <w:tl2br w:val="nil"/>
              <w:tr2bl w:val="nil"/>
            </w:tcBorders>
            <w:noWrap w:val="0"/>
            <w:vAlign w:val="center"/>
          </w:tcPr>
          <w:p w14:paraId="40D9BB5C">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大气</w:t>
            </w:r>
          </w:p>
        </w:tc>
        <w:tc>
          <w:tcPr>
            <w:tcW w:w="1541" w:type="dxa"/>
            <w:tcBorders>
              <w:tl2br w:val="nil"/>
              <w:tr2bl w:val="nil"/>
            </w:tcBorders>
            <w:noWrap w:val="0"/>
            <w:vAlign w:val="center"/>
          </w:tcPr>
          <w:p w14:paraId="6FDF6C89">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施工过程</w:t>
            </w:r>
          </w:p>
        </w:tc>
        <w:tc>
          <w:tcPr>
            <w:tcW w:w="3384" w:type="dxa"/>
            <w:tcBorders>
              <w:tl2br w:val="nil"/>
              <w:tr2bl w:val="nil"/>
            </w:tcBorders>
            <w:noWrap w:val="0"/>
            <w:vAlign w:val="center"/>
          </w:tcPr>
          <w:p w14:paraId="07F7DB25">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围挡设施、洒水抑尘</w:t>
            </w:r>
            <w:r>
              <w:rPr>
                <w:rFonts w:hint="default" w:ascii="Times New Roman" w:hAnsi="Times New Roman" w:eastAsia="宋体" w:cs="Times New Roman"/>
                <w:color w:val="FF0000"/>
                <w:sz w:val="21"/>
                <w:szCs w:val="21"/>
                <w:highlight w:val="none"/>
                <w:lang w:eastAsia="zh-CN"/>
              </w:rPr>
              <w:t>、物料覆盖</w:t>
            </w:r>
          </w:p>
        </w:tc>
        <w:tc>
          <w:tcPr>
            <w:tcW w:w="1328" w:type="dxa"/>
            <w:tcBorders>
              <w:tl2br w:val="nil"/>
              <w:tr2bl w:val="nil"/>
            </w:tcBorders>
            <w:noWrap w:val="0"/>
            <w:vAlign w:val="center"/>
          </w:tcPr>
          <w:p w14:paraId="2D9EC119">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10</w:t>
            </w:r>
          </w:p>
        </w:tc>
      </w:tr>
      <w:tr w14:paraId="7480F3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04FB8D90">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vMerge w:val="restart"/>
            <w:tcBorders>
              <w:tl2br w:val="nil"/>
              <w:tr2bl w:val="nil"/>
            </w:tcBorders>
            <w:noWrap w:val="0"/>
            <w:vAlign w:val="center"/>
          </w:tcPr>
          <w:p w14:paraId="6096AE7B">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废水</w:t>
            </w:r>
          </w:p>
        </w:tc>
        <w:tc>
          <w:tcPr>
            <w:tcW w:w="1541" w:type="dxa"/>
            <w:tcBorders>
              <w:tl2br w:val="nil"/>
              <w:tr2bl w:val="nil"/>
            </w:tcBorders>
            <w:noWrap w:val="0"/>
            <w:vAlign w:val="center"/>
          </w:tcPr>
          <w:p w14:paraId="757F2C8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施工过程</w:t>
            </w:r>
          </w:p>
        </w:tc>
        <w:tc>
          <w:tcPr>
            <w:tcW w:w="3384" w:type="dxa"/>
            <w:tcBorders>
              <w:tl2br w:val="nil"/>
              <w:tr2bl w:val="nil"/>
            </w:tcBorders>
            <w:noWrap w:val="0"/>
            <w:vAlign w:val="center"/>
          </w:tcPr>
          <w:p w14:paraId="6ADD2C3E">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临时</w:t>
            </w:r>
            <w:r>
              <w:rPr>
                <w:rFonts w:hint="default" w:ascii="Times New Roman" w:hAnsi="Times New Roman" w:eastAsia="宋体" w:cs="Times New Roman"/>
                <w:color w:val="FF0000"/>
                <w:sz w:val="21"/>
                <w:szCs w:val="21"/>
                <w:highlight w:val="none"/>
              </w:rPr>
              <w:t>废水沉淀池</w:t>
            </w:r>
          </w:p>
        </w:tc>
        <w:tc>
          <w:tcPr>
            <w:tcW w:w="1328" w:type="dxa"/>
            <w:tcBorders>
              <w:tl2br w:val="nil"/>
              <w:tr2bl w:val="nil"/>
            </w:tcBorders>
            <w:noWrap w:val="0"/>
            <w:vAlign w:val="center"/>
          </w:tcPr>
          <w:p w14:paraId="77EB4A2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1</w:t>
            </w:r>
          </w:p>
        </w:tc>
      </w:tr>
      <w:tr w14:paraId="0D7075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5CB07B47">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vMerge w:val="continue"/>
            <w:tcBorders>
              <w:tl2br w:val="nil"/>
              <w:tr2bl w:val="nil"/>
            </w:tcBorders>
            <w:noWrap w:val="0"/>
            <w:vAlign w:val="center"/>
          </w:tcPr>
          <w:p w14:paraId="4564054B">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541" w:type="dxa"/>
            <w:tcBorders>
              <w:tl2br w:val="nil"/>
              <w:tr2bl w:val="nil"/>
            </w:tcBorders>
            <w:noWrap w:val="0"/>
            <w:vAlign w:val="center"/>
          </w:tcPr>
          <w:p w14:paraId="558A793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施工人员</w:t>
            </w:r>
          </w:p>
        </w:tc>
        <w:tc>
          <w:tcPr>
            <w:tcW w:w="3384" w:type="dxa"/>
            <w:tcBorders>
              <w:tl2br w:val="nil"/>
              <w:tr2bl w:val="nil"/>
            </w:tcBorders>
            <w:noWrap w:val="0"/>
            <w:vAlign w:val="center"/>
          </w:tcPr>
          <w:p w14:paraId="30DB346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val="en-US" w:eastAsia="zh-CN"/>
              </w:rPr>
              <w:t>临时</w:t>
            </w:r>
            <w:r>
              <w:rPr>
                <w:rFonts w:hint="default" w:ascii="Times New Roman" w:hAnsi="Times New Roman" w:eastAsia="宋体" w:cs="Times New Roman"/>
                <w:color w:val="FF0000"/>
                <w:sz w:val="21"/>
                <w:szCs w:val="21"/>
                <w:highlight w:val="none"/>
                <w:lang w:eastAsia="zh-CN"/>
              </w:rPr>
              <w:t>防渗旱厕</w:t>
            </w:r>
          </w:p>
        </w:tc>
        <w:tc>
          <w:tcPr>
            <w:tcW w:w="1328" w:type="dxa"/>
            <w:tcBorders>
              <w:tl2br w:val="nil"/>
              <w:tr2bl w:val="nil"/>
            </w:tcBorders>
            <w:noWrap w:val="0"/>
            <w:vAlign w:val="center"/>
          </w:tcPr>
          <w:p w14:paraId="30E88887">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1</w:t>
            </w:r>
          </w:p>
        </w:tc>
      </w:tr>
      <w:tr w14:paraId="2A2C51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69C036A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tcBorders>
              <w:tl2br w:val="nil"/>
              <w:tr2bl w:val="nil"/>
            </w:tcBorders>
            <w:noWrap w:val="0"/>
            <w:vAlign w:val="center"/>
          </w:tcPr>
          <w:p w14:paraId="58427059">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噪声</w:t>
            </w:r>
          </w:p>
        </w:tc>
        <w:tc>
          <w:tcPr>
            <w:tcW w:w="1541" w:type="dxa"/>
            <w:tcBorders>
              <w:tl2br w:val="nil"/>
              <w:tr2bl w:val="nil"/>
            </w:tcBorders>
            <w:noWrap w:val="0"/>
            <w:vAlign w:val="center"/>
          </w:tcPr>
          <w:p w14:paraId="4982FF09">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施工过程</w:t>
            </w:r>
          </w:p>
        </w:tc>
        <w:tc>
          <w:tcPr>
            <w:tcW w:w="3384" w:type="dxa"/>
            <w:tcBorders>
              <w:tl2br w:val="nil"/>
              <w:tr2bl w:val="nil"/>
            </w:tcBorders>
            <w:noWrap w:val="0"/>
            <w:vAlign w:val="center"/>
          </w:tcPr>
          <w:p w14:paraId="247B8C11">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场地围挡，</w:t>
            </w:r>
            <w:r>
              <w:rPr>
                <w:rFonts w:hint="default" w:ascii="Times New Roman" w:hAnsi="Times New Roman" w:eastAsia="宋体" w:cs="Times New Roman"/>
                <w:color w:val="FF0000"/>
                <w:sz w:val="21"/>
                <w:szCs w:val="21"/>
                <w:highlight w:val="none"/>
              </w:rPr>
              <w:t>设备维护</w:t>
            </w:r>
          </w:p>
        </w:tc>
        <w:tc>
          <w:tcPr>
            <w:tcW w:w="1328" w:type="dxa"/>
            <w:tcBorders>
              <w:tl2br w:val="nil"/>
              <w:tr2bl w:val="nil"/>
            </w:tcBorders>
            <w:noWrap w:val="0"/>
            <w:vAlign w:val="center"/>
          </w:tcPr>
          <w:p w14:paraId="259E9FA5">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val="en-US" w:eastAsia="zh-CN"/>
              </w:rPr>
              <w:t>2</w:t>
            </w:r>
          </w:p>
        </w:tc>
      </w:tr>
      <w:tr w14:paraId="7EF004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25AEAFCF">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vMerge w:val="restart"/>
            <w:tcBorders>
              <w:tl2br w:val="nil"/>
              <w:tr2bl w:val="nil"/>
            </w:tcBorders>
            <w:noWrap w:val="0"/>
            <w:vAlign w:val="center"/>
          </w:tcPr>
          <w:p w14:paraId="6A79B4F3">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固体废物</w:t>
            </w:r>
          </w:p>
        </w:tc>
        <w:tc>
          <w:tcPr>
            <w:tcW w:w="1541" w:type="dxa"/>
            <w:tcBorders>
              <w:tl2br w:val="nil"/>
              <w:tr2bl w:val="nil"/>
            </w:tcBorders>
            <w:noWrap w:val="0"/>
            <w:vAlign w:val="center"/>
          </w:tcPr>
          <w:p w14:paraId="39ED5C47">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施工过程</w:t>
            </w:r>
          </w:p>
        </w:tc>
        <w:tc>
          <w:tcPr>
            <w:tcW w:w="3384" w:type="dxa"/>
            <w:tcBorders>
              <w:tl2br w:val="nil"/>
              <w:tr2bl w:val="nil"/>
            </w:tcBorders>
            <w:noWrap w:val="0"/>
            <w:vAlign w:val="center"/>
          </w:tcPr>
          <w:p w14:paraId="3D9E8C1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建筑垃圾清运至城建部门指定的地方处置</w:t>
            </w:r>
          </w:p>
        </w:tc>
        <w:tc>
          <w:tcPr>
            <w:tcW w:w="1328" w:type="dxa"/>
            <w:tcBorders>
              <w:tl2br w:val="nil"/>
              <w:tr2bl w:val="nil"/>
            </w:tcBorders>
            <w:noWrap w:val="0"/>
            <w:vAlign w:val="center"/>
          </w:tcPr>
          <w:p w14:paraId="1A7D836B">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5</w:t>
            </w:r>
          </w:p>
        </w:tc>
      </w:tr>
      <w:tr w14:paraId="14F6DB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3AFAAE7A">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vMerge w:val="continue"/>
            <w:tcBorders>
              <w:tl2br w:val="nil"/>
              <w:tr2bl w:val="nil"/>
            </w:tcBorders>
            <w:noWrap w:val="0"/>
            <w:vAlign w:val="center"/>
          </w:tcPr>
          <w:p w14:paraId="4351A1B1">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541" w:type="dxa"/>
            <w:tcBorders>
              <w:tl2br w:val="nil"/>
              <w:tr2bl w:val="nil"/>
            </w:tcBorders>
            <w:noWrap w:val="0"/>
            <w:vAlign w:val="center"/>
          </w:tcPr>
          <w:p w14:paraId="24AD6D59">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lang w:eastAsia="zh-CN"/>
              </w:rPr>
              <w:t>施工人员</w:t>
            </w:r>
          </w:p>
        </w:tc>
        <w:tc>
          <w:tcPr>
            <w:tcW w:w="3384" w:type="dxa"/>
            <w:tcBorders>
              <w:tl2br w:val="nil"/>
              <w:tr2bl w:val="nil"/>
            </w:tcBorders>
            <w:noWrap w:val="0"/>
            <w:vAlign w:val="center"/>
          </w:tcPr>
          <w:p w14:paraId="458D7C98">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生活垃圾集中收集，由市政环卫部门统一清运处理</w:t>
            </w:r>
          </w:p>
        </w:tc>
        <w:tc>
          <w:tcPr>
            <w:tcW w:w="1328" w:type="dxa"/>
            <w:tcBorders>
              <w:tl2br w:val="nil"/>
              <w:tr2bl w:val="nil"/>
            </w:tcBorders>
            <w:noWrap w:val="0"/>
            <w:vAlign w:val="center"/>
          </w:tcPr>
          <w:p w14:paraId="504C9455">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val="en-US" w:eastAsia="zh-CN"/>
              </w:rPr>
              <w:t>2</w:t>
            </w:r>
          </w:p>
        </w:tc>
      </w:tr>
      <w:tr w14:paraId="4DB7CB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920" w:type="dxa"/>
            <w:vMerge w:val="restart"/>
            <w:tcBorders>
              <w:tl2br w:val="nil"/>
              <w:tr2bl w:val="nil"/>
            </w:tcBorders>
            <w:noWrap w:val="0"/>
            <w:vAlign w:val="center"/>
          </w:tcPr>
          <w:p w14:paraId="534A1058">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运营期</w:t>
            </w:r>
          </w:p>
        </w:tc>
        <w:tc>
          <w:tcPr>
            <w:tcW w:w="658" w:type="dxa"/>
            <w:gridSpan w:val="2"/>
            <w:vMerge w:val="restart"/>
            <w:tcBorders>
              <w:tl2br w:val="nil"/>
              <w:tr2bl w:val="nil"/>
            </w:tcBorders>
            <w:noWrap w:val="0"/>
            <w:vAlign w:val="center"/>
          </w:tcPr>
          <w:p w14:paraId="7CAE179E">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废气</w:t>
            </w:r>
          </w:p>
        </w:tc>
        <w:tc>
          <w:tcPr>
            <w:tcW w:w="697" w:type="dxa"/>
            <w:vMerge w:val="restart"/>
            <w:tcBorders>
              <w:tl2br w:val="nil"/>
              <w:tr2bl w:val="nil"/>
            </w:tcBorders>
            <w:noWrap w:val="0"/>
            <w:vAlign w:val="center"/>
          </w:tcPr>
          <w:p w14:paraId="4BD79BEA">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恶臭</w:t>
            </w:r>
          </w:p>
        </w:tc>
        <w:tc>
          <w:tcPr>
            <w:tcW w:w="1541" w:type="dxa"/>
            <w:vMerge w:val="restart"/>
            <w:tcBorders>
              <w:tl2br w:val="nil"/>
              <w:tr2bl w:val="nil"/>
            </w:tcBorders>
            <w:noWrap w:val="0"/>
            <w:vAlign w:val="center"/>
          </w:tcPr>
          <w:p w14:paraId="35A14717">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kern w:val="2"/>
                <w:sz w:val="21"/>
                <w:szCs w:val="21"/>
                <w:highlight w:val="none"/>
                <w:lang w:val="en-US" w:eastAsia="zh-CN" w:bidi="ar-SA"/>
              </w:rPr>
            </w:pPr>
            <w:r>
              <w:rPr>
                <w:rFonts w:hint="default" w:ascii="Times New Roman" w:hAnsi="Times New Roman" w:eastAsia="宋体" w:cs="Times New Roman"/>
                <w:color w:val="FF0000"/>
                <w:kern w:val="2"/>
                <w:sz w:val="21"/>
                <w:szCs w:val="21"/>
                <w:highlight w:val="none"/>
                <w:lang w:val="en-US" w:eastAsia="zh-CN" w:bidi="ar-SA"/>
              </w:rPr>
              <w:t>养殖场</w:t>
            </w:r>
          </w:p>
        </w:tc>
        <w:tc>
          <w:tcPr>
            <w:tcW w:w="3384" w:type="dxa"/>
            <w:tcBorders>
              <w:tl2br w:val="nil"/>
              <w:tr2bl w:val="nil"/>
            </w:tcBorders>
            <w:noWrap w:val="0"/>
            <w:vAlign w:val="center"/>
          </w:tcPr>
          <w:p w14:paraId="24C4B4C7">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kern w:val="2"/>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干撒式发酵床工艺，牛舍通风</w:t>
            </w:r>
          </w:p>
        </w:tc>
        <w:tc>
          <w:tcPr>
            <w:tcW w:w="1328" w:type="dxa"/>
            <w:tcBorders>
              <w:tl2br w:val="nil"/>
              <w:tr2bl w:val="nil"/>
            </w:tcBorders>
            <w:noWrap w:val="0"/>
            <w:vAlign w:val="center"/>
          </w:tcPr>
          <w:p w14:paraId="6703138B">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kern w:val="2"/>
                <w:sz w:val="21"/>
                <w:szCs w:val="21"/>
                <w:highlight w:val="none"/>
                <w:lang w:val="en-US" w:eastAsia="zh-CN" w:bidi="ar-SA"/>
              </w:rPr>
            </w:pPr>
            <w:r>
              <w:rPr>
                <w:rFonts w:hint="default" w:ascii="Times New Roman" w:hAnsi="Times New Roman" w:eastAsia="宋体" w:cs="Times New Roman"/>
                <w:color w:val="FF0000"/>
                <w:sz w:val="21"/>
                <w:szCs w:val="21"/>
                <w:highlight w:val="none"/>
                <w:lang w:val="en-US" w:eastAsia="zh-CN"/>
              </w:rPr>
              <w:t>2</w:t>
            </w:r>
            <w:r>
              <w:rPr>
                <w:rFonts w:hint="eastAsia" w:ascii="Times New Roman" w:hAnsi="Times New Roman" w:eastAsia="宋体" w:cs="Times New Roman"/>
                <w:color w:val="FF0000"/>
                <w:sz w:val="21"/>
                <w:szCs w:val="21"/>
                <w:highlight w:val="none"/>
                <w:lang w:val="en-US" w:eastAsia="zh-CN"/>
              </w:rPr>
              <w:t>0</w:t>
            </w:r>
            <w:r>
              <w:rPr>
                <w:rFonts w:hint="default" w:ascii="Times New Roman" w:hAnsi="Times New Roman" w:eastAsia="宋体" w:cs="Times New Roman"/>
                <w:color w:val="FF0000"/>
                <w:sz w:val="21"/>
                <w:szCs w:val="21"/>
                <w:highlight w:val="none"/>
                <w:lang w:val="en-US" w:eastAsia="zh-CN"/>
              </w:rPr>
              <w:t>0</w:t>
            </w:r>
          </w:p>
        </w:tc>
      </w:tr>
      <w:tr w14:paraId="0410A5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920" w:type="dxa"/>
            <w:vMerge w:val="continue"/>
            <w:tcBorders>
              <w:tl2br w:val="nil"/>
              <w:tr2bl w:val="nil"/>
            </w:tcBorders>
            <w:noWrap w:val="0"/>
            <w:vAlign w:val="center"/>
          </w:tcPr>
          <w:p w14:paraId="538E7ED8">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658" w:type="dxa"/>
            <w:gridSpan w:val="2"/>
            <w:vMerge w:val="continue"/>
            <w:tcBorders>
              <w:tl2br w:val="nil"/>
              <w:tr2bl w:val="nil"/>
            </w:tcBorders>
            <w:noWrap w:val="0"/>
            <w:vAlign w:val="center"/>
          </w:tcPr>
          <w:p w14:paraId="3E7C5471">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697" w:type="dxa"/>
            <w:vMerge w:val="continue"/>
            <w:tcBorders>
              <w:tl2br w:val="nil"/>
              <w:tr2bl w:val="nil"/>
            </w:tcBorders>
            <w:noWrap w:val="0"/>
            <w:vAlign w:val="center"/>
          </w:tcPr>
          <w:p w14:paraId="7D13F7FA">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p>
        </w:tc>
        <w:tc>
          <w:tcPr>
            <w:tcW w:w="1541" w:type="dxa"/>
            <w:vMerge w:val="continue"/>
            <w:tcBorders>
              <w:tl2br w:val="nil"/>
              <w:tr2bl w:val="nil"/>
            </w:tcBorders>
            <w:noWrap w:val="0"/>
            <w:vAlign w:val="center"/>
          </w:tcPr>
          <w:p w14:paraId="699A5CEA">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kern w:val="2"/>
                <w:sz w:val="21"/>
                <w:szCs w:val="21"/>
                <w:highlight w:val="none"/>
                <w:lang w:val="en-US" w:eastAsia="zh-CN" w:bidi="ar-SA"/>
              </w:rPr>
            </w:pPr>
          </w:p>
        </w:tc>
        <w:tc>
          <w:tcPr>
            <w:tcW w:w="3384" w:type="dxa"/>
            <w:tcBorders>
              <w:tl2br w:val="nil"/>
              <w:tr2bl w:val="nil"/>
            </w:tcBorders>
            <w:noWrap w:val="0"/>
            <w:vAlign w:val="center"/>
          </w:tcPr>
          <w:p w14:paraId="74A9A0A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除臭剂</w:t>
            </w:r>
          </w:p>
        </w:tc>
        <w:tc>
          <w:tcPr>
            <w:tcW w:w="1328" w:type="dxa"/>
            <w:tcBorders>
              <w:tl2br w:val="nil"/>
              <w:tr2bl w:val="nil"/>
            </w:tcBorders>
            <w:noWrap w:val="0"/>
            <w:vAlign w:val="center"/>
          </w:tcPr>
          <w:p w14:paraId="3083F36F">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20</w:t>
            </w:r>
          </w:p>
        </w:tc>
      </w:tr>
      <w:tr w14:paraId="74DD14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8" w:hRule="atLeast"/>
          <w:jc w:val="center"/>
        </w:trPr>
        <w:tc>
          <w:tcPr>
            <w:tcW w:w="920" w:type="dxa"/>
            <w:vMerge w:val="continue"/>
            <w:tcBorders>
              <w:tl2br w:val="nil"/>
              <w:tr2bl w:val="nil"/>
            </w:tcBorders>
            <w:noWrap w:val="0"/>
            <w:vAlign w:val="center"/>
          </w:tcPr>
          <w:p w14:paraId="00C6770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658" w:type="dxa"/>
            <w:gridSpan w:val="2"/>
            <w:vMerge w:val="continue"/>
            <w:tcBorders>
              <w:tl2br w:val="nil"/>
              <w:tr2bl w:val="nil"/>
            </w:tcBorders>
            <w:noWrap w:val="0"/>
            <w:vAlign w:val="center"/>
          </w:tcPr>
          <w:p w14:paraId="7EDFBB3C">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697" w:type="dxa"/>
            <w:vMerge w:val="continue"/>
            <w:tcBorders>
              <w:tl2br w:val="nil"/>
              <w:tr2bl w:val="nil"/>
            </w:tcBorders>
            <w:noWrap w:val="0"/>
            <w:vAlign w:val="center"/>
          </w:tcPr>
          <w:p w14:paraId="2E059E4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p>
        </w:tc>
        <w:tc>
          <w:tcPr>
            <w:tcW w:w="1541" w:type="dxa"/>
            <w:tcBorders>
              <w:tl2br w:val="nil"/>
              <w:tr2bl w:val="nil"/>
            </w:tcBorders>
            <w:noWrap w:val="0"/>
            <w:vAlign w:val="center"/>
          </w:tcPr>
          <w:p w14:paraId="39F58DB1">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kern w:val="2"/>
                <w:sz w:val="21"/>
                <w:szCs w:val="21"/>
                <w:highlight w:val="none"/>
                <w:lang w:val="en-US" w:eastAsia="zh-CN" w:bidi="ar-SA"/>
              </w:rPr>
            </w:pPr>
            <w:r>
              <w:rPr>
                <w:rFonts w:hint="eastAsia" w:ascii="Times New Roman" w:hAnsi="Times New Roman" w:eastAsia="宋体" w:cs="Times New Roman"/>
                <w:color w:val="FF0000"/>
                <w:kern w:val="2"/>
                <w:sz w:val="21"/>
                <w:szCs w:val="21"/>
                <w:highlight w:val="none"/>
                <w:lang w:val="en-US" w:eastAsia="zh-CN" w:bidi="ar-SA"/>
              </w:rPr>
              <w:t>粪污储存间</w:t>
            </w:r>
          </w:p>
        </w:tc>
        <w:tc>
          <w:tcPr>
            <w:tcW w:w="3384" w:type="dxa"/>
            <w:tcBorders>
              <w:tl2br w:val="nil"/>
              <w:tr2bl w:val="nil"/>
            </w:tcBorders>
            <w:noWrap w:val="0"/>
            <w:vAlign w:val="center"/>
          </w:tcPr>
          <w:p w14:paraId="7A8884E8">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eastAsia" w:ascii="Times New Roman" w:hAnsi="Times New Roman" w:eastAsia="宋体" w:cs="Times New Roman"/>
                <w:color w:val="FF0000"/>
                <w:sz w:val="21"/>
                <w:szCs w:val="21"/>
                <w:highlight w:val="none"/>
                <w:lang w:val="en-US" w:eastAsia="zh-CN"/>
              </w:rPr>
              <w:t>集气罩收集+活性炭吸附+15m高排气筒</w:t>
            </w:r>
          </w:p>
        </w:tc>
        <w:tc>
          <w:tcPr>
            <w:tcW w:w="1328" w:type="dxa"/>
            <w:tcBorders>
              <w:tl2br w:val="nil"/>
              <w:tr2bl w:val="nil"/>
            </w:tcBorders>
            <w:noWrap w:val="0"/>
            <w:vAlign w:val="center"/>
          </w:tcPr>
          <w:p w14:paraId="7441450B">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eastAsia" w:ascii="Times New Roman" w:hAnsi="Times New Roman" w:eastAsia="宋体" w:cs="Times New Roman"/>
                <w:color w:val="FF0000"/>
                <w:sz w:val="21"/>
                <w:szCs w:val="21"/>
                <w:highlight w:val="none"/>
                <w:lang w:val="en-US" w:eastAsia="zh-CN"/>
              </w:rPr>
              <w:t>40</w:t>
            </w:r>
          </w:p>
        </w:tc>
      </w:tr>
      <w:tr w14:paraId="147E27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6B5AD958">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tcBorders>
              <w:tl2br w:val="nil"/>
              <w:tr2bl w:val="nil"/>
            </w:tcBorders>
            <w:noWrap w:val="0"/>
            <w:vAlign w:val="center"/>
          </w:tcPr>
          <w:p w14:paraId="6C7AFAA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rPr>
              <w:t>废水</w:t>
            </w:r>
          </w:p>
        </w:tc>
        <w:tc>
          <w:tcPr>
            <w:tcW w:w="1541" w:type="dxa"/>
            <w:tcBorders>
              <w:tl2br w:val="nil"/>
              <w:tr2bl w:val="nil"/>
            </w:tcBorders>
            <w:noWrap w:val="0"/>
            <w:vAlign w:val="center"/>
          </w:tcPr>
          <w:p w14:paraId="7685944E">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kern w:val="2"/>
                <w:sz w:val="21"/>
                <w:szCs w:val="21"/>
                <w:highlight w:val="none"/>
                <w:lang w:val="en-US" w:eastAsia="zh-CN" w:bidi="ar-SA"/>
              </w:rPr>
              <w:t>养殖场</w:t>
            </w:r>
          </w:p>
        </w:tc>
        <w:tc>
          <w:tcPr>
            <w:tcW w:w="3384" w:type="dxa"/>
            <w:tcBorders>
              <w:tl2br w:val="nil"/>
              <w:tr2bl w:val="nil"/>
            </w:tcBorders>
            <w:noWrap w:val="0"/>
            <w:vAlign w:val="center"/>
          </w:tcPr>
          <w:p w14:paraId="4579AF3C">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eastAsia="zh-CN"/>
              </w:rPr>
              <w:t>干撒式发酵床工艺</w:t>
            </w:r>
          </w:p>
        </w:tc>
        <w:tc>
          <w:tcPr>
            <w:tcW w:w="1328" w:type="dxa"/>
            <w:tcBorders>
              <w:tl2br w:val="nil"/>
              <w:tr2bl w:val="nil"/>
            </w:tcBorders>
            <w:noWrap w:val="0"/>
            <w:vAlign w:val="center"/>
          </w:tcPr>
          <w:p w14:paraId="376D13D1">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不重复计算</w:t>
            </w:r>
          </w:p>
        </w:tc>
      </w:tr>
      <w:tr w14:paraId="296624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5CE7A7DE">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tcBorders>
              <w:tl2br w:val="nil"/>
              <w:tr2bl w:val="nil"/>
            </w:tcBorders>
            <w:noWrap w:val="0"/>
            <w:vAlign w:val="center"/>
          </w:tcPr>
          <w:p w14:paraId="0D0A8518">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噪声</w:t>
            </w:r>
          </w:p>
        </w:tc>
        <w:tc>
          <w:tcPr>
            <w:tcW w:w="1541" w:type="dxa"/>
            <w:tcBorders>
              <w:tl2br w:val="nil"/>
              <w:tr2bl w:val="nil"/>
            </w:tcBorders>
            <w:noWrap w:val="0"/>
            <w:vAlign w:val="center"/>
          </w:tcPr>
          <w:p w14:paraId="5AEE15A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牛舍、设备</w:t>
            </w:r>
          </w:p>
        </w:tc>
        <w:tc>
          <w:tcPr>
            <w:tcW w:w="3384" w:type="dxa"/>
            <w:tcBorders>
              <w:tl2br w:val="nil"/>
              <w:tr2bl w:val="nil"/>
            </w:tcBorders>
            <w:noWrap w:val="0"/>
            <w:vAlign w:val="center"/>
          </w:tcPr>
          <w:p w14:paraId="5ABAB01A">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选用低噪声设备、高噪声设备</w:t>
            </w:r>
            <w:r>
              <w:rPr>
                <w:rFonts w:hint="default" w:ascii="Times New Roman" w:hAnsi="Times New Roman" w:eastAsia="宋体" w:cs="Times New Roman"/>
                <w:color w:val="FF0000"/>
                <w:sz w:val="21"/>
                <w:szCs w:val="21"/>
                <w:highlight w:val="none"/>
                <w:lang w:eastAsia="zh-CN"/>
              </w:rPr>
              <w:t>减振</w:t>
            </w:r>
            <w:r>
              <w:rPr>
                <w:rFonts w:hint="default" w:ascii="Times New Roman" w:hAnsi="Times New Roman" w:eastAsia="宋体" w:cs="Times New Roman"/>
                <w:color w:val="FF0000"/>
                <w:sz w:val="21"/>
                <w:szCs w:val="21"/>
                <w:highlight w:val="none"/>
              </w:rPr>
              <w:t>、隔声，车间封闭等措施</w:t>
            </w:r>
          </w:p>
        </w:tc>
        <w:tc>
          <w:tcPr>
            <w:tcW w:w="1328" w:type="dxa"/>
            <w:tcBorders>
              <w:tl2br w:val="nil"/>
              <w:tr2bl w:val="nil"/>
            </w:tcBorders>
            <w:noWrap w:val="0"/>
            <w:vAlign w:val="center"/>
          </w:tcPr>
          <w:p w14:paraId="5A49E953">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rPr>
            </w:pPr>
            <w:r>
              <w:rPr>
                <w:rFonts w:hint="default" w:ascii="Times New Roman" w:hAnsi="Times New Roman" w:eastAsia="宋体" w:cs="Times New Roman"/>
                <w:color w:val="FF0000"/>
                <w:sz w:val="21"/>
                <w:szCs w:val="21"/>
                <w:highlight w:val="none"/>
                <w:lang w:val="en-US" w:eastAsia="zh-CN"/>
              </w:rPr>
              <w:t>20</w:t>
            </w:r>
          </w:p>
        </w:tc>
      </w:tr>
      <w:tr w14:paraId="067550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09E76277">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vMerge w:val="restart"/>
            <w:tcBorders>
              <w:tl2br w:val="nil"/>
              <w:tr2bl w:val="nil"/>
            </w:tcBorders>
            <w:noWrap w:val="0"/>
            <w:vAlign w:val="center"/>
          </w:tcPr>
          <w:p w14:paraId="5EC6F5B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rPr>
              <w:t>固体废物</w:t>
            </w:r>
          </w:p>
        </w:tc>
        <w:tc>
          <w:tcPr>
            <w:tcW w:w="1541" w:type="dxa"/>
            <w:tcBorders>
              <w:tl2br w:val="nil"/>
              <w:tr2bl w:val="nil"/>
            </w:tcBorders>
            <w:noWrap w:val="0"/>
            <w:vAlign w:val="center"/>
          </w:tcPr>
          <w:p w14:paraId="752FD1CC">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val="en-US" w:eastAsia="zh-CN"/>
              </w:rPr>
              <w:t>牛粪</w:t>
            </w:r>
          </w:p>
        </w:tc>
        <w:tc>
          <w:tcPr>
            <w:tcW w:w="3384" w:type="dxa"/>
            <w:tcBorders>
              <w:tl2br w:val="nil"/>
              <w:tr2bl w:val="nil"/>
            </w:tcBorders>
            <w:noWrap w:val="0"/>
            <w:vAlign w:val="center"/>
          </w:tcPr>
          <w:p w14:paraId="18F901EC">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eastAsia="zh-CN"/>
              </w:rPr>
              <w:t>干撒式发酵床工艺</w:t>
            </w:r>
          </w:p>
        </w:tc>
        <w:tc>
          <w:tcPr>
            <w:tcW w:w="1328" w:type="dxa"/>
            <w:tcBorders>
              <w:tl2br w:val="nil"/>
              <w:tr2bl w:val="nil"/>
            </w:tcBorders>
            <w:noWrap w:val="0"/>
            <w:vAlign w:val="center"/>
          </w:tcPr>
          <w:p w14:paraId="7F5C30D7">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不重复计算</w:t>
            </w:r>
          </w:p>
        </w:tc>
      </w:tr>
      <w:tr w14:paraId="62FC6D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2297990F">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vMerge w:val="continue"/>
            <w:tcBorders>
              <w:tl2br w:val="nil"/>
              <w:tr2bl w:val="nil"/>
            </w:tcBorders>
            <w:noWrap w:val="0"/>
            <w:vAlign w:val="center"/>
          </w:tcPr>
          <w:p w14:paraId="5DC804A6">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541" w:type="dxa"/>
            <w:tcBorders>
              <w:tl2br w:val="nil"/>
              <w:tr2bl w:val="nil"/>
            </w:tcBorders>
            <w:noWrap w:val="0"/>
            <w:vAlign w:val="center"/>
          </w:tcPr>
          <w:p w14:paraId="71022D46">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kern w:val="2"/>
                <w:sz w:val="21"/>
                <w:szCs w:val="21"/>
                <w:highlight w:val="none"/>
                <w:lang w:val="en-US" w:eastAsia="zh-CN" w:bidi="ar-SA"/>
              </w:rPr>
            </w:pPr>
            <w:r>
              <w:rPr>
                <w:rFonts w:hint="default" w:ascii="Times New Roman" w:hAnsi="Times New Roman" w:eastAsia="宋体" w:cs="Times New Roman"/>
                <w:color w:val="FF0000"/>
                <w:sz w:val="21"/>
                <w:szCs w:val="21"/>
                <w:highlight w:val="none"/>
                <w:lang w:val="en-US" w:eastAsia="zh-CN"/>
              </w:rPr>
              <w:t>卫生</w:t>
            </w:r>
            <w:r>
              <w:rPr>
                <w:rFonts w:hint="default" w:ascii="Times New Roman" w:hAnsi="Times New Roman" w:eastAsia="宋体" w:cs="Times New Roman"/>
                <w:color w:val="FF0000"/>
                <w:sz w:val="21"/>
                <w:szCs w:val="21"/>
                <w:highlight w:val="none"/>
              </w:rPr>
              <w:t>防疫</w:t>
            </w:r>
          </w:p>
        </w:tc>
        <w:tc>
          <w:tcPr>
            <w:tcW w:w="3384" w:type="dxa"/>
            <w:tcBorders>
              <w:tl2br w:val="nil"/>
              <w:tr2bl w:val="nil"/>
            </w:tcBorders>
            <w:noWrap w:val="0"/>
            <w:vAlign w:val="center"/>
          </w:tcPr>
          <w:p w14:paraId="0FF6939E">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kern w:val="2"/>
                <w:sz w:val="21"/>
                <w:szCs w:val="21"/>
                <w:highlight w:val="none"/>
                <w:lang w:val="en-US" w:eastAsia="zh-CN" w:bidi="ar-SA"/>
              </w:rPr>
            </w:pPr>
            <w:r>
              <w:rPr>
                <w:rFonts w:hint="default" w:ascii="Times New Roman" w:hAnsi="Times New Roman" w:eastAsia="宋体" w:cs="Times New Roman"/>
                <w:color w:val="FF0000"/>
                <w:sz w:val="21"/>
                <w:szCs w:val="21"/>
                <w:highlight w:val="none"/>
                <w:lang w:eastAsia="zh-CN"/>
              </w:rPr>
              <w:t>医疗废物</w:t>
            </w:r>
            <w:r>
              <w:rPr>
                <w:rFonts w:hint="default" w:ascii="Times New Roman" w:hAnsi="Times New Roman" w:eastAsia="宋体" w:cs="Times New Roman"/>
                <w:color w:val="FF0000"/>
                <w:sz w:val="21"/>
                <w:szCs w:val="21"/>
                <w:highlight w:val="none"/>
              </w:rPr>
              <w:t>暂存于</w:t>
            </w:r>
            <w:r>
              <w:rPr>
                <w:rFonts w:hint="default" w:ascii="Times New Roman" w:hAnsi="Times New Roman" w:eastAsia="宋体" w:cs="Times New Roman"/>
                <w:color w:val="FF0000"/>
                <w:sz w:val="21"/>
                <w:szCs w:val="21"/>
                <w:highlight w:val="none"/>
                <w:lang w:val="en-US" w:bidi="ar-SA"/>
              </w:rPr>
              <w:t>医疗</w:t>
            </w:r>
            <w:r>
              <w:rPr>
                <w:rFonts w:hint="default" w:ascii="Times New Roman" w:hAnsi="Times New Roman" w:eastAsia="宋体" w:cs="Times New Roman"/>
                <w:color w:val="FF0000"/>
                <w:sz w:val="21"/>
                <w:szCs w:val="21"/>
                <w:highlight w:val="none"/>
              </w:rPr>
              <w:t>废物暂存间内，交由有资质单位处置</w:t>
            </w:r>
          </w:p>
        </w:tc>
        <w:tc>
          <w:tcPr>
            <w:tcW w:w="1328" w:type="dxa"/>
            <w:tcBorders>
              <w:tl2br w:val="nil"/>
              <w:tr2bl w:val="nil"/>
            </w:tcBorders>
            <w:noWrap w:val="0"/>
            <w:vAlign w:val="center"/>
          </w:tcPr>
          <w:p w14:paraId="17991B74">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kern w:val="2"/>
                <w:sz w:val="21"/>
                <w:szCs w:val="21"/>
                <w:highlight w:val="none"/>
                <w:lang w:val="en-US" w:eastAsia="zh-CN" w:bidi="ar-SA"/>
              </w:rPr>
            </w:pPr>
            <w:r>
              <w:rPr>
                <w:rFonts w:hint="default" w:ascii="Times New Roman" w:hAnsi="Times New Roman" w:eastAsia="宋体" w:cs="Times New Roman"/>
                <w:color w:val="FF0000"/>
                <w:kern w:val="2"/>
                <w:sz w:val="21"/>
                <w:szCs w:val="21"/>
                <w:highlight w:val="none"/>
                <w:lang w:val="en-US" w:eastAsia="zh-CN" w:bidi="ar-SA"/>
              </w:rPr>
              <w:t>10</w:t>
            </w:r>
          </w:p>
        </w:tc>
      </w:tr>
      <w:tr w14:paraId="546380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31C4EF05">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355" w:type="dxa"/>
            <w:gridSpan w:val="3"/>
            <w:vMerge w:val="continue"/>
            <w:tcBorders>
              <w:tl2br w:val="nil"/>
              <w:tr2bl w:val="nil"/>
            </w:tcBorders>
            <w:noWrap w:val="0"/>
            <w:vAlign w:val="center"/>
          </w:tcPr>
          <w:p w14:paraId="025745F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1541" w:type="dxa"/>
            <w:tcBorders>
              <w:tl2br w:val="nil"/>
              <w:tr2bl w:val="nil"/>
            </w:tcBorders>
            <w:noWrap w:val="0"/>
            <w:vAlign w:val="center"/>
          </w:tcPr>
          <w:p w14:paraId="48D7920C">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eastAsia="zh-CN"/>
              </w:rPr>
              <w:t>病死牛</w:t>
            </w:r>
          </w:p>
        </w:tc>
        <w:tc>
          <w:tcPr>
            <w:tcW w:w="3384" w:type="dxa"/>
            <w:tcBorders>
              <w:tl2br w:val="nil"/>
              <w:tr2bl w:val="nil"/>
            </w:tcBorders>
            <w:noWrap w:val="0"/>
            <w:vAlign w:val="center"/>
          </w:tcPr>
          <w:p w14:paraId="39ECE29B">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委托有资质的单位进行无害化处置</w:t>
            </w:r>
          </w:p>
        </w:tc>
        <w:tc>
          <w:tcPr>
            <w:tcW w:w="1328" w:type="dxa"/>
            <w:tcBorders>
              <w:tl2br w:val="nil"/>
              <w:tr2bl w:val="nil"/>
            </w:tcBorders>
            <w:noWrap w:val="0"/>
            <w:vAlign w:val="center"/>
          </w:tcPr>
          <w:p w14:paraId="3347A45A">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20</w:t>
            </w:r>
          </w:p>
        </w:tc>
      </w:tr>
      <w:tr w14:paraId="60A5FD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7BFF15AF">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571" w:type="dxa"/>
            <w:vMerge w:val="restart"/>
            <w:tcBorders>
              <w:tl2br w:val="nil"/>
              <w:tr2bl w:val="nil"/>
            </w:tcBorders>
            <w:noWrap w:val="0"/>
            <w:vAlign w:val="center"/>
          </w:tcPr>
          <w:p w14:paraId="6AE585B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其他</w:t>
            </w:r>
          </w:p>
        </w:tc>
        <w:tc>
          <w:tcPr>
            <w:tcW w:w="2325" w:type="dxa"/>
            <w:gridSpan w:val="3"/>
            <w:tcBorders>
              <w:tl2br w:val="nil"/>
              <w:tr2bl w:val="nil"/>
            </w:tcBorders>
            <w:noWrap w:val="0"/>
            <w:vAlign w:val="center"/>
          </w:tcPr>
          <w:p w14:paraId="667B19D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eastAsia="zh-CN"/>
              </w:rPr>
              <w:t>防渗工程</w:t>
            </w:r>
          </w:p>
        </w:tc>
        <w:tc>
          <w:tcPr>
            <w:tcW w:w="3384" w:type="dxa"/>
            <w:tcBorders>
              <w:tl2br w:val="nil"/>
              <w:tr2bl w:val="nil"/>
            </w:tcBorders>
            <w:noWrap w:val="0"/>
            <w:vAlign w:val="center"/>
          </w:tcPr>
          <w:p w14:paraId="17CDFC7B">
            <w:pPr>
              <w:keepNext w:val="0"/>
              <w:keepLines w:val="0"/>
              <w:pageBreakBefore w:val="0"/>
              <w:widowControl w:val="0"/>
              <w:kinsoku/>
              <w:wordWrap/>
              <w:overflowPunct/>
              <w:topLinePunct w:val="0"/>
              <w:autoSpaceDE w:val="0"/>
              <w:autoSpaceDN/>
              <w:bidi w:val="0"/>
              <w:adjustRightInd/>
              <w:snapToGrid/>
              <w:spacing w:line="240" w:lineRule="auto"/>
              <w:jc w:val="center"/>
              <w:textAlignment w:val="auto"/>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①重点防渗区：</w:t>
            </w:r>
            <w:r>
              <w:rPr>
                <w:rFonts w:hint="default" w:ascii="Times New Roman" w:hAnsi="Times New Roman" w:eastAsia="宋体" w:cs="Times New Roman"/>
                <w:color w:val="FF0000"/>
                <w:sz w:val="21"/>
                <w:szCs w:val="21"/>
                <w:highlight w:val="none"/>
                <w:lang w:val="en-US" w:eastAsia="zh-CN"/>
              </w:rPr>
              <w:t>医疗</w:t>
            </w:r>
            <w:r>
              <w:rPr>
                <w:rFonts w:hint="default" w:ascii="Times New Roman" w:hAnsi="Times New Roman" w:eastAsia="宋体" w:cs="Times New Roman"/>
                <w:color w:val="FF0000"/>
                <w:sz w:val="21"/>
                <w:szCs w:val="21"/>
                <w:highlight w:val="none"/>
              </w:rPr>
              <w:t>废物暂存间进行重点防渗处理防渗等级应达到等效黏土防渗层Mb≥6.0m，K≤1×10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cm/s，或参照GB18598执行；</w:t>
            </w:r>
            <w:r>
              <w:rPr>
                <w:rFonts w:hint="default" w:ascii="Times New Roman" w:hAnsi="Times New Roman" w:eastAsia="宋体" w:cs="Times New Roman"/>
                <w:color w:val="FF0000"/>
                <w:sz w:val="21"/>
                <w:szCs w:val="21"/>
                <w:highlight w:val="none"/>
                <w:lang w:val="en-US" w:eastAsia="zh-CN"/>
              </w:rPr>
              <w:t>医疗</w:t>
            </w:r>
            <w:r>
              <w:rPr>
                <w:rFonts w:hint="default" w:ascii="Times New Roman" w:hAnsi="Times New Roman" w:eastAsia="宋体" w:cs="Times New Roman"/>
                <w:color w:val="FF0000"/>
                <w:sz w:val="21"/>
                <w:szCs w:val="21"/>
                <w:highlight w:val="none"/>
              </w:rPr>
              <w:t>废物暂存间按照《危险废物贮存污染控制标准》</w:t>
            </w:r>
            <w:r>
              <w:rPr>
                <w:rFonts w:hint="default" w:ascii="Times New Roman" w:hAnsi="Times New Roman" w:eastAsia="宋体" w:cs="Times New Roman"/>
                <w:color w:val="FF0000"/>
                <w:sz w:val="21"/>
                <w:szCs w:val="21"/>
                <w:highlight w:val="none"/>
                <w:lang w:val="en-US" w:eastAsia="zh-CN"/>
              </w:rPr>
              <w:t>（GB18597-2023）</w:t>
            </w:r>
            <w:r>
              <w:rPr>
                <w:rFonts w:hint="default" w:ascii="Times New Roman" w:hAnsi="Times New Roman" w:eastAsia="宋体" w:cs="Times New Roman"/>
                <w:color w:val="FF0000"/>
                <w:sz w:val="21"/>
                <w:szCs w:val="21"/>
                <w:highlight w:val="none"/>
              </w:rPr>
              <w:t>中相关要求采取防渗措施，基础必须防渗，防渗层为至少1m厚粘土层（渗透系数≤10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cm/s），或2mm厚高密度聚乙烯，或至少2mm厚的其他人工材料，渗透系数≤10</w:t>
            </w:r>
            <w:r>
              <w:rPr>
                <w:rFonts w:hint="default" w:ascii="Times New Roman" w:hAnsi="Times New Roman" w:eastAsia="宋体" w:cs="Times New Roman"/>
                <w:color w:val="FF0000"/>
                <w:sz w:val="21"/>
                <w:szCs w:val="21"/>
                <w:highlight w:val="none"/>
                <w:vertAlign w:val="superscript"/>
              </w:rPr>
              <w:t>-10</w:t>
            </w:r>
            <w:r>
              <w:rPr>
                <w:rFonts w:hint="default" w:ascii="Times New Roman" w:hAnsi="Times New Roman" w:eastAsia="宋体" w:cs="Times New Roman"/>
                <w:color w:val="FF0000"/>
                <w:sz w:val="21"/>
                <w:szCs w:val="21"/>
                <w:highlight w:val="none"/>
              </w:rPr>
              <w:t>cm/s；</w:t>
            </w:r>
          </w:p>
          <w:p w14:paraId="5B609F21">
            <w:pPr>
              <w:pStyle w:val="2"/>
              <w:ind w:left="0" w:leftChars="0" w:firstLine="0" w:firstLineChars="0"/>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lang w:val="en-US" w:eastAsia="zh-CN"/>
              </w:rPr>
              <w:t>②</w:t>
            </w:r>
            <w:r>
              <w:rPr>
                <w:rFonts w:hint="default" w:ascii="Times New Roman" w:hAnsi="Times New Roman" w:eastAsia="宋体" w:cs="Times New Roman"/>
                <w:color w:val="FF0000"/>
                <w:sz w:val="21"/>
                <w:szCs w:val="21"/>
                <w:highlight w:val="none"/>
              </w:rPr>
              <w:t>跟踪监测井：在本项目牛舍</w:t>
            </w:r>
            <w:r>
              <w:rPr>
                <w:rFonts w:hint="default" w:ascii="Times New Roman" w:hAnsi="Times New Roman" w:eastAsia="宋体" w:cs="Times New Roman"/>
                <w:color w:val="FF0000"/>
                <w:sz w:val="21"/>
                <w:szCs w:val="21"/>
                <w:highlight w:val="none"/>
                <w:lang w:val="en-US" w:eastAsia="zh-CN"/>
              </w:rPr>
              <w:t>区</w:t>
            </w:r>
            <w:r>
              <w:rPr>
                <w:rFonts w:hint="default" w:ascii="Times New Roman" w:hAnsi="Times New Roman" w:eastAsia="宋体" w:cs="Times New Roman"/>
                <w:color w:val="FF0000"/>
                <w:sz w:val="21"/>
                <w:szCs w:val="21"/>
                <w:highlight w:val="none"/>
              </w:rPr>
              <w:t>东</w:t>
            </w:r>
            <w:r>
              <w:rPr>
                <w:rFonts w:hint="default" w:ascii="Times New Roman" w:hAnsi="Times New Roman" w:eastAsia="宋体" w:cs="Times New Roman"/>
                <w:color w:val="FF0000"/>
                <w:sz w:val="21"/>
                <w:szCs w:val="21"/>
                <w:highlight w:val="none"/>
                <w:lang w:val="en-US" w:eastAsia="zh-CN"/>
              </w:rPr>
              <w:t>北</w:t>
            </w:r>
            <w:r>
              <w:rPr>
                <w:rFonts w:hint="default" w:ascii="Times New Roman" w:hAnsi="Times New Roman" w:eastAsia="宋体" w:cs="Times New Roman"/>
                <w:color w:val="FF0000"/>
                <w:sz w:val="21"/>
                <w:szCs w:val="21"/>
                <w:highlight w:val="none"/>
              </w:rPr>
              <w:t>侧</w:t>
            </w:r>
            <w:r>
              <w:rPr>
                <w:rFonts w:hint="default" w:ascii="Times New Roman" w:hAnsi="Times New Roman" w:eastAsia="宋体" w:cs="Times New Roman"/>
                <w:color w:val="FF0000"/>
                <w:sz w:val="21"/>
                <w:szCs w:val="21"/>
                <w:highlight w:val="none"/>
                <w:lang w:val="en-US" w:eastAsia="zh-CN"/>
              </w:rPr>
              <w:t>50</w:t>
            </w:r>
            <w:r>
              <w:rPr>
                <w:rFonts w:hint="default" w:ascii="Times New Roman" w:hAnsi="Times New Roman" w:eastAsia="宋体" w:cs="Times New Roman"/>
                <w:color w:val="FF0000"/>
                <w:sz w:val="21"/>
                <w:szCs w:val="21"/>
                <w:highlight w:val="none"/>
              </w:rPr>
              <w:t>m设置1口地下水跟踪</w:t>
            </w:r>
            <w:r>
              <w:rPr>
                <w:rFonts w:hint="default" w:ascii="Times New Roman" w:hAnsi="Times New Roman" w:eastAsia="宋体" w:cs="Times New Roman"/>
                <w:color w:val="FF0000"/>
                <w:sz w:val="21"/>
                <w:szCs w:val="21"/>
                <w:highlight w:val="none"/>
                <w:lang w:eastAsia="zh-CN"/>
              </w:rPr>
              <w:t>监测井；</w:t>
            </w:r>
          </w:p>
          <w:p w14:paraId="5C8B0D3A">
            <w:pPr>
              <w:pageBreakBefore w:val="0"/>
              <w:kinsoku/>
              <w:wordWrap w:val="0"/>
              <w:overflowPunct/>
              <w:topLinePunct/>
              <w:autoSpaceDE/>
              <w:autoSpaceDN/>
              <w:bidi w:val="0"/>
              <w:rPr>
                <w:rFonts w:hint="default" w:ascii="Times New Roman" w:hAnsi="Times New Roman" w:eastAsia="宋体" w:cs="Times New Roman"/>
                <w:color w:val="FF0000"/>
                <w:sz w:val="21"/>
                <w:szCs w:val="21"/>
                <w:highlight w:val="none"/>
                <w:lang w:eastAsia="zh-CN"/>
              </w:rPr>
            </w:pPr>
            <w:r>
              <w:rPr>
                <w:rFonts w:hint="eastAsia" w:ascii="Times New Roman" w:hAnsi="Times New Roman" w:cs="Times New Roman"/>
                <w:color w:val="FF0000"/>
                <w:sz w:val="21"/>
                <w:szCs w:val="21"/>
                <w:highlight w:val="none"/>
                <w:lang w:val="en-US" w:eastAsia="zh-CN"/>
              </w:rPr>
              <w:t>③</w:t>
            </w:r>
            <w:r>
              <w:rPr>
                <w:rFonts w:hint="default" w:ascii="Times New Roman" w:hAnsi="Times New Roman" w:eastAsia="宋体" w:cs="Times New Roman"/>
                <w:color w:val="FF0000"/>
                <w:sz w:val="21"/>
                <w:szCs w:val="21"/>
                <w:highlight w:val="none"/>
              </w:rPr>
              <w:t>一般防渗区：</w:t>
            </w:r>
            <w:r>
              <w:rPr>
                <w:rFonts w:hint="default" w:ascii="Times New Roman" w:hAnsi="Times New Roman" w:eastAsia="宋体" w:cs="Times New Roman"/>
                <w:color w:val="FF0000"/>
                <w:sz w:val="21"/>
                <w:szCs w:val="21"/>
                <w:highlight w:val="none"/>
                <w:lang w:val="en-US" w:eastAsia="zh-CN"/>
              </w:rPr>
              <w:t>各牛舍、运动场</w:t>
            </w:r>
            <w:r>
              <w:rPr>
                <w:rFonts w:hint="eastAsia" w:ascii="Times New Roman" w:hAnsi="Times New Roman" w:eastAsia="宋体" w:cs="Times New Roman"/>
                <w:color w:val="FF0000"/>
                <w:sz w:val="21"/>
                <w:szCs w:val="21"/>
                <w:highlight w:val="none"/>
                <w:lang w:val="en-US" w:eastAsia="zh-CN"/>
              </w:rPr>
              <w:t>、</w:t>
            </w:r>
            <w:r>
              <w:rPr>
                <w:rFonts w:hint="default" w:ascii="Times New Roman" w:hAnsi="Times New Roman" w:eastAsia="宋体" w:cs="Times New Roman"/>
                <w:color w:val="FF0000"/>
                <w:sz w:val="21"/>
                <w:szCs w:val="21"/>
                <w:highlight w:val="none"/>
                <w:lang w:val="en-US" w:eastAsia="zh-CN"/>
              </w:rPr>
              <w:t>青储窖、化粪池、粪污储存间</w:t>
            </w:r>
            <w:r>
              <w:rPr>
                <w:rFonts w:hint="default" w:ascii="Times New Roman" w:hAnsi="Times New Roman" w:eastAsia="宋体" w:cs="Times New Roman"/>
                <w:color w:val="FF0000"/>
                <w:sz w:val="21"/>
                <w:szCs w:val="21"/>
                <w:highlight w:val="none"/>
              </w:rPr>
              <w:t>进行一般防渗处理，防渗等级应达到等效黏土防渗层Mb≥1.5m，K≤1×10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w:t>
            </w:r>
            <w:r>
              <w:rPr>
                <w:rFonts w:hint="default" w:ascii="Times New Roman" w:hAnsi="Times New Roman" w:eastAsia="宋体" w:cs="Times New Roman"/>
                <w:color w:val="FF0000"/>
                <w:sz w:val="21"/>
                <w:szCs w:val="21"/>
                <w:highlight w:val="none"/>
                <w:lang w:eastAsia="zh-CN"/>
              </w:rPr>
              <w:t>；</w:t>
            </w:r>
          </w:p>
          <w:p w14:paraId="32A09ED8">
            <w:pPr>
              <w:pStyle w:val="2"/>
              <w:ind w:left="0" w:leftChars="0" w:firstLine="0" w:firstLineChars="0"/>
              <w:rPr>
                <w:rFonts w:hint="default" w:ascii="Times New Roman" w:hAnsi="Times New Roman" w:eastAsia="宋体" w:cs="Times New Roman"/>
                <w:color w:val="FF0000"/>
                <w:sz w:val="21"/>
                <w:szCs w:val="21"/>
                <w:highlight w:val="none"/>
                <w:lang w:eastAsia="zh-CN"/>
              </w:rPr>
            </w:pPr>
            <w:r>
              <w:rPr>
                <w:rFonts w:hint="eastAsia" w:ascii="Times New Roman" w:hAnsi="Times New Roman" w:eastAsia="宋体" w:cs="Times New Roman"/>
                <w:snapToGrid w:val="0"/>
                <w:color w:val="FF0000"/>
                <w:kern w:val="0"/>
                <w:sz w:val="21"/>
                <w:szCs w:val="21"/>
                <w:highlight w:val="none"/>
                <w:lang w:val="en-US" w:eastAsia="zh-CN" w:bidi="ar-SA"/>
              </w:rPr>
              <w:t>④</w:t>
            </w:r>
            <w:r>
              <w:rPr>
                <w:rFonts w:hint="default" w:ascii="Times New Roman" w:hAnsi="Times New Roman" w:eastAsia="宋体" w:cs="Times New Roman"/>
                <w:snapToGrid w:val="0"/>
                <w:color w:val="FF0000"/>
                <w:kern w:val="0"/>
                <w:sz w:val="21"/>
                <w:szCs w:val="21"/>
                <w:highlight w:val="none"/>
                <w:lang w:val="en-US" w:eastAsia="en-US" w:bidi="ar-SA"/>
              </w:rPr>
              <w:t>简单防</w:t>
            </w:r>
            <w:r>
              <w:rPr>
                <w:rFonts w:hint="default" w:ascii="Times New Roman" w:hAnsi="Times New Roman" w:eastAsia="宋体" w:cs="Times New Roman"/>
                <w:color w:val="FF0000"/>
                <w:sz w:val="21"/>
                <w:szCs w:val="21"/>
                <w:highlight w:val="none"/>
              </w:rPr>
              <w:t>渗区：</w:t>
            </w:r>
            <w:r>
              <w:rPr>
                <w:rFonts w:hint="default" w:ascii="Times New Roman" w:hAnsi="Times New Roman" w:eastAsia="宋体" w:cs="Times New Roman"/>
                <w:color w:val="FF0000"/>
                <w:sz w:val="21"/>
                <w:szCs w:val="21"/>
                <w:highlight w:val="none"/>
                <w:lang w:val="en-US" w:eastAsia="zh-CN"/>
              </w:rPr>
              <w:t>办公室、</w:t>
            </w:r>
            <w:r>
              <w:rPr>
                <w:rFonts w:hint="default" w:ascii="Times New Roman" w:hAnsi="Times New Roman" w:eastAsia="宋体" w:cs="Times New Roman"/>
                <w:color w:val="FF0000"/>
                <w:sz w:val="21"/>
                <w:szCs w:val="21"/>
                <w:highlight w:val="none"/>
              </w:rPr>
              <w:t>道路进行简单防渗处理。一般地面硬化</w:t>
            </w:r>
            <w:r>
              <w:rPr>
                <w:rFonts w:hint="default" w:ascii="Times New Roman" w:hAnsi="Times New Roman" w:eastAsia="宋体" w:cs="Times New Roman"/>
                <w:color w:val="FF0000"/>
                <w:sz w:val="21"/>
                <w:szCs w:val="21"/>
                <w:highlight w:val="none"/>
                <w:lang w:eastAsia="zh-CN"/>
              </w:rPr>
              <w:t>；</w:t>
            </w:r>
          </w:p>
        </w:tc>
        <w:tc>
          <w:tcPr>
            <w:tcW w:w="1328" w:type="dxa"/>
            <w:tcBorders>
              <w:tl2br w:val="nil"/>
              <w:tr2bl w:val="nil"/>
            </w:tcBorders>
            <w:noWrap w:val="0"/>
            <w:vAlign w:val="center"/>
          </w:tcPr>
          <w:p w14:paraId="5BAC169E">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30</w:t>
            </w:r>
          </w:p>
        </w:tc>
      </w:tr>
      <w:tr w14:paraId="5A6D00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20" w:type="dxa"/>
            <w:vMerge w:val="continue"/>
            <w:tcBorders>
              <w:tl2br w:val="nil"/>
              <w:tr2bl w:val="nil"/>
            </w:tcBorders>
            <w:noWrap w:val="0"/>
            <w:vAlign w:val="center"/>
          </w:tcPr>
          <w:p w14:paraId="4744D28F">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571" w:type="dxa"/>
            <w:vMerge w:val="continue"/>
            <w:tcBorders>
              <w:tl2br w:val="nil"/>
              <w:tr2bl w:val="nil"/>
            </w:tcBorders>
            <w:noWrap w:val="0"/>
            <w:vAlign w:val="center"/>
          </w:tcPr>
          <w:p w14:paraId="7030932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2325" w:type="dxa"/>
            <w:gridSpan w:val="3"/>
            <w:tcBorders>
              <w:tl2br w:val="nil"/>
              <w:tr2bl w:val="nil"/>
            </w:tcBorders>
            <w:noWrap w:val="0"/>
            <w:vAlign w:val="center"/>
          </w:tcPr>
          <w:p w14:paraId="6FF06A44">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环境管理</w:t>
            </w:r>
          </w:p>
        </w:tc>
        <w:tc>
          <w:tcPr>
            <w:tcW w:w="3384" w:type="dxa"/>
            <w:tcBorders>
              <w:tl2br w:val="nil"/>
              <w:tr2bl w:val="nil"/>
            </w:tcBorders>
            <w:noWrap w:val="0"/>
            <w:vAlign w:val="center"/>
          </w:tcPr>
          <w:p w14:paraId="1D211028">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环境监测费、环保设施运行费</w:t>
            </w:r>
            <w:r>
              <w:rPr>
                <w:rFonts w:hint="default" w:ascii="Times New Roman" w:hAnsi="Times New Roman" w:eastAsia="宋体" w:cs="Times New Roman"/>
                <w:color w:val="FF0000"/>
                <w:sz w:val="21"/>
                <w:szCs w:val="21"/>
                <w:highlight w:val="none"/>
                <w:lang w:eastAsia="zh-CN"/>
              </w:rPr>
              <w:t>、</w:t>
            </w:r>
            <w:r>
              <w:rPr>
                <w:rFonts w:hint="default" w:ascii="Times New Roman" w:hAnsi="Times New Roman" w:eastAsia="宋体" w:cs="Times New Roman"/>
                <w:color w:val="FF0000"/>
                <w:sz w:val="21"/>
                <w:szCs w:val="21"/>
                <w:highlight w:val="none"/>
              </w:rPr>
              <w:t>环境风险防范费、环境管理制度，设置规范化标志牌</w:t>
            </w:r>
          </w:p>
        </w:tc>
        <w:tc>
          <w:tcPr>
            <w:tcW w:w="1328" w:type="dxa"/>
            <w:tcBorders>
              <w:tl2br w:val="nil"/>
              <w:tr2bl w:val="nil"/>
            </w:tcBorders>
            <w:noWrap w:val="0"/>
            <w:vAlign w:val="center"/>
          </w:tcPr>
          <w:p w14:paraId="3BC110FD">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20</w:t>
            </w:r>
          </w:p>
        </w:tc>
      </w:tr>
      <w:tr w14:paraId="397F50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920" w:type="dxa"/>
            <w:vMerge w:val="continue"/>
            <w:tcBorders>
              <w:tl2br w:val="nil"/>
              <w:tr2bl w:val="nil"/>
            </w:tcBorders>
            <w:noWrap w:val="0"/>
            <w:vAlign w:val="center"/>
          </w:tcPr>
          <w:p w14:paraId="5463B660">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571" w:type="dxa"/>
            <w:vMerge w:val="continue"/>
            <w:tcBorders>
              <w:tl2br w:val="nil"/>
              <w:tr2bl w:val="nil"/>
            </w:tcBorders>
            <w:noWrap w:val="0"/>
            <w:vAlign w:val="center"/>
          </w:tcPr>
          <w:p w14:paraId="1F926136">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p>
        </w:tc>
        <w:tc>
          <w:tcPr>
            <w:tcW w:w="2325" w:type="dxa"/>
            <w:gridSpan w:val="3"/>
            <w:tcBorders>
              <w:tl2br w:val="nil"/>
              <w:tr2bl w:val="nil"/>
            </w:tcBorders>
            <w:noWrap w:val="0"/>
            <w:vAlign w:val="center"/>
          </w:tcPr>
          <w:p w14:paraId="4A21E4A5">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绿化</w:t>
            </w:r>
          </w:p>
        </w:tc>
        <w:tc>
          <w:tcPr>
            <w:tcW w:w="3384" w:type="dxa"/>
            <w:tcBorders>
              <w:tl2br w:val="nil"/>
              <w:tr2bl w:val="nil"/>
            </w:tcBorders>
            <w:noWrap w:val="0"/>
            <w:vAlign w:val="center"/>
          </w:tcPr>
          <w:p w14:paraId="3B69EF61">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b w:val="0"/>
                <w:bCs w:val="0"/>
                <w:color w:val="FF0000"/>
                <w:sz w:val="21"/>
                <w:szCs w:val="21"/>
                <w:highlight w:val="none"/>
              </w:rPr>
              <w:t>种植</w:t>
            </w:r>
            <w:r>
              <w:rPr>
                <w:rFonts w:hint="default" w:ascii="Times New Roman" w:hAnsi="Times New Roman" w:eastAsia="宋体" w:cs="Times New Roman"/>
                <w:b w:val="0"/>
                <w:bCs w:val="0"/>
                <w:color w:val="FF0000"/>
                <w:sz w:val="21"/>
                <w:szCs w:val="21"/>
                <w:highlight w:val="none"/>
                <w:lang w:val="en-US" w:eastAsia="zh-CN"/>
              </w:rPr>
              <w:t>花卉、</w:t>
            </w:r>
            <w:r>
              <w:rPr>
                <w:rFonts w:hint="default" w:ascii="Times New Roman" w:hAnsi="Times New Roman" w:eastAsia="宋体" w:cs="Times New Roman"/>
                <w:b w:val="0"/>
                <w:bCs w:val="0"/>
                <w:color w:val="FF0000"/>
                <w:sz w:val="21"/>
                <w:szCs w:val="21"/>
                <w:highlight w:val="none"/>
              </w:rPr>
              <w:t>草坪、树木等</w:t>
            </w:r>
          </w:p>
        </w:tc>
        <w:tc>
          <w:tcPr>
            <w:tcW w:w="1328" w:type="dxa"/>
            <w:tcBorders>
              <w:tl2br w:val="nil"/>
              <w:tr2bl w:val="nil"/>
            </w:tcBorders>
            <w:noWrap w:val="0"/>
            <w:vAlign w:val="center"/>
          </w:tcPr>
          <w:p w14:paraId="4C260807">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20</w:t>
            </w:r>
          </w:p>
        </w:tc>
      </w:tr>
      <w:tr w14:paraId="5BFDE8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00" w:type="dxa"/>
            <w:gridSpan w:val="6"/>
            <w:tcBorders>
              <w:tl2br w:val="nil"/>
              <w:tr2bl w:val="nil"/>
            </w:tcBorders>
            <w:noWrap w:val="0"/>
            <w:vAlign w:val="center"/>
          </w:tcPr>
          <w:p w14:paraId="7B881D42">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合计</w:t>
            </w:r>
          </w:p>
        </w:tc>
        <w:tc>
          <w:tcPr>
            <w:tcW w:w="1328" w:type="dxa"/>
            <w:tcBorders>
              <w:tl2br w:val="nil"/>
              <w:tr2bl w:val="nil"/>
            </w:tcBorders>
            <w:noWrap w:val="0"/>
            <w:vAlign w:val="center"/>
          </w:tcPr>
          <w:p w14:paraId="073F439A">
            <w:pPr>
              <w:keepNext w:val="0"/>
              <w:keepLines w:val="0"/>
              <w:pageBreakBefore w:val="0"/>
              <w:widowControl w:val="0"/>
              <w:tabs>
                <w:tab w:val="left" w:pos="1050"/>
              </w:tabs>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401</w:t>
            </w:r>
          </w:p>
        </w:tc>
      </w:tr>
    </w:tbl>
    <w:p w14:paraId="0C37D0F6">
      <w:pPr>
        <w:keepNext w:val="0"/>
        <w:keepLines w:val="0"/>
        <w:pageBreakBefore w:val="0"/>
        <w:kinsoku/>
        <w:wordWrap/>
        <w:overflowPunct/>
        <w:topLinePunct w:val="0"/>
        <w:bidi w:val="0"/>
        <w:adjustRightInd/>
        <w:snapToGrid/>
        <w:spacing w:line="360" w:lineRule="auto"/>
        <w:contextualSpacing/>
        <w:jc w:val="left"/>
        <w:textAlignment w:val="auto"/>
        <w:outlineLvl w:val="1"/>
        <w:rPr>
          <w:rFonts w:hint="default" w:ascii="Times New Roman" w:hAnsi="Times New Roman" w:eastAsia="宋体" w:cs="Times New Roman"/>
          <w:b/>
          <w:bCs w:val="0"/>
          <w:color w:val="auto"/>
          <w:kern w:val="44"/>
          <w:sz w:val="28"/>
          <w:szCs w:val="28"/>
          <w:highlight w:val="none"/>
        </w:rPr>
      </w:pPr>
      <w:bookmarkStart w:id="232" w:name="_Toc528847181"/>
      <w:bookmarkStart w:id="233" w:name="_Toc15991709"/>
      <w:bookmarkStart w:id="234" w:name="_Toc10815"/>
      <w:bookmarkStart w:id="235" w:name="_Toc19285"/>
      <w:r>
        <w:rPr>
          <w:rFonts w:hint="default" w:ascii="Times New Roman" w:hAnsi="Times New Roman" w:eastAsia="宋体" w:cs="Times New Roman"/>
          <w:b/>
          <w:bCs w:val="0"/>
          <w:color w:val="auto"/>
          <w:kern w:val="44"/>
          <w:sz w:val="28"/>
          <w:szCs w:val="28"/>
          <w:highlight w:val="none"/>
        </w:rPr>
        <w:t>7.</w:t>
      </w:r>
      <w:r>
        <w:rPr>
          <w:rFonts w:hint="default" w:ascii="Times New Roman" w:hAnsi="Times New Roman" w:eastAsia="宋体" w:cs="Times New Roman"/>
          <w:b/>
          <w:bCs w:val="0"/>
          <w:color w:val="auto"/>
          <w:kern w:val="44"/>
          <w:sz w:val="28"/>
          <w:szCs w:val="28"/>
          <w:highlight w:val="none"/>
          <w:lang w:val="en-US" w:eastAsia="zh-CN"/>
        </w:rPr>
        <w:t>2</w:t>
      </w:r>
      <w:bookmarkEnd w:id="232"/>
      <w:bookmarkEnd w:id="233"/>
      <w:bookmarkStart w:id="236" w:name="_Toc528847182"/>
      <w:bookmarkStart w:id="237" w:name="_Toc15991710"/>
      <w:r>
        <w:rPr>
          <w:rFonts w:hint="default" w:ascii="Times New Roman" w:hAnsi="Times New Roman" w:eastAsia="宋体" w:cs="Times New Roman"/>
          <w:b/>
          <w:bCs w:val="0"/>
          <w:color w:val="auto"/>
          <w:kern w:val="44"/>
          <w:sz w:val="28"/>
          <w:szCs w:val="28"/>
          <w:highlight w:val="none"/>
        </w:rPr>
        <w:t>经济效益</w:t>
      </w:r>
      <w:bookmarkEnd w:id="234"/>
      <w:bookmarkEnd w:id="235"/>
    </w:p>
    <w:bookmarkEnd w:id="236"/>
    <w:bookmarkEnd w:id="237"/>
    <w:p w14:paraId="4BF3C4F5">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pacing w:val="0"/>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zh-CN"/>
        </w:rPr>
        <w:t>本项目总投资</w:t>
      </w:r>
      <w:r>
        <w:rPr>
          <w:rFonts w:hint="default" w:ascii="Times New Roman" w:hAnsi="Times New Roman" w:eastAsia="宋体" w:cs="Times New Roman"/>
          <w:color w:val="auto"/>
          <w:kern w:val="2"/>
          <w:sz w:val="24"/>
          <w:szCs w:val="24"/>
          <w:highlight w:val="none"/>
          <w:lang w:val="en-US" w:eastAsia="zh-CN"/>
        </w:rPr>
        <w:t>11000</w:t>
      </w:r>
      <w:r>
        <w:rPr>
          <w:rFonts w:hint="default" w:ascii="Times New Roman" w:hAnsi="Times New Roman" w:eastAsia="宋体" w:cs="Times New Roman"/>
          <w:color w:val="auto"/>
          <w:kern w:val="2"/>
          <w:sz w:val="24"/>
          <w:szCs w:val="24"/>
          <w:highlight w:val="none"/>
          <w:lang w:eastAsia="zh-CN"/>
        </w:rPr>
        <w:t>万元</w:t>
      </w:r>
      <w:r>
        <w:rPr>
          <w:rFonts w:hint="default" w:ascii="Times New Roman" w:hAnsi="Times New Roman" w:eastAsia="宋体" w:cs="Times New Roman"/>
          <w:color w:val="auto"/>
          <w:kern w:val="2"/>
          <w:sz w:val="24"/>
          <w:szCs w:val="24"/>
          <w:highlight w:val="none"/>
          <w:lang w:val="zh-CN"/>
        </w:rPr>
        <w:t>，环保投资401万元，占总投资的</w:t>
      </w:r>
      <w:r>
        <w:rPr>
          <w:rFonts w:hint="default" w:ascii="Times New Roman" w:hAnsi="Times New Roman" w:eastAsia="宋体" w:cs="Times New Roman"/>
          <w:color w:val="auto"/>
          <w:kern w:val="2"/>
          <w:sz w:val="24"/>
          <w:szCs w:val="24"/>
          <w:highlight w:val="none"/>
          <w:lang w:val="en-US" w:eastAsia="zh-CN"/>
        </w:rPr>
        <w:t>4</w:t>
      </w:r>
      <w:r>
        <w:rPr>
          <w:rFonts w:hint="default" w:ascii="Times New Roman" w:hAnsi="Times New Roman" w:eastAsia="宋体" w:cs="Times New Roman"/>
          <w:color w:val="auto"/>
          <w:kern w:val="2"/>
          <w:sz w:val="24"/>
          <w:szCs w:val="24"/>
          <w:highlight w:val="none"/>
          <w:lang w:val="zh-CN"/>
        </w:rPr>
        <w:t>%</w:t>
      </w:r>
      <w:r>
        <w:rPr>
          <w:rFonts w:hint="default" w:ascii="Times New Roman" w:hAnsi="Times New Roman" w:eastAsia="宋体" w:cs="Times New Roman"/>
          <w:color w:val="auto"/>
          <w:sz w:val="24"/>
          <w:highlight w:val="none"/>
        </w:rPr>
        <w:t>。</w:t>
      </w:r>
    </w:p>
    <w:bookmarkEnd w:id="228"/>
    <w:bookmarkEnd w:id="229"/>
    <w:p w14:paraId="507D70F2">
      <w:pPr>
        <w:keepNext w:val="0"/>
        <w:keepLines w:val="0"/>
        <w:pageBreakBefore w:val="0"/>
        <w:kinsoku/>
        <w:wordWrap/>
        <w:overflowPunct/>
        <w:topLinePunct w:val="0"/>
        <w:bidi w:val="0"/>
        <w:adjustRightInd/>
        <w:snapToGrid/>
        <w:spacing w:line="360" w:lineRule="auto"/>
        <w:contextualSpacing/>
        <w:jc w:val="left"/>
        <w:textAlignment w:val="auto"/>
        <w:outlineLvl w:val="1"/>
        <w:rPr>
          <w:rFonts w:hint="default" w:ascii="Times New Roman" w:hAnsi="Times New Roman" w:eastAsia="宋体" w:cs="Times New Roman"/>
          <w:b/>
          <w:bCs w:val="0"/>
          <w:color w:val="auto"/>
          <w:kern w:val="44"/>
          <w:sz w:val="28"/>
          <w:szCs w:val="28"/>
          <w:highlight w:val="none"/>
        </w:rPr>
      </w:pPr>
      <w:bookmarkStart w:id="238" w:name="_Toc21045"/>
      <w:bookmarkStart w:id="239" w:name="_Toc27635"/>
      <w:bookmarkStart w:id="240" w:name="_Toc14269"/>
      <w:r>
        <w:rPr>
          <w:rFonts w:hint="default" w:ascii="Times New Roman" w:hAnsi="Times New Roman" w:eastAsia="宋体" w:cs="Times New Roman"/>
          <w:b/>
          <w:bCs w:val="0"/>
          <w:color w:val="auto"/>
          <w:kern w:val="44"/>
          <w:sz w:val="28"/>
          <w:szCs w:val="28"/>
          <w:highlight w:val="none"/>
        </w:rPr>
        <w:t>7.3</w:t>
      </w:r>
      <w:r>
        <w:rPr>
          <w:rFonts w:hint="default" w:ascii="Times New Roman" w:hAnsi="Times New Roman" w:eastAsia="宋体" w:cs="Times New Roman"/>
          <w:b/>
          <w:bCs w:val="0"/>
          <w:color w:val="auto"/>
          <w:kern w:val="44"/>
          <w:sz w:val="28"/>
          <w:szCs w:val="28"/>
          <w:highlight w:val="none"/>
          <w:lang w:val="en-US" w:eastAsia="zh-CN"/>
        </w:rPr>
        <w:t>社会</w:t>
      </w:r>
      <w:r>
        <w:rPr>
          <w:rFonts w:hint="default" w:ascii="Times New Roman" w:hAnsi="Times New Roman" w:eastAsia="宋体" w:cs="Times New Roman"/>
          <w:b/>
          <w:bCs w:val="0"/>
          <w:color w:val="auto"/>
          <w:kern w:val="44"/>
          <w:sz w:val="28"/>
          <w:szCs w:val="28"/>
          <w:highlight w:val="none"/>
        </w:rPr>
        <w:t>效益</w:t>
      </w:r>
      <w:bookmarkEnd w:id="238"/>
      <w:bookmarkEnd w:id="239"/>
      <w:bookmarkEnd w:id="240"/>
    </w:p>
    <w:p w14:paraId="7CF18275">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snapToGrid w:val="0"/>
          <w:color w:val="auto"/>
          <w:sz w:val="24"/>
          <w:szCs w:val="24"/>
          <w:highlight w:val="none"/>
        </w:rPr>
      </w:pPr>
      <w:bookmarkStart w:id="241" w:name="_Toc2196"/>
      <w:bookmarkStart w:id="242" w:name="_Toc4874"/>
      <w:r>
        <w:rPr>
          <w:rFonts w:hint="default" w:ascii="Times New Roman" w:hAnsi="Times New Roman" w:eastAsia="宋体" w:cs="Times New Roman"/>
          <w:snapToGrid w:val="0"/>
          <w:color w:val="auto"/>
          <w:sz w:val="24"/>
          <w:szCs w:val="24"/>
          <w:highlight w:val="none"/>
        </w:rPr>
        <w:t>我省是农业大省，畜牧业是农业的重要组成部分，在国民经济中占有重要的地位。世界上许多发达国家的畜牧业产值占农业总产值都在50%以上，而畜牧业在国民经济中所占的比例直接标志着人民生活水平的高低。养牛业上联种植业，下联加工业，关联带动能力强，产品市场容量大，是农村经济中的朝阳产业。</w:t>
      </w:r>
    </w:p>
    <w:p w14:paraId="471422CA">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contextualSpacing/>
        <w:jc w:val="both"/>
        <w:rPr>
          <w:rFonts w:hint="default" w:ascii="Times New Roman" w:hAnsi="Times New Roman" w:eastAsia="宋体" w:cs="Times New Roman"/>
          <w:snapToGrid w:val="0"/>
          <w:color w:val="auto"/>
          <w:sz w:val="24"/>
          <w:szCs w:val="24"/>
          <w:highlight w:val="none"/>
        </w:rPr>
      </w:pPr>
      <w:r>
        <w:rPr>
          <w:rFonts w:hint="default" w:ascii="Times New Roman" w:hAnsi="Times New Roman" w:eastAsia="宋体" w:cs="Times New Roman"/>
          <w:snapToGrid w:val="0"/>
          <w:color w:val="auto"/>
          <w:sz w:val="24"/>
          <w:szCs w:val="24"/>
          <w:highlight w:val="none"/>
          <w:lang w:val="en-US" w:eastAsia="zh-CN"/>
        </w:rPr>
        <w:t>集贤</w:t>
      </w:r>
      <w:r>
        <w:rPr>
          <w:rFonts w:hint="default" w:ascii="Times New Roman" w:hAnsi="Times New Roman" w:eastAsia="宋体" w:cs="Times New Roman"/>
          <w:snapToGrid w:val="0"/>
          <w:color w:val="auto"/>
          <w:sz w:val="24"/>
          <w:szCs w:val="24"/>
          <w:highlight w:val="none"/>
        </w:rPr>
        <w:t>县是我省养牛重点县（市）之一。近年来，该县以建设绿色畜牧业大市为目标，把养牛业作为主攻方向，加速农业产业结构调整，大力发展肉牛养殖，带动周边养殖业发展，优化了农业和农村经济结构，促进农民增收、农业增效，推进市域经济发展，取得了显著成果。</w:t>
      </w:r>
    </w:p>
    <w:p w14:paraId="651108DA">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contextualSpacing/>
        <w:jc w:val="both"/>
        <w:rPr>
          <w:rFonts w:hint="default" w:ascii="Times New Roman" w:hAnsi="Times New Roman" w:eastAsia="宋体" w:cs="Times New Roman"/>
          <w:snapToGrid w:val="0"/>
          <w:color w:val="auto"/>
          <w:sz w:val="24"/>
          <w:szCs w:val="24"/>
          <w:highlight w:val="none"/>
        </w:rPr>
      </w:pPr>
      <w:r>
        <w:rPr>
          <w:rFonts w:hint="default" w:ascii="Times New Roman" w:hAnsi="Times New Roman" w:eastAsia="宋体" w:cs="Times New Roman"/>
          <w:snapToGrid w:val="0"/>
          <w:color w:val="auto"/>
          <w:sz w:val="24"/>
          <w:szCs w:val="24"/>
          <w:highlight w:val="none"/>
        </w:rPr>
        <w:t>本项目以建设质量效益型畜牧</w:t>
      </w:r>
      <w:r>
        <w:rPr>
          <w:rFonts w:hint="default" w:ascii="Times New Roman" w:hAnsi="Times New Roman" w:eastAsia="宋体" w:cs="Times New Roman"/>
          <w:snapToGrid w:val="0"/>
          <w:color w:val="auto"/>
          <w:sz w:val="24"/>
          <w:szCs w:val="24"/>
          <w:highlight w:val="none"/>
          <w:lang w:eastAsia="zh-CN"/>
        </w:rPr>
        <w:t>业为</w:t>
      </w:r>
      <w:r>
        <w:rPr>
          <w:rFonts w:hint="default" w:ascii="Times New Roman" w:hAnsi="Times New Roman" w:eastAsia="宋体" w:cs="Times New Roman"/>
          <w:snapToGrid w:val="0"/>
          <w:color w:val="auto"/>
          <w:sz w:val="24"/>
          <w:szCs w:val="24"/>
          <w:highlight w:val="none"/>
        </w:rPr>
        <w:t>目标，构建规模化、标准化、集约化的现代肉牛基地体系。本项目采用先进、可靠、经济合理的技术方案，项目的实施，对于当地肉牛养殖业的进一步发展将产生较大的促进作用，有利于项目区丰富的农牧业资源和其他各种可利用生物资源实现“过腹增值”，有利于促进我省和</w:t>
      </w:r>
      <w:r>
        <w:rPr>
          <w:rFonts w:hint="default" w:ascii="Times New Roman" w:hAnsi="Times New Roman" w:eastAsia="宋体" w:cs="Times New Roman"/>
          <w:snapToGrid w:val="0"/>
          <w:color w:val="auto"/>
          <w:sz w:val="24"/>
          <w:szCs w:val="24"/>
          <w:highlight w:val="none"/>
          <w:lang w:val="en-US" w:eastAsia="zh-CN"/>
        </w:rPr>
        <w:t>集贤</w:t>
      </w:r>
      <w:r>
        <w:rPr>
          <w:rFonts w:hint="default" w:ascii="Times New Roman" w:hAnsi="Times New Roman" w:eastAsia="宋体" w:cs="Times New Roman"/>
          <w:snapToGrid w:val="0"/>
          <w:color w:val="auto"/>
          <w:sz w:val="24"/>
          <w:szCs w:val="24"/>
          <w:highlight w:val="none"/>
        </w:rPr>
        <w:t>县的农业、畜牧业之间实现“主辅换位”的战略发展目标。本项目的实施，还有利于项目区肉牛养殖技术水平的进一步提高，使当地畜牧养殖业的整体发展迈上一个新的台阶。</w:t>
      </w:r>
    </w:p>
    <w:p w14:paraId="5F2CD092">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contextualSpacing/>
        <w:jc w:val="both"/>
        <w:rPr>
          <w:rFonts w:hint="default" w:ascii="Times New Roman" w:hAnsi="Times New Roman" w:eastAsia="宋体" w:cs="Times New Roman"/>
          <w:snapToGrid w:val="0"/>
          <w:color w:val="auto"/>
          <w:sz w:val="24"/>
          <w:szCs w:val="24"/>
          <w:highlight w:val="none"/>
        </w:rPr>
      </w:pPr>
      <w:r>
        <w:rPr>
          <w:rFonts w:hint="default" w:ascii="Times New Roman" w:hAnsi="Times New Roman" w:eastAsia="宋体" w:cs="Times New Roman"/>
          <w:snapToGrid w:val="0"/>
          <w:color w:val="auto"/>
          <w:sz w:val="24"/>
          <w:szCs w:val="24"/>
          <w:highlight w:val="none"/>
        </w:rPr>
        <w:t>项目单位优质饲料</w:t>
      </w:r>
      <w:r>
        <w:rPr>
          <w:rFonts w:hint="default" w:ascii="Times New Roman" w:hAnsi="Times New Roman" w:eastAsia="宋体" w:cs="Times New Roman"/>
          <w:snapToGrid w:val="0"/>
          <w:color w:val="auto"/>
          <w:sz w:val="24"/>
          <w:szCs w:val="24"/>
          <w:highlight w:val="none"/>
          <w:lang w:val="en-US" w:eastAsia="zh-CN"/>
        </w:rPr>
        <w:t>的需求</w:t>
      </w:r>
      <w:r>
        <w:rPr>
          <w:rFonts w:hint="default" w:ascii="Times New Roman" w:hAnsi="Times New Roman" w:eastAsia="宋体" w:cs="Times New Roman"/>
          <w:snapToGrid w:val="0"/>
          <w:color w:val="auto"/>
          <w:sz w:val="24"/>
          <w:szCs w:val="24"/>
          <w:highlight w:val="none"/>
        </w:rPr>
        <w:t>，能有效地拉动当地种植业的发展，引导种植业向着绿色、有机、生态、环保的方向发展。在使项目区丰富的农业资源和优良的环境资源得到充分利用的同时，使企业畜产品的产量和质量都得到可靠保障。</w:t>
      </w:r>
    </w:p>
    <w:p w14:paraId="027EB5D5">
      <w:pPr>
        <w:keepNext w:val="0"/>
        <w:keepLines w:val="0"/>
        <w:pageBreakBefore w:val="0"/>
        <w:kinsoku/>
        <w:wordWrap/>
        <w:overflowPunct/>
        <w:topLinePunct w:val="0"/>
        <w:bidi w:val="0"/>
        <w:adjustRightInd/>
        <w:snapToGrid/>
        <w:spacing w:line="360" w:lineRule="auto"/>
        <w:contextualSpacing/>
        <w:jc w:val="left"/>
        <w:textAlignment w:val="auto"/>
        <w:outlineLvl w:val="1"/>
        <w:rPr>
          <w:rFonts w:hint="default" w:ascii="Times New Roman" w:hAnsi="Times New Roman" w:eastAsia="宋体" w:cs="Times New Roman"/>
          <w:b/>
          <w:bCs w:val="0"/>
          <w:color w:val="auto"/>
          <w:kern w:val="44"/>
          <w:sz w:val="28"/>
          <w:szCs w:val="28"/>
          <w:highlight w:val="none"/>
        </w:rPr>
      </w:pPr>
      <w:bookmarkStart w:id="243" w:name="_Toc523489938"/>
      <w:bookmarkStart w:id="244" w:name="_Toc480447681"/>
      <w:bookmarkStart w:id="245" w:name="_Toc528847187"/>
      <w:bookmarkStart w:id="246" w:name="_Toc15991715"/>
      <w:bookmarkStart w:id="247" w:name="_Toc4683"/>
      <w:bookmarkStart w:id="248" w:name="_Toc31612"/>
      <w:r>
        <w:rPr>
          <w:rFonts w:hint="default" w:ascii="Times New Roman" w:hAnsi="Times New Roman" w:eastAsia="宋体" w:cs="Times New Roman"/>
          <w:b/>
          <w:bCs w:val="0"/>
          <w:color w:val="auto"/>
          <w:kern w:val="44"/>
          <w:sz w:val="28"/>
          <w:szCs w:val="28"/>
          <w:highlight w:val="none"/>
        </w:rPr>
        <w:t>7.</w:t>
      </w:r>
      <w:r>
        <w:rPr>
          <w:rFonts w:hint="default" w:ascii="Times New Roman" w:hAnsi="Times New Roman" w:eastAsia="宋体" w:cs="Times New Roman"/>
          <w:b/>
          <w:bCs w:val="0"/>
          <w:color w:val="auto"/>
          <w:kern w:val="44"/>
          <w:sz w:val="28"/>
          <w:szCs w:val="28"/>
          <w:highlight w:val="none"/>
          <w:lang w:val="en-US" w:eastAsia="zh-CN"/>
        </w:rPr>
        <w:t>4</w:t>
      </w:r>
      <w:bookmarkEnd w:id="243"/>
      <w:bookmarkEnd w:id="244"/>
      <w:bookmarkEnd w:id="245"/>
      <w:bookmarkEnd w:id="246"/>
      <w:r>
        <w:rPr>
          <w:rFonts w:hint="default" w:ascii="Times New Roman" w:hAnsi="Times New Roman" w:eastAsia="宋体" w:cs="Times New Roman"/>
          <w:b/>
          <w:bCs w:val="0"/>
          <w:color w:val="auto"/>
          <w:kern w:val="44"/>
          <w:sz w:val="28"/>
          <w:szCs w:val="28"/>
          <w:highlight w:val="none"/>
        </w:rPr>
        <w:t>环境效益</w:t>
      </w:r>
      <w:bookmarkEnd w:id="247"/>
      <w:bookmarkEnd w:id="248"/>
    </w:p>
    <w:p w14:paraId="7E162CFD">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contextualSpacing/>
        <w:jc w:val="both"/>
        <w:textAlignment w:val="baseline"/>
        <w:rPr>
          <w:rStyle w:val="58"/>
          <w:rFonts w:hint="default" w:ascii="Times New Roman" w:hAnsi="Times New Roman" w:eastAsia="宋体" w:cs="Times New Roman"/>
          <w:color w:val="auto"/>
          <w:sz w:val="24"/>
          <w:szCs w:val="24"/>
          <w:highlight w:val="none"/>
        </w:rPr>
      </w:pPr>
      <w:r>
        <w:rPr>
          <w:rStyle w:val="58"/>
          <w:rFonts w:hint="default" w:ascii="Times New Roman" w:hAnsi="Times New Roman" w:eastAsia="宋体" w:cs="Times New Roman"/>
          <w:color w:val="auto"/>
          <w:sz w:val="24"/>
          <w:szCs w:val="24"/>
          <w:highlight w:val="none"/>
        </w:rPr>
        <w:t>项目通过投入环保投资，采取各种环保措施对废水、废气、噪声、固体废物污染进行控制，实现了废物资源化利用，同时减少了项目对环境造成的污染，达到了削减污染物排放量，保护环境的目的，对环境影响较小。</w:t>
      </w:r>
    </w:p>
    <w:p w14:paraId="72DB5D29">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contextualSpacing/>
        <w:jc w:val="both"/>
        <w:textAlignment w:val="baseline"/>
        <w:rPr>
          <w:rFonts w:hint="default" w:ascii="Times New Roman" w:hAnsi="Times New Roman" w:eastAsia="宋体" w:cs="Times New Roman"/>
          <w:color w:val="auto"/>
          <w:kern w:val="0"/>
          <w:sz w:val="24"/>
          <w:szCs w:val="24"/>
          <w:highlight w:val="none"/>
          <w:lang w:eastAsia="zh-CN"/>
        </w:rPr>
        <w:sectPr>
          <w:headerReference r:id="rId37" w:type="default"/>
          <w:footerReference r:id="rId38" w:type="default"/>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rStyle w:val="58"/>
          <w:rFonts w:hint="default" w:ascii="Times New Roman" w:hAnsi="Times New Roman" w:eastAsia="宋体" w:cs="Times New Roman"/>
          <w:color w:val="auto"/>
          <w:sz w:val="24"/>
          <w:szCs w:val="24"/>
          <w:highlight w:val="none"/>
        </w:rPr>
        <w:t>通过以上社会、经济、环境效益的综合分析，表明本项目具有明显的社会</w:t>
      </w:r>
      <w:r>
        <w:rPr>
          <w:rStyle w:val="58"/>
          <w:rFonts w:hint="default" w:ascii="Times New Roman" w:hAnsi="Times New Roman" w:eastAsia="宋体" w:cs="Times New Roman"/>
          <w:color w:val="auto"/>
          <w:sz w:val="24"/>
          <w:szCs w:val="24"/>
          <w:highlight w:val="none"/>
          <w:lang w:eastAsia="zh-CN"/>
        </w:rPr>
        <w:t>和</w:t>
      </w:r>
      <w:r>
        <w:rPr>
          <w:rStyle w:val="58"/>
          <w:rFonts w:hint="default" w:ascii="Times New Roman" w:hAnsi="Times New Roman" w:eastAsia="宋体" w:cs="Times New Roman"/>
          <w:color w:val="auto"/>
          <w:sz w:val="24"/>
          <w:szCs w:val="24"/>
          <w:highlight w:val="none"/>
        </w:rPr>
        <w:t>经济效益，在迅速提高企业市场竞争力和经济效益时，环境效益明显，能够实现企业发展经济、保护环境的战略目标</w:t>
      </w:r>
      <w:r>
        <w:rPr>
          <w:rStyle w:val="58"/>
          <w:rFonts w:hint="default" w:ascii="Times New Roman" w:hAnsi="Times New Roman" w:eastAsia="宋体" w:cs="Times New Roman"/>
          <w:color w:val="auto"/>
          <w:sz w:val="24"/>
          <w:szCs w:val="24"/>
          <w:highlight w:val="none"/>
          <w:lang w:eastAsia="zh-CN"/>
        </w:rPr>
        <w:t>。</w:t>
      </w:r>
    </w:p>
    <w:p w14:paraId="3AD1EB80">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0"/>
        <w:rPr>
          <w:rFonts w:hint="default" w:ascii="Times New Roman" w:hAnsi="Times New Roman" w:eastAsia="Times New Roman" w:cs="Times New Roman"/>
          <w:b/>
          <w:bCs/>
          <w:color w:val="auto"/>
          <w:sz w:val="32"/>
          <w:szCs w:val="32"/>
          <w:highlight w:val="none"/>
        </w:rPr>
      </w:pPr>
      <w:bookmarkStart w:id="249" w:name="_Toc9239"/>
      <w:r>
        <w:rPr>
          <w:rFonts w:hint="default" w:ascii="Times New Roman" w:hAnsi="Times New Roman" w:eastAsia="Times New Roman" w:cs="Times New Roman"/>
          <w:b/>
          <w:bCs/>
          <w:color w:val="auto"/>
          <w:sz w:val="32"/>
          <w:szCs w:val="32"/>
          <w:highlight w:val="none"/>
        </w:rPr>
        <w:t>8.环境管理与监测计划</w:t>
      </w:r>
      <w:bookmarkEnd w:id="241"/>
      <w:bookmarkEnd w:id="242"/>
      <w:bookmarkEnd w:id="249"/>
    </w:p>
    <w:p w14:paraId="1E3219C3">
      <w:pPr>
        <w:keepNext w:val="0"/>
        <w:keepLines w:val="0"/>
        <w:pageBreakBefore w:val="0"/>
        <w:widowControl/>
        <w:kinsoku/>
        <w:wordWrap w:val="0"/>
        <w:overflowPunct/>
        <w:topLinePunct/>
        <w:autoSpaceDE/>
        <w:autoSpaceDN/>
        <w:bidi w:val="0"/>
        <w:adjustRightInd w:val="0"/>
        <w:snapToGrid w:val="0"/>
        <w:spacing w:line="360" w:lineRule="auto"/>
        <w:ind w:left="0" w:right="0" w:firstLine="448" w:firstLineChars="200"/>
        <w:textAlignment w:val="baseline"/>
        <w:rPr>
          <w:rFonts w:hint="default" w:ascii="Times New Roman" w:hAnsi="Times New Roman" w:eastAsia="宋体" w:cs="Times New Roman"/>
          <w:color w:val="auto"/>
          <w:spacing w:val="-8"/>
          <w:sz w:val="24"/>
          <w:szCs w:val="24"/>
          <w:highlight w:val="none"/>
        </w:rPr>
      </w:pPr>
      <w:r>
        <w:rPr>
          <w:rFonts w:hint="default" w:ascii="Times New Roman" w:hAnsi="Times New Roman" w:eastAsia="宋体" w:cs="Times New Roman"/>
          <w:color w:val="auto"/>
          <w:spacing w:val="-8"/>
          <w:sz w:val="24"/>
          <w:szCs w:val="24"/>
          <w:highlight w:val="none"/>
        </w:rPr>
        <w:t>为贯彻执行国家环境保护的有关规定，确保企业实施可持续发展的长远战略，协调好项目投产后的生产管理和环境管理，本环评报告对环境管理与环境监测制度提出建议。建设单位应在加强环境管理的同时，定期进行环境监测，以便及时了解项目排放的污染物对环境造成的影响情况，并及时采取相应措施，消除不利因素，减轻环境污染，使各项环保措施落到实处，以达到预定的目标。</w:t>
      </w:r>
    </w:p>
    <w:p w14:paraId="67377989">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Times New Roman" w:cs="Times New Roman"/>
          <w:b/>
          <w:bCs/>
          <w:color w:val="auto"/>
          <w:spacing w:val="-5"/>
          <w:sz w:val="28"/>
          <w:szCs w:val="28"/>
          <w:highlight w:val="none"/>
        </w:rPr>
      </w:pPr>
      <w:bookmarkStart w:id="250" w:name="_Toc12710"/>
      <w:bookmarkStart w:id="251" w:name="_Toc20433"/>
      <w:bookmarkStart w:id="252" w:name="_Toc18426"/>
      <w:r>
        <w:rPr>
          <w:rFonts w:hint="default" w:ascii="Times New Roman" w:hAnsi="Times New Roman" w:eastAsia="Times New Roman" w:cs="Times New Roman"/>
          <w:b/>
          <w:bCs/>
          <w:color w:val="auto"/>
          <w:spacing w:val="-5"/>
          <w:sz w:val="28"/>
          <w:szCs w:val="28"/>
          <w:highlight w:val="none"/>
        </w:rPr>
        <w:t>8.1环境管理</w:t>
      </w:r>
      <w:bookmarkEnd w:id="250"/>
      <w:bookmarkEnd w:id="251"/>
      <w:bookmarkEnd w:id="252"/>
    </w:p>
    <w:p w14:paraId="4A74E77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53" w:name="_Toc8743"/>
      <w:r>
        <w:rPr>
          <w:rFonts w:hint="default" w:ascii="Times New Roman" w:hAnsi="Times New Roman" w:eastAsia="宋体" w:cs="Times New Roman"/>
          <w:b/>
          <w:bCs/>
          <w:color w:val="auto"/>
          <w:spacing w:val="-2"/>
          <w:sz w:val="24"/>
          <w:szCs w:val="24"/>
          <w:highlight w:val="none"/>
          <w:lang w:val="en-US" w:eastAsia="zh-CN"/>
        </w:rPr>
        <w:t>8.1.1环境管理的意义</w:t>
      </w:r>
      <w:bookmarkEnd w:id="253"/>
    </w:p>
    <w:p w14:paraId="4B49B554">
      <w:pPr>
        <w:keepNext w:val="0"/>
        <w:keepLines w:val="0"/>
        <w:pageBreakBefore w:val="0"/>
        <w:widowControl/>
        <w:kinsoku/>
        <w:wordWrap w:val="0"/>
        <w:overflowPunct/>
        <w:topLinePunct/>
        <w:autoSpaceDE/>
        <w:autoSpaceDN/>
        <w:bidi w:val="0"/>
        <w:adjustRightInd w:val="0"/>
        <w:snapToGrid w:val="0"/>
        <w:spacing w:line="360" w:lineRule="auto"/>
        <w:ind w:left="0" w:right="0" w:firstLine="448" w:firstLineChars="200"/>
        <w:textAlignment w:val="baseline"/>
        <w:rPr>
          <w:rFonts w:hint="default" w:ascii="Times New Roman" w:hAnsi="Times New Roman" w:eastAsia="宋体" w:cs="Times New Roman"/>
          <w:color w:val="auto"/>
          <w:spacing w:val="-8"/>
          <w:sz w:val="24"/>
          <w:szCs w:val="24"/>
          <w:highlight w:val="none"/>
        </w:rPr>
      </w:pPr>
      <w:r>
        <w:rPr>
          <w:rFonts w:hint="default" w:ascii="Times New Roman" w:hAnsi="Times New Roman" w:eastAsia="宋体" w:cs="Times New Roman"/>
          <w:color w:val="auto"/>
          <w:spacing w:val="-8"/>
          <w:sz w:val="24"/>
          <w:szCs w:val="24"/>
          <w:highlight w:val="none"/>
        </w:rPr>
        <w:t>环境管理是以环境科学理论为基础，运用经济、法律、技术、行政、教育等手段对经济、社会发展过程中施加给环境的污染和破坏影响进行调节控制，实现经济、社会和环境效益的和谐统</w:t>
      </w:r>
      <w:r>
        <w:rPr>
          <w:rFonts w:hint="default" w:ascii="Times New Roman" w:hAnsi="Times New Roman" w:eastAsia="宋体" w:cs="Times New Roman"/>
          <w:color w:val="auto"/>
          <w:spacing w:val="-8"/>
          <w:sz w:val="24"/>
          <w:szCs w:val="24"/>
          <w:highlight w:val="none"/>
          <w:lang w:val="en-US" w:eastAsia="zh-CN"/>
        </w:rPr>
        <w:t>一</w:t>
      </w:r>
      <w:r>
        <w:rPr>
          <w:rFonts w:hint="default" w:ascii="Times New Roman" w:hAnsi="Times New Roman" w:eastAsia="宋体" w:cs="Times New Roman"/>
          <w:color w:val="auto"/>
          <w:spacing w:val="-8"/>
          <w:sz w:val="24"/>
          <w:szCs w:val="24"/>
          <w:highlight w:val="none"/>
        </w:rPr>
        <w:t>。</w:t>
      </w:r>
    </w:p>
    <w:p w14:paraId="2F420F17">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54" w:name="_Toc3343"/>
      <w:r>
        <w:rPr>
          <w:rFonts w:hint="default" w:ascii="Times New Roman" w:hAnsi="Times New Roman" w:eastAsia="宋体" w:cs="Times New Roman"/>
          <w:b/>
          <w:bCs/>
          <w:color w:val="auto"/>
          <w:spacing w:val="-2"/>
          <w:sz w:val="24"/>
          <w:szCs w:val="24"/>
          <w:highlight w:val="none"/>
          <w:lang w:val="en-US" w:eastAsia="zh-CN"/>
        </w:rPr>
        <w:t>8.1.2环境管理体系</w:t>
      </w:r>
      <w:bookmarkEnd w:id="254"/>
    </w:p>
    <w:p w14:paraId="72A51406">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bookmarkStart w:id="255" w:name="bookmark73"/>
      <w:bookmarkEnd w:id="255"/>
      <w:r>
        <w:rPr>
          <w:rFonts w:hint="default" w:ascii="Times New Roman" w:hAnsi="Times New Roman" w:eastAsia="宋体" w:cs="Times New Roman"/>
          <w:snapToGrid w:val="0"/>
          <w:color w:val="auto"/>
          <w:spacing w:val="-8"/>
          <w:kern w:val="0"/>
          <w:sz w:val="24"/>
          <w:szCs w:val="24"/>
          <w:highlight w:val="none"/>
          <w:lang w:val="en-US" w:eastAsia="en-US" w:bidi="ar-SA"/>
        </w:rPr>
        <w:t>1、管理机构</w:t>
      </w:r>
    </w:p>
    <w:p w14:paraId="41FE2E5A">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工业企业环境管理，就是以管理工程和环境科学的理论为基础，运用技术、经济、法律、行政和教育手段，对损害环境质量的生产经营活动加以限制，协调发展生产与保护环境的关系，使生产目标与环境目标统一起来，经济效益与环境效益统一起来。</w:t>
      </w:r>
    </w:p>
    <w:p w14:paraId="4F451C6B">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根据本项目的污染特点，建设单位应有一名副经理负责环保工作，设立环境保护管理机构，配备专职环保管理人员两人。</w:t>
      </w:r>
    </w:p>
    <w:p w14:paraId="29601A07">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2、企业环境管理机构的基本职能与职责</w:t>
      </w:r>
    </w:p>
    <w:p w14:paraId="66D33A42">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（1）基本职能</w:t>
      </w:r>
    </w:p>
    <w:p w14:paraId="506EED43">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企业环境管理机构是企业管理工作的职能部门，其基本职能有以下三方面：</w:t>
      </w:r>
    </w:p>
    <w:p w14:paraId="4A9103C6">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①组织编制环境计划（包括规划）；</w:t>
      </w:r>
    </w:p>
    <w:p w14:paraId="384A9401">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②组织环境保护工作的协调；</w:t>
      </w:r>
    </w:p>
    <w:p w14:paraId="201CB25F">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③实施企业环境监督。</w:t>
      </w:r>
    </w:p>
    <w:p w14:paraId="07F3AF59">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（2）主要工作职责</w:t>
      </w:r>
    </w:p>
    <w:p w14:paraId="2A9A8BBA">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a、督促、检查本企业执行国家环境保护方针、政策、法规及本企业环境保护制度；</w:t>
      </w:r>
    </w:p>
    <w:p w14:paraId="05EF205C">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b、拟定本企业环境管理办法，按照国家和地区的规定</w:t>
      </w:r>
      <w:r>
        <w:rPr>
          <w:rFonts w:hint="default" w:ascii="Times New Roman" w:hAnsi="Times New Roman" w:eastAsia="宋体" w:cs="Times New Roman"/>
          <w:snapToGrid w:val="0"/>
          <w:color w:val="auto"/>
          <w:spacing w:val="-8"/>
          <w:kern w:val="0"/>
          <w:sz w:val="24"/>
          <w:szCs w:val="24"/>
          <w:highlight w:val="none"/>
          <w:lang w:val="en-US" w:eastAsia="zh-CN" w:bidi="ar-SA"/>
        </w:rPr>
        <w:t>制定</w:t>
      </w:r>
      <w:r>
        <w:rPr>
          <w:rFonts w:hint="default" w:ascii="Times New Roman" w:hAnsi="Times New Roman" w:eastAsia="宋体" w:cs="Times New Roman"/>
          <w:snapToGrid w:val="0"/>
          <w:color w:val="auto"/>
          <w:spacing w:val="-8"/>
          <w:kern w:val="0"/>
          <w:sz w:val="24"/>
          <w:szCs w:val="24"/>
          <w:highlight w:val="none"/>
          <w:lang w:val="en-US" w:eastAsia="en-US" w:bidi="ar-SA"/>
        </w:rPr>
        <w:t>本企业污染物排放指标和污染综合防治的经济技术原则，做好企业升级环保考核工作；</w:t>
      </w:r>
    </w:p>
    <w:p w14:paraId="41B92F55">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c、负责组织污染源调查，填写环保报表；</w:t>
      </w:r>
    </w:p>
    <w:p w14:paraId="78599569">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d、组织推动本企业在基本建设、技术改造中，贯彻执行“三同时”的规定，并参加有关方案的审定及竣工验收工作；</w:t>
      </w:r>
    </w:p>
    <w:p w14:paraId="1FC5CC91">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e、加强与主管</w:t>
      </w:r>
      <w:r>
        <w:rPr>
          <w:rFonts w:hint="default" w:ascii="Times New Roman" w:hAnsi="Times New Roman" w:eastAsia="宋体" w:cs="Times New Roman"/>
          <w:snapToGrid w:val="0"/>
          <w:color w:val="auto"/>
          <w:spacing w:val="-8"/>
          <w:kern w:val="0"/>
          <w:sz w:val="24"/>
          <w:szCs w:val="24"/>
          <w:highlight w:val="none"/>
          <w:lang w:val="en-US" w:eastAsia="zh-CN" w:bidi="ar-SA"/>
        </w:rPr>
        <w:t>环保部门</w:t>
      </w:r>
      <w:r>
        <w:rPr>
          <w:rFonts w:hint="default" w:ascii="Times New Roman" w:hAnsi="Times New Roman" w:eastAsia="宋体" w:cs="Times New Roman"/>
          <w:snapToGrid w:val="0"/>
          <w:color w:val="auto"/>
          <w:spacing w:val="-8"/>
          <w:kern w:val="0"/>
          <w:sz w:val="24"/>
          <w:szCs w:val="24"/>
          <w:highlight w:val="none"/>
          <w:lang w:val="en-US" w:eastAsia="en-US" w:bidi="ar-SA"/>
        </w:rPr>
        <w:t>的联系，会同有关单位做好环境预测，制定企业环境保护长远规划和年度计划，并督促实施；</w:t>
      </w:r>
    </w:p>
    <w:p w14:paraId="02458E0D">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f、组织有关部门和人员，检查企业环境质量状况及发展趋势；</w:t>
      </w:r>
    </w:p>
    <w:p w14:paraId="4167451D">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g、监督全厂环境保护设施的运行与污染物的排放；</w:t>
      </w:r>
    </w:p>
    <w:p w14:paraId="31D352D0">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h、会同有关单位组织和开展企业环境科研工作；</w:t>
      </w:r>
    </w:p>
    <w:p w14:paraId="131CC7E9">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i、负责组织本企业污染事故的调查与处理；</w:t>
      </w:r>
    </w:p>
    <w:p w14:paraId="522E0106">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j、做好企业环境统计工作，建立环境保护档案；</w:t>
      </w:r>
    </w:p>
    <w:p w14:paraId="49EA12AE">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k、会同有关单位组织开展清洁生产活动，负责广泛开展环境宣传教育活动，普及环境科学知识，推动清洁生产活动的深度开展。</w:t>
      </w:r>
    </w:p>
    <w:p w14:paraId="33DB6C56">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3、企业管理</w:t>
      </w:r>
    </w:p>
    <w:p w14:paraId="03D7F1E4">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（1）确保各项环保设施的正常运转，负责日常维护，并制定事故的应急处理方法；</w:t>
      </w:r>
    </w:p>
    <w:p w14:paraId="0E6778B8">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（2）加强生产原材料管理，提出清洁生产方案，降低了污染物的可能产生量；</w:t>
      </w:r>
    </w:p>
    <w:p w14:paraId="328EE9DC">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（3）加强对生产设备的管理和维护，杜绝跑、冒、滴、漏现象的发生；</w:t>
      </w:r>
    </w:p>
    <w:p w14:paraId="2FAE6D8C">
      <w:pPr>
        <w:pStyle w:val="40"/>
        <w:keepNext w:val="0"/>
        <w:keepLines w:val="0"/>
        <w:pageBreakBefore w:val="0"/>
        <w:widowControl/>
        <w:kinsoku/>
        <w:wordWrap w:val="0"/>
        <w:overflowPunct/>
        <w:topLinePunct/>
        <w:autoSpaceDE/>
        <w:autoSpaceDN/>
        <w:bidi w:val="0"/>
        <w:adjustRightInd/>
        <w:snapToGrid/>
        <w:spacing w:line="360" w:lineRule="auto"/>
        <w:ind w:firstLine="448" w:firstLineChars="200"/>
        <w:textAlignment w:val="baseline"/>
        <w:rPr>
          <w:rFonts w:hint="default" w:ascii="Times New Roman" w:hAnsi="Times New Roman" w:eastAsia="宋体" w:cs="Times New Roman"/>
          <w:snapToGrid w:val="0"/>
          <w:color w:val="auto"/>
          <w:spacing w:val="-8"/>
          <w:kern w:val="0"/>
          <w:sz w:val="24"/>
          <w:szCs w:val="24"/>
          <w:highlight w:val="none"/>
          <w:lang w:val="en-US" w:eastAsia="en-US" w:bidi="ar-SA"/>
        </w:rPr>
      </w:pPr>
      <w:r>
        <w:rPr>
          <w:rFonts w:hint="default" w:ascii="Times New Roman" w:hAnsi="Times New Roman" w:eastAsia="宋体" w:cs="Times New Roman"/>
          <w:snapToGrid w:val="0"/>
          <w:color w:val="auto"/>
          <w:spacing w:val="-8"/>
          <w:kern w:val="0"/>
          <w:sz w:val="24"/>
          <w:szCs w:val="24"/>
          <w:highlight w:val="none"/>
          <w:lang w:val="en-US" w:eastAsia="en-US" w:bidi="ar-SA"/>
        </w:rPr>
        <w:t>（4）负责企业的日常环境监测工作。</w:t>
      </w:r>
    </w:p>
    <w:p w14:paraId="7C9EF9A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56" w:name="_Toc16188"/>
      <w:r>
        <w:rPr>
          <w:rFonts w:hint="default" w:ascii="Times New Roman" w:hAnsi="Times New Roman" w:eastAsia="宋体" w:cs="Times New Roman"/>
          <w:b/>
          <w:bCs/>
          <w:color w:val="auto"/>
          <w:spacing w:val="-2"/>
          <w:sz w:val="24"/>
          <w:szCs w:val="24"/>
          <w:highlight w:val="none"/>
          <w:lang w:val="en-US" w:eastAsia="zh-CN"/>
        </w:rPr>
        <w:t>8.1.3环境管理内容</w:t>
      </w:r>
      <w:bookmarkEnd w:id="256"/>
    </w:p>
    <w:p w14:paraId="2570CB20">
      <w:pPr>
        <w:keepNext w:val="0"/>
        <w:keepLines w:val="0"/>
        <w:pageBreakBefore w:val="0"/>
        <w:widowControl/>
        <w:kinsoku/>
        <w:wordWrap w:val="0"/>
        <w:overflowPunct/>
        <w:topLinePunct/>
        <w:autoSpaceDE/>
        <w:autoSpaceDN/>
        <w:bidi w:val="0"/>
        <w:adjustRightInd w:val="0"/>
        <w:snapToGrid w:val="0"/>
        <w:spacing w:line="360" w:lineRule="auto"/>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2"/>
          <w:sz w:val="24"/>
          <w:szCs w:val="24"/>
          <w:highlight w:val="none"/>
        </w:rPr>
        <w:t>8.1.3.1</w:t>
      </w:r>
      <w:r>
        <w:rPr>
          <w:rFonts w:hint="default" w:ascii="Times New Roman" w:hAnsi="Times New Roman" w:eastAsia="宋体" w:cs="Times New Roman"/>
          <w:b/>
          <w:bCs/>
          <w:color w:val="auto"/>
          <w:spacing w:val="-2"/>
          <w:sz w:val="24"/>
          <w:szCs w:val="24"/>
          <w:highlight w:val="none"/>
        </w:rPr>
        <w:t>施工期管理内容</w:t>
      </w:r>
    </w:p>
    <w:p w14:paraId="3BD3E0ED">
      <w:pPr>
        <w:keepNext w:val="0"/>
        <w:keepLines w:val="0"/>
        <w:pageBreakBefore w:val="0"/>
        <w:widowControl/>
        <w:kinsoku/>
        <w:wordWrap w:val="0"/>
        <w:overflowPunct/>
        <w:topLinePunct/>
        <w:autoSpaceDE/>
        <w:autoSpaceDN/>
        <w:bidi w:val="0"/>
        <w:adjustRightInd w:val="0"/>
        <w:snapToGrid w:val="0"/>
        <w:spacing w:line="360" w:lineRule="auto"/>
        <w:ind w:left="0" w:right="0" w:firstLine="448" w:firstLineChars="200"/>
        <w:textAlignment w:val="baseline"/>
        <w:rPr>
          <w:rFonts w:hint="default" w:ascii="Times New Roman" w:hAnsi="Times New Roman" w:eastAsia="宋体" w:cs="Times New Roman"/>
          <w:color w:val="auto"/>
          <w:spacing w:val="-8"/>
          <w:sz w:val="24"/>
          <w:szCs w:val="24"/>
          <w:highlight w:val="none"/>
        </w:rPr>
      </w:pPr>
      <w:r>
        <w:rPr>
          <w:rFonts w:hint="default" w:ascii="Times New Roman" w:hAnsi="Times New Roman" w:eastAsia="宋体" w:cs="Times New Roman"/>
          <w:color w:val="auto"/>
          <w:spacing w:val="-8"/>
          <w:sz w:val="24"/>
          <w:szCs w:val="24"/>
          <w:highlight w:val="none"/>
        </w:rPr>
        <w:t>施工期对环境的影响主要为噪声、粉尘、施工废水、生活污水及建筑垃圾。施工过程中要做到建筑垃圾集中堆放、及时清运；施工废水设沉淀池处理后回用；保证施工设备完好、先进，降低其噪声，固定声源隔声降噪等；指定行车路线，定期洒水、防止扬尘等。作业点要定期检查，督促环境管理措施的落实情况，增强施工人员的环保意识。</w:t>
      </w:r>
    </w:p>
    <w:p w14:paraId="0F9EB161">
      <w:pPr>
        <w:keepNext w:val="0"/>
        <w:keepLines w:val="0"/>
        <w:pageBreakBefore w:val="0"/>
        <w:kinsoku/>
        <w:wordWrap w:val="0"/>
        <w:overflowPunct/>
        <w:topLinePunct/>
        <w:autoSpaceDE/>
        <w:autoSpaceDN/>
        <w:bidi w:val="0"/>
        <w:adjustRightInd w:val="0"/>
        <w:snapToGrid w:val="0"/>
        <w:spacing w:line="233" w:lineRule="auto"/>
        <w:textAlignment w:val="baseline"/>
        <w:outlineLvl w:val="3"/>
        <w:rPr>
          <w:rFonts w:hint="default" w:ascii="Times New Roman" w:hAnsi="Times New Roman" w:eastAsia="宋体" w:cs="Times New Roman"/>
          <w:color w:val="auto"/>
          <w:sz w:val="24"/>
          <w:szCs w:val="24"/>
          <w:highlight w:val="none"/>
        </w:rPr>
      </w:pPr>
      <w:r>
        <w:rPr>
          <w:rFonts w:hint="default" w:ascii="Times New Roman" w:hAnsi="Times New Roman" w:eastAsia="Times New Roman" w:cs="Times New Roman"/>
          <w:b/>
          <w:bCs/>
          <w:color w:val="auto"/>
          <w:spacing w:val="-2"/>
          <w:sz w:val="24"/>
          <w:szCs w:val="24"/>
          <w:highlight w:val="none"/>
        </w:rPr>
        <w:t>8.1.3.2</w:t>
      </w:r>
      <w:r>
        <w:rPr>
          <w:rFonts w:hint="default" w:ascii="Times New Roman" w:hAnsi="Times New Roman" w:eastAsia="宋体" w:cs="Times New Roman"/>
          <w:b/>
          <w:bCs/>
          <w:color w:val="auto"/>
          <w:spacing w:val="-2"/>
          <w:sz w:val="24"/>
          <w:szCs w:val="24"/>
          <w:highlight w:val="none"/>
        </w:rPr>
        <w:t>运行期管理内容</w:t>
      </w:r>
    </w:p>
    <w:p w14:paraId="500CDC65">
      <w:pPr>
        <w:keepNext w:val="0"/>
        <w:keepLines w:val="0"/>
        <w:pageBreakBefore w:val="0"/>
        <w:kinsoku/>
        <w:wordWrap w:val="0"/>
        <w:overflowPunct/>
        <w:topLinePunct/>
        <w:autoSpaceDE/>
        <w:autoSpaceDN/>
        <w:bidi w:val="0"/>
        <w:adjustRightInd w:val="0"/>
        <w:snapToGrid w:val="0"/>
        <w:spacing w:before="165" w:line="233" w:lineRule="auto"/>
        <w:ind w:left="487"/>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1</w:t>
      </w:r>
      <w:r>
        <w:rPr>
          <w:rFonts w:hint="default" w:ascii="Times New Roman" w:hAnsi="Times New Roman" w:eastAsia="宋体" w:cs="Times New Roman"/>
          <w:color w:val="auto"/>
          <w:spacing w:val="-3"/>
          <w:sz w:val="24"/>
          <w:szCs w:val="24"/>
          <w:highlight w:val="none"/>
        </w:rPr>
        <w:t>）大气环境管理</w:t>
      </w:r>
    </w:p>
    <w:p w14:paraId="6B9DBB36">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pacing w:val="-3"/>
          <w:sz w:val="24"/>
          <w:szCs w:val="24"/>
          <w:highlight w:val="none"/>
        </w:rPr>
      </w:pPr>
      <w:r>
        <w:rPr>
          <w:rFonts w:hint="default" w:ascii="Times New Roman" w:hAnsi="Times New Roman" w:eastAsia="宋体" w:cs="Times New Roman"/>
          <w:color w:val="auto"/>
          <w:spacing w:val="-3"/>
          <w:sz w:val="24"/>
          <w:szCs w:val="24"/>
          <w:highlight w:val="none"/>
        </w:rPr>
        <w:t>本项目运行期对环境空气的影响主要是恶臭气体。为保证各项大气污染物均能达标排放，项目采取了相应的环保措施。管理小组应对环保设备经常检查，及时检修维护，强化岗位责任制，避免事故排放。</w:t>
      </w:r>
    </w:p>
    <w:p w14:paraId="20AB76AD">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FF0000"/>
          <w:spacing w:val="-3"/>
          <w:sz w:val="24"/>
          <w:szCs w:val="24"/>
          <w:highlight w:val="none"/>
          <w:lang w:val="en-US" w:eastAsia="zh-CN"/>
        </w:rPr>
      </w:pPr>
      <w:r>
        <w:rPr>
          <w:rFonts w:hint="default" w:ascii="Times New Roman" w:hAnsi="Times New Roman" w:eastAsia="宋体" w:cs="Times New Roman"/>
          <w:color w:val="FF0000"/>
          <w:spacing w:val="-3"/>
          <w:sz w:val="24"/>
          <w:szCs w:val="24"/>
          <w:highlight w:val="none"/>
          <w:lang w:val="en-US" w:eastAsia="zh-CN"/>
        </w:rPr>
        <w:t>本项目使用的EM菌、</w:t>
      </w:r>
      <w:r>
        <w:rPr>
          <w:rFonts w:hint="eastAsia" w:ascii="Times New Roman" w:hAnsi="Times New Roman" w:eastAsia="宋体" w:cs="Times New Roman"/>
          <w:color w:val="FF0000"/>
          <w:spacing w:val="-3"/>
          <w:sz w:val="24"/>
          <w:szCs w:val="24"/>
          <w:highlight w:val="none"/>
          <w:lang w:val="en-US" w:eastAsia="zh-CN"/>
        </w:rPr>
        <w:t>微生物</w:t>
      </w:r>
      <w:r>
        <w:rPr>
          <w:rFonts w:hint="default" w:ascii="Times New Roman" w:hAnsi="Times New Roman" w:eastAsia="宋体" w:cs="Times New Roman"/>
          <w:color w:val="FF0000"/>
          <w:spacing w:val="-3"/>
          <w:sz w:val="24"/>
          <w:szCs w:val="24"/>
          <w:highlight w:val="none"/>
          <w:lang w:val="en-US" w:eastAsia="zh-CN"/>
        </w:rPr>
        <w:t>除臭剂、发酵菌剂用量严格管理，企业人员应做好采购、出入库以及使用台账，做好电子台账+纸质台账记录。</w:t>
      </w:r>
    </w:p>
    <w:p w14:paraId="7018AD83">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2</w:t>
      </w:r>
      <w:r>
        <w:rPr>
          <w:rFonts w:hint="default" w:ascii="Times New Roman" w:hAnsi="Times New Roman" w:eastAsia="宋体" w:cs="Times New Roman"/>
          <w:color w:val="auto"/>
          <w:spacing w:val="-3"/>
          <w:sz w:val="24"/>
          <w:szCs w:val="24"/>
          <w:highlight w:val="none"/>
        </w:rPr>
        <w:t>）粪污</w:t>
      </w:r>
      <w:r>
        <w:rPr>
          <w:rFonts w:hint="default" w:ascii="Times New Roman" w:hAnsi="Times New Roman" w:eastAsia="宋体" w:cs="Times New Roman"/>
          <w:color w:val="auto"/>
          <w:spacing w:val="-3"/>
          <w:sz w:val="24"/>
          <w:szCs w:val="24"/>
          <w:highlight w:val="none"/>
          <w:lang w:val="en-US" w:eastAsia="zh-CN"/>
        </w:rPr>
        <w:t>收集</w:t>
      </w:r>
      <w:r>
        <w:rPr>
          <w:rFonts w:hint="default" w:ascii="Times New Roman" w:hAnsi="Times New Roman" w:eastAsia="宋体" w:cs="Times New Roman"/>
          <w:color w:val="auto"/>
          <w:spacing w:val="-3"/>
          <w:sz w:val="24"/>
          <w:szCs w:val="24"/>
          <w:highlight w:val="none"/>
        </w:rPr>
        <w:t>设施管理</w:t>
      </w:r>
    </w:p>
    <w:p w14:paraId="5B62CFB0">
      <w:pPr>
        <w:keepNext w:val="0"/>
        <w:keepLines w:val="0"/>
        <w:pageBreakBefore w:val="0"/>
        <w:widowControl/>
        <w:kinsoku/>
        <w:wordWrap w:val="0"/>
        <w:overflowPunct/>
        <w:topLinePunct/>
        <w:autoSpaceDE/>
        <w:autoSpaceDN/>
        <w:bidi w:val="0"/>
        <w:adjustRightInd w:val="0"/>
        <w:snapToGrid w:val="0"/>
        <w:spacing w:line="360" w:lineRule="auto"/>
        <w:ind w:left="0" w:right="0"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定期对场内</w:t>
      </w:r>
      <w:r>
        <w:rPr>
          <w:rFonts w:hint="default" w:ascii="Times New Roman" w:hAnsi="Times New Roman" w:eastAsia="宋体" w:cs="Times New Roman"/>
          <w:color w:val="auto"/>
          <w:spacing w:val="-4"/>
          <w:sz w:val="24"/>
          <w:szCs w:val="24"/>
          <w:highlight w:val="none"/>
          <w:lang w:eastAsia="zh-CN"/>
        </w:rPr>
        <w:t>粪污储存间</w:t>
      </w:r>
      <w:r>
        <w:rPr>
          <w:rFonts w:hint="default" w:ascii="Times New Roman" w:hAnsi="Times New Roman" w:eastAsia="宋体" w:cs="Times New Roman"/>
          <w:color w:val="auto"/>
          <w:spacing w:val="-4"/>
          <w:sz w:val="24"/>
          <w:szCs w:val="24"/>
          <w:highlight w:val="none"/>
        </w:rPr>
        <w:t>的运行情况进行巡查，要掌握、了解设施是否损坏及出现异</w:t>
      </w:r>
      <w:r>
        <w:rPr>
          <w:rFonts w:hint="default" w:ascii="Times New Roman" w:hAnsi="Times New Roman" w:eastAsia="宋体" w:cs="Times New Roman"/>
          <w:color w:val="auto"/>
          <w:spacing w:val="-3"/>
          <w:sz w:val="24"/>
          <w:szCs w:val="24"/>
          <w:highlight w:val="none"/>
        </w:rPr>
        <w:t>常现象，发现异常情况及时通报上级领导。</w:t>
      </w:r>
    </w:p>
    <w:p w14:paraId="4E6420EF">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3</w:t>
      </w:r>
      <w:r>
        <w:rPr>
          <w:rFonts w:hint="default" w:ascii="Times New Roman" w:hAnsi="Times New Roman" w:eastAsia="宋体" w:cs="Times New Roman"/>
          <w:color w:val="auto"/>
          <w:spacing w:val="-3"/>
          <w:sz w:val="24"/>
          <w:szCs w:val="24"/>
          <w:highlight w:val="none"/>
        </w:rPr>
        <w:t>）噪声环境管理</w:t>
      </w:r>
    </w:p>
    <w:p w14:paraId="4188871C">
      <w:pPr>
        <w:keepNext w:val="0"/>
        <w:keepLines w:val="0"/>
        <w:pageBreakBefore w:val="0"/>
        <w:widowControl/>
        <w:kinsoku/>
        <w:wordWrap w:val="0"/>
        <w:overflowPunct/>
        <w:topLinePunct/>
        <w:autoSpaceDE/>
        <w:autoSpaceDN/>
        <w:bidi w:val="0"/>
        <w:adjustRightInd w:val="0"/>
        <w:snapToGrid w:val="0"/>
        <w:spacing w:line="360" w:lineRule="auto"/>
        <w:ind w:left="0" w:right="0" w:firstLine="43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2"/>
          <w:sz w:val="24"/>
          <w:szCs w:val="24"/>
          <w:highlight w:val="none"/>
        </w:rPr>
        <w:t>选择低噪声设备，对高噪声设备采取封闭、隔离、安装减震装置、软连接等措施，</w:t>
      </w:r>
      <w:r>
        <w:rPr>
          <w:rFonts w:hint="default" w:ascii="Times New Roman" w:hAnsi="Times New Roman" w:eastAsia="宋体" w:cs="Times New Roman"/>
          <w:color w:val="auto"/>
          <w:spacing w:val="-4"/>
          <w:sz w:val="24"/>
          <w:szCs w:val="24"/>
          <w:highlight w:val="none"/>
        </w:rPr>
        <w:t>防止对周围环境造成噪声污染。</w:t>
      </w:r>
    </w:p>
    <w:p w14:paraId="644D4912">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4</w:t>
      </w:r>
      <w:r>
        <w:rPr>
          <w:rFonts w:hint="default" w:ascii="Times New Roman" w:hAnsi="Times New Roman" w:eastAsia="宋体" w:cs="Times New Roman"/>
          <w:color w:val="auto"/>
          <w:spacing w:val="-3"/>
          <w:sz w:val="24"/>
          <w:szCs w:val="24"/>
          <w:highlight w:val="none"/>
        </w:rPr>
        <w:t>）固体废物管理</w:t>
      </w:r>
    </w:p>
    <w:p w14:paraId="5D40A5AB">
      <w:pPr>
        <w:keepNext w:val="0"/>
        <w:keepLines w:val="0"/>
        <w:pageBreakBefore w:val="0"/>
        <w:widowControl/>
        <w:kinsoku/>
        <w:wordWrap w:val="0"/>
        <w:overflowPunct/>
        <w:topLinePunct/>
        <w:autoSpaceDE/>
        <w:autoSpaceDN/>
        <w:bidi w:val="0"/>
        <w:adjustRightInd w:val="0"/>
        <w:snapToGrid w:val="0"/>
        <w:spacing w:line="360" w:lineRule="auto"/>
        <w:ind w:left="0" w:right="0" w:firstLine="45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6"/>
          <w:sz w:val="24"/>
          <w:szCs w:val="24"/>
          <w:highlight w:val="none"/>
        </w:rPr>
        <w:t>定期对一般固体废物的收集、运输等设施进行巡查，要掌</w:t>
      </w:r>
      <w:r>
        <w:rPr>
          <w:rFonts w:hint="default" w:ascii="Times New Roman" w:hAnsi="Times New Roman" w:eastAsia="宋体" w:cs="Times New Roman"/>
          <w:color w:val="auto"/>
          <w:spacing w:val="-7"/>
          <w:sz w:val="24"/>
          <w:szCs w:val="24"/>
          <w:highlight w:val="none"/>
        </w:rPr>
        <w:t>握、了解设施是否损坏</w:t>
      </w:r>
      <w:r>
        <w:rPr>
          <w:rFonts w:hint="default" w:ascii="Times New Roman" w:hAnsi="Times New Roman" w:eastAsia="宋体" w:cs="Times New Roman"/>
          <w:color w:val="auto"/>
          <w:spacing w:val="-3"/>
          <w:sz w:val="24"/>
          <w:szCs w:val="24"/>
          <w:highlight w:val="none"/>
        </w:rPr>
        <w:t>及出现异常现象，发现异常情况及时通报上级领导；加</w:t>
      </w:r>
      <w:r>
        <w:rPr>
          <w:rFonts w:hint="default" w:ascii="Times New Roman" w:hAnsi="Times New Roman" w:eastAsia="宋体" w:cs="Times New Roman"/>
          <w:color w:val="auto"/>
          <w:spacing w:val="-4"/>
          <w:sz w:val="24"/>
          <w:szCs w:val="24"/>
          <w:highlight w:val="none"/>
        </w:rPr>
        <w:t>强医疗废物的管理，检查收集</w:t>
      </w:r>
      <w:r>
        <w:rPr>
          <w:rFonts w:hint="default" w:ascii="Times New Roman" w:hAnsi="Times New Roman" w:eastAsia="宋体" w:cs="Times New Roman"/>
          <w:color w:val="auto"/>
          <w:spacing w:val="-3"/>
          <w:sz w:val="24"/>
          <w:szCs w:val="24"/>
          <w:highlight w:val="none"/>
        </w:rPr>
        <w:t>设施是否处于正常工作状态。</w:t>
      </w:r>
    </w:p>
    <w:p w14:paraId="7CB61670">
      <w:pPr>
        <w:keepNext w:val="0"/>
        <w:keepLines w:val="0"/>
        <w:pageBreakBefore w:val="0"/>
        <w:widowControl/>
        <w:kinsoku/>
        <w:wordWrap w:val="0"/>
        <w:overflowPunct/>
        <w:topLinePunct/>
        <w:autoSpaceDE/>
        <w:autoSpaceDN/>
        <w:bidi w:val="0"/>
        <w:adjustRightInd w:val="0"/>
        <w:snapToGrid w:val="0"/>
        <w:spacing w:line="360" w:lineRule="auto"/>
        <w:ind w:left="0" w:right="0" w:firstLine="492"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同时建议在养殖场场区主要产排污节点及设</w:t>
      </w:r>
      <w:r>
        <w:rPr>
          <w:rFonts w:hint="default" w:ascii="Times New Roman" w:hAnsi="Times New Roman" w:eastAsia="宋体" w:cs="Times New Roman"/>
          <w:color w:val="auto"/>
          <w:spacing w:val="2"/>
          <w:sz w:val="24"/>
          <w:szCs w:val="24"/>
          <w:highlight w:val="none"/>
        </w:rPr>
        <w:t>置环保措施的地方设置视频监控设</w:t>
      </w:r>
      <w:r>
        <w:rPr>
          <w:rFonts w:hint="default" w:ascii="Times New Roman" w:hAnsi="Times New Roman" w:eastAsia="宋体" w:cs="Times New Roman"/>
          <w:color w:val="auto"/>
          <w:spacing w:val="-3"/>
          <w:sz w:val="24"/>
          <w:szCs w:val="24"/>
          <w:highlight w:val="none"/>
        </w:rPr>
        <w:t>备，监控网络应与生态环境保护主管部门的网站</w:t>
      </w:r>
      <w:r>
        <w:rPr>
          <w:rFonts w:hint="eastAsia" w:ascii="Times New Roman" w:hAnsi="Times New Roman" w:eastAsia="宋体" w:cs="Times New Roman"/>
          <w:color w:val="auto"/>
          <w:spacing w:val="-3"/>
          <w:sz w:val="24"/>
          <w:szCs w:val="24"/>
          <w:highlight w:val="none"/>
          <w:lang w:eastAsia="zh-CN"/>
        </w:rPr>
        <w:t>连接</w:t>
      </w:r>
      <w:r>
        <w:rPr>
          <w:rFonts w:hint="default" w:ascii="Times New Roman" w:hAnsi="Times New Roman" w:eastAsia="宋体" w:cs="Times New Roman"/>
          <w:color w:val="auto"/>
          <w:spacing w:val="-4"/>
          <w:sz w:val="24"/>
          <w:szCs w:val="24"/>
          <w:highlight w:val="none"/>
        </w:rPr>
        <w:t>，方便主管部门对养殖场产排污</w:t>
      </w:r>
      <w:r>
        <w:rPr>
          <w:rFonts w:hint="default" w:ascii="Times New Roman" w:hAnsi="Times New Roman" w:eastAsia="宋体" w:cs="Times New Roman"/>
          <w:color w:val="auto"/>
          <w:spacing w:val="-3"/>
          <w:sz w:val="24"/>
          <w:szCs w:val="24"/>
          <w:highlight w:val="none"/>
        </w:rPr>
        <w:t>及环保设施运行情况的的监管。</w:t>
      </w:r>
    </w:p>
    <w:p w14:paraId="6A1BACD8">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57" w:name="_Toc29301"/>
      <w:r>
        <w:rPr>
          <w:rFonts w:hint="default" w:ascii="Times New Roman" w:hAnsi="Times New Roman" w:eastAsia="宋体" w:cs="Times New Roman"/>
          <w:b/>
          <w:bCs/>
          <w:color w:val="auto"/>
          <w:spacing w:val="-2"/>
          <w:sz w:val="24"/>
          <w:szCs w:val="24"/>
          <w:highlight w:val="none"/>
          <w:lang w:val="en-US" w:eastAsia="zh-CN"/>
        </w:rPr>
        <w:t>8.1.4环境管理计划</w:t>
      </w:r>
      <w:bookmarkEnd w:id="257"/>
    </w:p>
    <w:p w14:paraId="578B2BB0">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宋体" w:cs="Times New Roman"/>
          <w:b/>
          <w:bCs/>
          <w:color w:val="auto"/>
          <w:spacing w:val="-2"/>
          <w:sz w:val="24"/>
          <w:szCs w:val="24"/>
          <w:highlight w:val="none"/>
          <w:lang w:val="en-US" w:eastAsia="zh-CN"/>
        </w:rPr>
      </w:pPr>
      <w:r>
        <w:rPr>
          <w:rFonts w:hint="default" w:ascii="Times New Roman" w:hAnsi="Times New Roman" w:eastAsia="宋体" w:cs="Times New Roman"/>
          <w:b/>
          <w:bCs/>
          <w:color w:val="auto"/>
          <w:spacing w:val="-2"/>
          <w:sz w:val="24"/>
          <w:szCs w:val="24"/>
          <w:highlight w:val="none"/>
          <w:lang w:val="en-US" w:eastAsia="zh-CN"/>
        </w:rPr>
        <w:t>8.1.4.1施工期环境管理计划</w:t>
      </w:r>
    </w:p>
    <w:p w14:paraId="580A5632">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w:t>
      </w:r>
      <w:r>
        <w:rPr>
          <w:rFonts w:hint="default" w:ascii="Times New Roman" w:hAnsi="Times New Roman" w:eastAsia="Times New Roman" w:cs="Times New Roman"/>
          <w:color w:val="auto"/>
          <w:sz w:val="24"/>
          <w:szCs w:val="24"/>
          <w:highlight w:val="none"/>
        </w:rPr>
        <w:t>1</w:t>
      </w:r>
      <w:r>
        <w:rPr>
          <w:rFonts w:hint="default" w:ascii="Times New Roman" w:hAnsi="Times New Roman" w:eastAsia="宋体" w:cs="Times New Roman"/>
          <w:color w:val="auto"/>
          <w:sz w:val="24"/>
          <w:szCs w:val="24"/>
          <w:highlight w:val="none"/>
        </w:rPr>
        <w:t>）环境管理机构对施工期环境保护工作全面负责，履行</w:t>
      </w:r>
      <w:r>
        <w:rPr>
          <w:rFonts w:hint="default" w:ascii="Times New Roman" w:hAnsi="Times New Roman" w:eastAsia="宋体" w:cs="Times New Roman"/>
          <w:color w:val="auto"/>
          <w:spacing w:val="-1"/>
          <w:sz w:val="24"/>
          <w:szCs w:val="24"/>
          <w:highlight w:val="none"/>
        </w:rPr>
        <w:t>施工期各阶段环境管</w:t>
      </w:r>
      <w:r>
        <w:rPr>
          <w:rFonts w:hint="default" w:ascii="Times New Roman" w:hAnsi="Times New Roman" w:eastAsia="宋体" w:cs="Times New Roman"/>
          <w:color w:val="auto"/>
          <w:spacing w:val="-9"/>
          <w:sz w:val="24"/>
          <w:szCs w:val="24"/>
          <w:highlight w:val="none"/>
        </w:rPr>
        <w:t>理职责。</w:t>
      </w:r>
    </w:p>
    <w:p w14:paraId="70D2E501">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2</w:t>
      </w:r>
      <w:r>
        <w:rPr>
          <w:rFonts w:hint="default" w:ascii="Times New Roman" w:hAnsi="Times New Roman" w:eastAsia="宋体" w:cs="Times New Roman"/>
          <w:color w:val="auto"/>
          <w:spacing w:val="-1"/>
          <w:sz w:val="24"/>
          <w:szCs w:val="24"/>
          <w:highlight w:val="none"/>
        </w:rPr>
        <w:t>）对施工队伍实行职责管理，要求施工队伍按要求</w:t>
      </w:r>
      <w:r>
        <w:rPr>
          <w:rFonts w:hint="default" w:ascii="Times New Roman" w:hAnsi="Times New Roman" w:eastAsia="宋体" w:cs="Times New Roman"/>
          <w:color w:val="auto"/>
          <w:spacing w:val="-2"/>
          <w:sz w:val="24"/>
          <w:szCs w:val="24"/>
          <w:highlight w:val="none"/>
        </w:rPr>
        <w:t>文明施工，并做好监督、</w:t>
      </w:r>
      <w:r>
        <w:rPr>
          <w:rFonts w:hint="default" w:ascii="Times New Roman" w:hAnsi="Times New Roman" w:eastAsia="宋体" w:cs="Times New Roman"/>
          <w:color w:val="auto"/>
          <w:spacing w:val="-5"/>
          <w:sz w:val="24"/>
          <w:szCs w:val="24"/>
          <w:highlight w:val="none"/>
        </w:rPr>
        <w:t>检查和教育工作。</w:t>
      </w:r>
    </w:p>
    <w:p w14:paraId="45EA1AEE">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3</w:t>
      </w:r>
      <w:r>
        <w:rPr>
          <w:rFonts w:hint="default" w:ascii="Times New Roman" w:hAnsi="Times New Roman" w:eastAsia="宋体" w:cs="Times New Roman"/>
          <w:color w:val="auto"/>
          <w:spacing w:val="-1"/>
          <w:sz w:val="24"/>
          <w:szCs w:val="24"/>
          <w:highlight w:val="none"/>
        </w:rPr>
        <w:t>）按照环保主管部门的要求和本报告书中有关环境保护对策措施对施工程序</w:t>
      </w:r>
      <w:r>
        <w:rPr>
          <w:rFonts w:hint="default" w:ascii="Times New Roman" w:hAnsi="Times New Roman" w:eastAsia="宋体" w:cs="Times New Roman"/>
          <w:color w:val="auto"/>
          <w:spacing w:val="-3"/>
          <w:sz w:val="24"/>
          <w:szCs w:val="24"/>
          <w:highlight w:val="none"/>
        </w:rPr>
        <w:t>和厂地布置实施统一安排。</w:t>
      </w:r>
    </w:p>
    <w:p w14:paraId="7AA9A9A0">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4</w:t>
      </w:r>
      <w:r>
        <w:rPr>
          <w:rFonts w:hint="default" w:ascii="Times New Roman" w:hAnsi="Times New Roman" w:eastAsia="宋体" w:cs="Times New Roman"/>
          <w:color w:val="auto"/>
          <w:spacing w:val="-1"/>
          <w:sz w:val="24"/>
          <w:szCs w:val="24"/>
          <w:highlight w:val="none"/>
        </w:rPr>
        <w:t>）土建工程需要土石方的挖掘与运输、管道挖沟、施工建材机械等占地，对</w:t>
      </w:r>
      <w:r>
        <w:rPr>
          <w:rFonts w:hint="default" w:ascii="Times New Roman" w:hAnsi="Times New Roman" w:eastAsia="宋体" w:cs="Times New Roman"/>
          <w:color w:val="auto"/>
          <w:spacing w:val="-2"/>
          <w:sz w:val="24"/>
          <w:szCs w:val="24"/>
          <w:highlight w:val="none"/>
        </w:rPr>
        <w:t>产生的扬尘应及时洒水，及时清除弃土，避免二次扬尘。</w:t>
      </w:r>
    </w:p>
    <w:p w14:paraId="0B115024">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5</w:t>
      </w:r>
      <w:r>
        <w:rPr>
          <w:rFonts w:hint="default" w:ascii="Times New Roman" w:hAnsi="Times New Roman" w:eastAsia="宋体" w:cs="Times New Roman"/>
          <w:color w:val="auto"/>
          <w:spacing w:val="-1"/>
          <w:sz w:val="24"/>
          <w:szCs w:val="24"/>
          <w:highlight w:val="none"/>
        </w:rPr>
        <w:t>）合理布置施工厂内的机械和设备，把噪声较大的机械设备布置到远离居民</w:t>
      </w:r>
      <w:r>
        <w:rPr>
          <w:rFonts w:hint="default" w:ascii="Times New Roman" w:hAnsi="Times New Roman" w:eastAsia="宋体" w:cs="Times New Roman"/>
          <w:color w:val="auto"/>
          <w:spacing w:val="-12"/>
          <w:sz w:val="24"/>
          <w:szCs w:val="24"/>
          <w:highlight w:val="none"/>
        </w:rPr>
        <w:t>的地点。</w:t>
      </w:r>
    </w:p>
    <w:p w14:paraId="3D64DF87">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施工期环境保护管理及监理的主要内容见表</w:t>
      </w:r>
      <w:r>
        <w:rPr>
          <w:rFonts w:hint="default" w:ascii="Times New Roman" w:hAnsi="Times New Roman" w:eastAsia="Times New Roman" w:cs="Times New Roman"/>
          <w:color w:val="auto"/>
          <w:spacing w:val="-1"/>
          <w:sz w:val="24"/>
          <w:szCs w:val="24"/>
          <w:highlight w:val="none"/>
        </w:rPr>
        <w:t>8.1-1</w:t>
      </w:r>
      <w:r>
        <w:rPr>
          <w:rFonts w:hint="default" w:ascii="Times New Roman" w:hAnsi="Times New Roman" w:eastAsia="宋体" w:cs="Times New Roman"/>
          <w:color w:val="auto"/>
          <w:spacing w:val="-1"/>
          <w:sz w:val="24"/>
          <w:szCs w:val="24"/>
          <w:highlight w:val="none"/>
        </w:rPr>
        <w:t>。</w:t>
      </w:r>
    </w:p>
    <w:p w14:paraId="10B172C2">
      <w:pPr>
        <w:keepNext w:val="0"/>
        <w:keepLines w:val="0"/>
        <w:pageBreakBefore w:val="0"/>
        <w:widowControl/>
        <w:kinsoku/>
        <w:wordWrap w:val="0"/>
        <w:overflowPunct/>
        <w:topLinePunct/>
        <w:autoSpaceDE/>
        <w:autoSpaceDN/>
        <w:bidi w:val="0"/>
        <w:adjustRightInd w:val="0"/>
        <w:snapToGrid w:val="0"/>
        <w:spacing w:line="214" w:lineRule="auto"/>
        <w:ind w:left="2269"/>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8.1-1</w:t>
      </w:r>
      <w:r>
        <w:rPr>
          <w:rFonts w:hint="default" w:ascii="Times New Roman" w:hAnsi="Times New Roman" w:eastAsia="宋体" w:cs="Times New Roman"/>
          <w:b/>
          <w:bCs/>
          <w:color w:val="auto"/>
          <w:spacing w:val="-1"/>
          <w:sz w:val="24"/>
          <w:szCs w:val="24"/>
          <w:highlight w:val="none"/>
        </w:rPr>
        <w:t>施工期环境管理和监理的主</w:t>
      </w:r>
      <w:r>
        <w:rPr>
          <w:rFonts w:hint="default" w:ascii="Times New Roman" w:hAnsi="Times New Roman" w:eastAsia="宋体" w:cs="Times New Roman"/>
          <w:b/>
          <w:bCs/>
          <w:color w:val="auto"/>
          <w:spacing w:val="-2"/>
          <w:sz w:val="24"/>
          <w:szCs w:val="24"/>
          <w:highlight w:val="none"/>
        </w:rPr>
        <w:t>要内容</w:t>
      </w:r>
    </w:p>
    <w:tbl>
      <w:tblPr>
        <w:tblStyle w:val="34"/>
        <w:tblW w:w="8985"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073"/>
        <w:gridCol w:w="4839"/>
        <w:gridCol w:w="1148"/>
        <w:gridCol w:w="1925"/>
      </w:tblGrid>
      <w:tr w14:paraId="27627B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8" w:hRule="atLeast"/>
          <w:jc w:val="center"/>
        </w:trPr>
        <w:tc>
          <w:tcPr>
            <w:tcW w:w="1073" w:type="dxa"/>
            <w:tcBorders>
              <w:tl2br w:val="nil"/>
              <w:tr2bl w:val="nil"/>
            </w:tcBorders>
            <w:vAlign w:val="center"/>
          </w:tcPr>
          <w:p w14:paraId="16BF93A9">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6"/>
                <w:highlight w:val="none"/>
              </w:rPr>
              <w:t>防治对象</w:t>
            </w:r>
          </w:p>
        </w:tc>
        <w:tc>
          <w:tcPr>
            <w:tcW w:w="4839" w:type="dxa"/>
            <w:tcBorders>
              <w:tl2br w:val="nil"/>
              <w:tr2bl w:val="nil"/>
            </w:tcBorders>
            <w:vAlign w:val="center"/>
          </w:tcPr>
          <w:p w14:paraId="451434FA">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6"/>
                <w:highlight w:val="none"/>
              </w:rPr>
              <w:t>防治措施</w:t>
            </w:r>
          </w:p>
        </w:tc>
        <w:tc>
          <w:tcPr>
            <w:tcW w:w="1148" w:type="dxa"/>
            <w:tcBorders>
              <w:tl2br w:val="nil"/>
              <w:tr2bl w:val="nil"/>
            </w:tcBorders>
            <w:vAlign w:val="center"/>
          </w:tcPr>
          <w:p w14:paraId="7303FA57">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环境管理</w:t>
            </w:r>
          </w:p>
        </w:tc>
        <w:tc>
          <w:tcPr>
            <w:tcW w:w="1925" w:type="dxa"/>
            <w:tcBorders>
              <w:tl2br w:val="nil"/>
              <w:tr2bl w:val="nil"/>
            </w:tcBorders>
            <w:vAlign w:val="center"/>
          </w:tcPr>
          <w:p w14:paraId="51010E3F">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b/>
                <w:bCs/>
                <w:color w:val="auto"/>
                <w:spacing w:val="-3"/>
                <w:highlight w:val="none"/>
              </w:rPr>
              <w:t>环境监理</w:t>
            </w:r>
          </w:p>
        </w:tc>
      </w:tr>
      <w:tr w14:paraId="4AF06C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1073" w:type="dxa"/>
            <w:vMerge w:val="restart"/>
            <w:tcBorders>
              <w:tl2br w:val="nil"/>
              <w:tr2bl w:val="nil"/>
            </w:tcBorders>
            <w:vAlign w:val="center"/>
          </w:tcPr>
          <w:p w14:paraId="3E80F560">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施工扬尘</w:t>
            </w:r>
          </w:p>
        </w:tc>
        <w:tc>
          <w:tcPr>
            <w:tcW w:w="4839" w:type="dxa"/>
            <w:tcBorders>
              <w:tl2br w:val="nil"/>
              <w:tr2bl w:val="nil"/>
            </w:tcBorders>
            <w:vAlign w:val="center"/>
          </w:tcPr>
          <w:p w14:paraId="64963E80">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施工厂地硬化</w:t>
            </w:r>
          </w:p>
        </w:tc>
        <w:tc>
          <w:tcPr>
            <w:tcW w:w="1148" w:type="dxa"/>
            <w:vMerge w:val="restart"/>
            <w:tcBorders>
              <w:tl2br w:val="nil"/>
              <w:tr2bl w:val="nil"/>
            </w:tcBorders>
            <w:vAlign w:val="center"/>
          </w:tcPr>
          <w:p w14:paraId="69D25C3C">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施工单位</w:t>
            </w:r>
            <w:r>
              <w:rPr>
                <w:rFonts w:hint="default" w:ascii="Times New Roman" w:hAnsi="Times New Roman" w:cs="Times New Roman"/>
                <w:color w:val="auto"/>
                <w:spacing w:val="-2"/>
                <w:highlight w:val="none"/>
              </w:rPr>
              <w:t>环保措施要落实到人，做好</w:t>
            </w:r>
            <w:r>
              <w:rPr>
                <w:rFonts w:hint="default" w:ascii="Times New Roman" w:hAnsi="Times New Roman" w:cs="Times New Roman"/>
                <w:color w:val="auto"/>
                <w:spacing w:val="-1"/>
                <w:highlight w:val="none"/>
              </w:rPr>
              <w:t>施工厂地</w:t>
            </w:r>
            <w:r>
              <w:rPr>
                <w:rFonts w:hint="default" w:ascii="Times New Roman" w:hAnsi="Times New Roman" w:cs="Times New Roman"/>
                <w:color w:val="auto"/>
                <w:spacing w:val="-2"/>
                <w:highlight w:val="none"/>
              </w:rPr>
              <w:t>环境管理和保洁工</w:t>
            </w:r>
            <w:r>
              <w:rPr>
                <w:rFonts w:hint="default" w:ascii="Times New Roman" w:hAnsi="Times New Roman" w:cs="Times New Roman"/>
                <w:color w:val="auto"/>
                <w:highlight w:val="none"/>
              </w:rPr>
              <w:t>作</w:t>
            </w:r>
          </w:p>
        </w:tc>
        <w:tc>
          <w:tcPr>
            <w:tcW w:w="1925" w:type="dxa"/>
            <w:vMerge w:val="restart"/>
            <w:tcBorders>
              <w:tl2br w:val="nil"/>
              <w:tr2bl w:val="nil"/>
            </w:tcBorders>
            <w:vAlign w:val="center"/>
          </w:tcPr>
          <w:p w14:paraId="5DDEC7A4">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建设行政管理部门及环境管理部门进</w:t>
            </w:r>
            <w:r>
              <w:rPr>
                <w:rFonts w:hint="default" w:ascii="Times New Roman" w:hAnsi="Times New Roman" w:cs="Times New Roman"/>
                <w:color w:val="auto"/>
                <w:spacing w:val="-2"/>
                <w:highlight w:val="none"/>
              </w:rPr>
              <w:t>行定期检查。</w:t>
            </w:r>
          </w:p>
        </w:tc>
      </w:tr>
      <w:tr w14:paraId="75B306E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2" w:hRule="atLeast"/>
          <w:jc w:val="center"/>
        </w:trPr>
        <w:tc>
          <w:tcPr>
            <w:tcW w:w="1073" w:type="dxa"/>
            <w:vMerge w:val="continue"/>
            <w:tcBorders>
              <w:tl2br w:val="nil"/>
              <w:tr2bl w:val="nil"/>
            </w:tcBorders>
            <w:vAlign w:val="center"/>
          </w:tcPr>
          <w:p w14:paraId="0F6FCE71">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7C3C012F">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建筑垃圾及多余弃土及时清运</w:t>
            </w:r>
          </w:p>
        </w:tc>
        <w:tc>
          <w:tcPr>
            <w:tcW w:w="1148" w:type="dxa"/>
            <w:vMerge w:val="continue"/>
            <w:tcBorders>
              <w:tl2br w:val="nil"/>
              <w:tr2bl w:val="nil"/>
            </w:tcBorders>
            <w:vAlign w:val="center"/>
          </w:tcPr>
          <w:p w14:paraId="78158DF1">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6BC498F8">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20CD9F4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1073" w:type="dxa"/>
            <w:vMerge w:val="continue"/>
            <w:tcBorders>
              <w:tl2br w:val="nil"/>
              <w:tr2bl w:val="nil"/>
            </w:tcBorders>
            <w:vAlign w:val="center"/>
          </w:tcPr>
          <w:p w14:paraId="7139F60A">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169C7A56">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施工场地车辆出入口设置车辆冲洗及沉淀设施</w:t>
            </w:r>
          </w:p>
        </w:tc>
        <w:tc>
          <w:tcPr>
            <w:tcW w:w="1148" w:type="dxa"/>
            <w:vMerge w:val="continue"/>
            <w:tcBorders>
              <w:tl2br w:val="nil"/>
              <w:tr2bl w:val="nil"/>
            </w:tcBorders>
            <w:vAlign w:val="center"/>
          </w:tcPr>
          <w:p w14:paraId="3464A304">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5100F0F8">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033C32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47" w:hRule="atLeast"/>
          <w:jc w:val="center"/>
        </w:trPr>
        <w:tc>
          <w:tcPr>
            <w:tcW w:w="1073" w:type="dxa"/>
            <w:vMerge w:val="continue"/>
            <w:tcBorders>
              <w:tl2br w:val="nil"/>
              <w:tr2bl w:val="nil"/>
            </w:tcBorders>
            <w:vAlign w:val="center"/>
          </w:tcPr>
          <w:p w14:paraId="6FD35F0B">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4586BD1D">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t>对工地及进出口定期洒水抑尘、清扫，保持</w:t>
            </w:r>
            <w:r>
              <w:rPr>
                <w:rFonts w:hint="default" w:ascii="Times New Roman" w:hAnsi="Times New Roman" w:cs="Times New Roman"/>
                <w:color w:val="auto"/>
                <w:spacing w:val="-1"/>
                <w:highlight w:val="none"/>
              </w:rPr>
              <w:t>工地整</w:t>
            </w:r>
          </w:p>
          <w:p w14:paraId="5320B39B">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齐干净</w:t>
            </w:r>
          </w:p>
        </w:tc>
        <w:tc>
          <w:tcPr>
            <w:tcW w:w="1148" w:type="dxa"/>
            <w:vMerge w:val="continue"/>
            <w:tcBorders>
              <w:tl2br w:val="nil"/>
              <w:tr2bl w:val="nil"/>
            </w:tcBorders>
            <w:vAlign w:val="center"/>
          </w:tcPr>
          <w:p w14:paraId="207E43DF">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5B65795F">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7AA525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1073" w:type="dxa"/>
            <w:vMerge w:val="continue"/>
            <w:tcBorders>
              <w:tl2br w:val="nil"/>
              <w:tr2bl w:val="nil"/>
            </w:tcBorders>
            <w:vAlign w:val="center"/>
          </w:tcPr>
          <w:p w14:paraId="1CFDC9EE">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51457F31">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对回填土方进行压实或喷覆盖剂处理</w:t>
            </w:r>
          </w:p>
        </w:tc>
        <w:tc>
          <w:tcPr>
            <w:tcW w:w="1148" w:type="dxa"/>
            <w:vMerge w:val="continue"/>
            <w:tcBorders>
              <w:tl2br w:val="nil"/>
              <w:tr2bl w:val="nil"/>
            </w:tcBorders>
            <w:vAlign w:val="center"/>
          </w:tcPr>
          <w:p w14:paraId="4AFA4A05">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1EC54766">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76A5B7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1073" w:type="dxa"/>
            <w:vMerge w:val="continue"/>
            <w:tcBorders>
              <w:tl2br w:val="nil"/>
              <w:tr2bl w:val="nil"/>
            </w:tcBorders>
            <w:vAlign w:val="center"/>
          </w:tcPr>
          <w:p w14:paraId="434617F9">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310E3938">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建筑工地按有关规定进行围挡</w:t>
            </w:r>
          </w:p>
        </w:tc>
        <w:tc>
          <w:tcPr>
            <w:tcW w:w="1148" w:type="dxa"/>
            <w:vMerge w:val="continue"/>
            <w:tcBorders>
              <w:tl2br w:val="nil"/>
              <w:tr2bl w:val="nil"/>
            </w:tcBorders>
            <w:vAlign w:val="center"/>
          </w:tcPr>
          <w:p w14:paraId="55EB354B">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59DAC8C4">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209887A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1073" w:type="dxa"/>
            <w:vMerge w:val="restart"/>
            <w:tcBorders>
              <w:tl2br w:val="nil"/>
              <w:tr2bl w:val="nil"/>
            </w:tcBorders>
            <w:vAlign w:val="center"/>
          </w:tcPr>
          <w:p w14:paraId="352B3867">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施工噪声</w:t>
            </w:r>
          </w:p>
        </w:tc>
        <w:tc>
          <w:tcPr>
            <w:tcW w:w="4839" w:type="dxa"/>
            <w:tcBorders>
              <w:tl2br w:val="nil"/>
              <w:tr2bl w:val="nil"/>
            </w:tcBorders>
            <w:vAlign w:val="center"/>
          </w:tcPr>
          <w:p w14:paraId="0A2F21A4">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将投标方的低噪声施工设备和技术作为中标内容</w:t>
            </w:r>
          </w:p>
        </w:tc>
        <w:tc>
          <w:tcPr>
            <w:tcW w:w="1148" w:type="dxa"/>
            <w:vMerge w:val="continue"/>
            <w:tcBorders>
              <w:tl2br w:val="nil"/>
              <w:tr2bl w:val="nil"/>
            </w:tcBorders>
            <w:vAlign w:val="center"/>
          </w:tcPr>
          <w:p w14:paraId="709F28E7">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restart"/>
            <w:tcBorders>
              <w:tl2br w:val="nil"/>
              <w:tr2bl w:val="nil"/>
            </w:tcBorders>
            <w:vAlign w:val="center"/>
          </w:tcPr>
          <w:p w14:paraId="500CD8F6">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环保监理部门对夜</w:t>
            </w:r>
            <w:r>
              <w:rPr>
                <w:rFonts w:hint="default" w:ascii="Times New Roman" w:hAnsi="Times New Roman" w:cs="Times New Roman"/>
                <w:color w:val="auto"/>
                <w:spacing w:val="-3"/>
                <w:highlight w:val="none"/>
              </w:rPr>
              <w:t>间施工噪声进行监</w:t>
            </w:r>
            <w:r>
              <w:rPr>
                <w:rFonts w:hint="default" w:ascii="Times New Roman" w:hAnsi="Times New Roman" w:cs="Times New Roman"/>
                <w:color w:val="auto"/>
                <w:spacing w:val="-2"/>
                <w:highlight w:val="none"/>
              </w:rPr>
              <w:t>督检查和监测</w:t>
            </w:r>
          </w:p>
        </w:tc>
      </w:tr>
      <w:tr w14:paraId="2ED5F2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817" w:hRule="atLeast"/>
          <w:jc w:val="center"/>
        </w:trPr>
        <w:tc>
          <w:tcPr>
            <w:tcW w:w="1073" w:type="dxa"/>
            <w:vMerge w:val="continue"/>
            <w:tcBorders>
              <w:tl2br w:val="nil"/>
              <w:tr2bl w:val="nil"/>
            </w:tcBorders>
            <w:vAlign w:val="center"/>
          </w:tcPr>
          <w:p w14:paraId="36A16908">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23E962F3">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8"/>
                <w:highlight w:val="none"/>
              </w:rPr>
              <w:t>施工单位开工</w:t>
            </w:r>
            <w:r>
              <w:rPr>
                <w:rFonts w:hint="default" w:ascii="Times New Roman" w:hAnsi="Times New Roman" w:eastAsia="Times New Roman" w:cs="Times New Roman"/>
                <w:color w:val="auto"/>
                <w:spacing w:val="-8"/>
                <w:highlight w:val="none"/>
              </w:rPr>
              <w:t>15</w:t>
            </w:r>
            <w:r>
              <w:rPr>
                <w:rFonts w:hint="default" w:ascii="Times New Roman" w:hAnsi="Times New Roman" w:cs="Times New Roman"/>
                <w:color w:val="auto"/>
                <w:spacing w:val="-8"/>
                <w:highlight w:val="none"/>
              </w:rPr>
              <w:t>日前，携带施工资料等到当地环保</w:t>
            </w:r>
          </w:p>
          <w:p w14:paraId="606E9063">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部门申报《建设施工环保审批表》，经批准后方可</w:t>
            </w:r>
          </w:p>
          <w:p w14:paraId="4B4C88BC">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施工</w:t>
            </w:r>
          </w:p>
        </w:tc>
        <w:tc>
          <w:tcPr>
            <w:tcW w:w="1148" w:type="dxa"/>
            <w:vMerge w:val="continue"/>
            <w:tcBorders>
              <w:tl2br w:val="nil"/>
              <w:tr2bl w:val="nil"/>
            </w:tcBorders>
            <w:vAlign w:val="center"/>
          </w:tcPr>
          <w:p w14:paraId="553543E8">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2714F14D">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3DB554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1073" w:type="dxa"/>
            <w:vMerge w:val="continue"/>
            <w:tcBorders>
              <w:tl2br w:val="nil"/>
              <w:tr2bl w:val="nil"/>
            </w:tcBorders>
            <w:vAlign w:val="center"/>
          </w:tcPr>
          <w:p w14:paraId="22D7EC23">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34D2B070">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夜间禁止施工（</w:t>
            </w:r>
            <w:r>
              <w:rPr>
                <w:rFonts w:hint="default" w:ascii="Times New Roman" w:hAnsi="Times New Roman" w:eastAsia="Times New Roman" w:cs="Times New Roman"/>
                <w:color w:val="auto"/>
                <w:spacing w:val="-1"/>
                <w:highlight w:val="none"/>
              </w:rPr>
              <w:t>22</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00</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6</w:t>
            </w:r>
            <w:r>
              <w:rPr>
                <w:rFonts w:hint="default" w:ascii="Times New Roman" w:hAnsi="Times New Roman" w:cs="Times New Roman"/>
                <w:color w:val="auto"/>
                <w:spacing w:val="-1"/>
                <w:highlight w:val="none"/>
              </w:rPr>
              <w:t>：</w:t>
            </w:r>
            <w:r>
              <w:rPr>
                <w:rFonts w:hint="default" w:ascii="Times New Roman" w:hAnsi="Times New Roman" w:eastAsia="Times New Roman" w:cs="Times New Roman"/>
                <w:color w:val="auto"/>
                <w:spacing w:val="-1"/>
                <w:highlight w:val="none"/>
              </w:rPr>
              <w:t>00</w:t>
            </w:r>
            <w:r>
              <w:rPr>
                <w:rFonts w:hint="default" w:ascii="Times New Roman" w:hAnsi="Times New Roman" w:cs="Times New Roman"/>
                <w:color w:val="auto"/>
                <w:spacing w:val="-1"/>
                <w:highlight w:val="none"/>
              </w:rPr>
              <w:t>）</w:t>
            </w:r>
          </w:p>
        </w:tc>
        <w:tc>
          <w:tcPr>
            <w:tcW w:w="1148" w:type="dxa"/>
            <w:vMerge w:val="continue"/>
            <w:tcBorders>
              <w:tl2br w:val="nil"/>
              <w:tr2bl w:val="nil"/>
            </w:tcBorders>
            <w:vAlign w:val="center"/>
          </w:tcPr>
          <w:p w14:paraId="08E7ACF8">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3EB9EF62">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412930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48" w:hRule="atLeast"/>
          <w:jc w:val="center"/>
        </w:trPr>
        <w:tc>
          <w:tcPr>
            <w:tcW w:w="1073" w:type="dxa"/>
            <w:vMerge w:val="continue"/>
            <w:tcBorders>
              <w:tl2br w:val="nil"/>
              <w:tr2bl w:val="nil"/>
            </w:tcBorders>
            <w:vAlign w:val="center"/>
          </w:tcPr>
          <w:p w14:paraId="5336282F">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17094205">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因施工浇筑需要连续作业的施工前</w:t>
            </w:r>
            <w:r>
              <w:rPr>
                <w:rFonts w:hint="default" w:ascii="Times New Roman" w:hAnsi="Times New Roman" w:eastAsia="Times New Roman" w:cs="Times New Roman"/>
                <w:color w:val="auto"/>
                <w:spacing w:val="-2"/>
                <w:highlight w:val="none"/>
              </w:rPr>
              <w:t>3</w:t>
            </w:r>
            <w:r>
              <w:rPr>
                <w:rFonts w:hint="default" w:ascii="Times New Roman" w:hAnsi="Times New Roman" w:cs="Times New Roman"/>
                <w:color w:val="auto"/>
                <w:spacing w:val="-2"/>
                <w:highlight w:val="none"/>
              </w:rPr>
              <w:t>天内，由施工</w:t>
            </w:r>
          </w:p>
          <w:p w14:paraId="0B0750A3">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单位报环保部门审批</w:t>
            </w:r>
          </w:p>
        </w:tc>
        <w:tc>
          <w:tcPr>
            <w:tcW w:w="1148" w:type="dxa"/>
            <w:vMerge w:val="continue"/>
            <w:tcBorders>
              <w:tl2br w:val="nil"/>
              <w:tr2bl w:val="nil"/>
            </w:tcBorders>
            <w:vAlign w:val="center"/>
          </w:tcPr>
          <w:p w14:paraId="5098AA58">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40A6A181">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000541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1073" w:type="dxa"/>
            <w:vMerge w:val="restart"/>
            <w:tcBorders>
              <w:tl2br w:val="nil"/>
              <w:tr2bl w:val="nil"/>
            </w:tcBorders>
            <w:vAlign w:val="center"/>
          </w:tcPr>
          <w:p w14:paraId="1F13369A">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废水</w:t>
            </w:r>
          </w:p>
        </w:tc>
        <w:tc>
          <w:tcPr>
            <w:tcW w:w="4839" w:type="dxa"/>
            <w:tcBorders>
              <w:tl2br w:val="nil"/>
              <w:tr2bl w:val="nil"/>
            </w:tcBorders>
            <w:vAlign w:val="center"/>
          </w:tcPr>
          <w:p w14:paraId="6544A90B">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施工人员生活污水应集中排入防渗旱厕</w:t>
            </w:r>
          </w:p>
        </w:tc>
        <w:tc>
          <w:tcPr>
            <w:tcW w:w="1148" w:type="dxa"/>
            <w:vMerge w:val="continue"/>
            <w:tcBorders>
              <w:tl2br w:val="nil"/>
              <w:tr2bl w:val="nil"/>
            </w:tcBorders>
            <w:vAlign w:val="center"/>
          </w:tcPr>
          <w:p w14:paraId="0FCAB017">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restart"/>
            <w:tcBorders>
              <w:tl2br w:val="nil"/>
              <w:tr2bl w:val="nil"/>
            </w:tcBorders>
            <w:vAlign w:val="center"/>
          </w:tcPr>
          <w:p w14:paraId="12412A05">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对于污水收集设施、水土流失情况进行认真检查</w:t>
            </w:r>
          </w:p>
        </w:tc>
      </w:tr>
      <w:tr w14:paraId="33F00EA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71" w:hRule="atLeast"/>
          <w:jc w:val="center"/>
        </w:trPr>
        <w:tc>
          <w:tcPr>
            <w:tcW w:w="1073" w:type="dxa"/>
            <w:vMerge w:val="continue"/>
            <w:tcBorders>
              <w:tl2br w:val="nil"/>
              <w:tr2bl w:val="nil"/>
            </w:tcBorders>
            <w:vAlign w:val="center"/>
          </w:tcPr>
          <w:p w14:paraId="7852D583">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4839" w:type="dxa"/>
            <w:tcBorders>
              <w:tl2br w:val="nil"/>
              <w:tr2bl w:val="nil"/>
            </w:tcBorders>
            <w:vAlign w:val="center"/>
          </w:tcPr>
          <w:p w14:paraId="4B16164B">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避免在雨季进行基础开挖施工</w:t>
            </w:r>
          </w:p>
        </w:tc>
        <w:tc>
          <w:tcPr>
            <w:tcW w:w="1148" w:type="dxa"/>
            <w:vMerge w:val="continue"/>
            <w:tcBorders>
              <w:tl2br w:val="nil"/>
              <w:tr2bl w:val="nil"/>
            </w:tcBorders>
            <w:vAlign w:val="center"/>
          </w:tcPr>
          <w:p w14:paraId="5DD37313">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vMerge w:val="continue"/>
            <w:tcBorders>
              <w:tl2br w:val="nil"/>
              <w:tr2bl w:val="nil"/>
            </w:tcBorders>
            <w:vAlign w:val="center"/>
          </w:tcPr>
          <w:p w14:paraId="233D496C">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r>
      <w:tr w14:paraId="2A757C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73" w:hRule="atLeast"/>
          <w:jc w:val="center"/>
        </w:trPr>
        <w:tc>
          <w:tcPr>
            <w:tcW w:w="1073" w:type="dxa"/>
            <w:tcBorders>
              <w:tl2br w:val="nil"/>
              <w:tr2bl w:val="nil"/>
            </w:tcBorders>
            <w:vAlign w:val="center"/>
          </w:tcPr>
          <w:p w14:paraId="58CE4B0A">
            <w:pPr>
              <w:pStyle w:val="35"/>
              <w:keepNext w:val="0"/>
              <w:keepLines w:val="0"/>
              <w:pageBreakBefore w:val="0"/>
              <w:widowControl/>
              <w:kinsoku/>
              <w:wordWrap w:val="0"/>
              <w:overflowPunct/>
              <w:topLinePunct/>
              <w:autoSpaceDE/>
              <w:autoSpaceDN/>
              <w:bidi w:val="0"/>
              <w:adjustRightInd w:val="0"/>
              <w:snapToGrid w:val="0"/>
              <w:spacing w:line="240" w:lineRule="auto"/>
              <w:ind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建筑及生</w:t>
            </w:r>
            <w:r>
              <w:rPr>
                <w:rFonts w:hint="default" w:ascii="Times New Roman" w:hAnsi="Times New Roman" w:cs="Times New Roman"/>
                <w:color w:val="auto"/>
                <w:spacing w:val="-2"/>
                <w:highlight w:val="none"/>
              </w:rPr>
              <w:t>活垃圾</w:t>
            </w:r>
          </w:p>
        </w:tc>
        <w:tc>
          <w:tcPr>
            <w:tcW w:w="4839" w:type="dxa"/>
            <w:tcBorders>
              <w:tl2br w:val="nil"/>
              <w:tr2bl w:val="nil"/>
            </w:tcBorders>
            <w:vAlign w:val="center"/>
          </w:tcPr>
          <w:p w14:paraId="67CA8731">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建筑垃圾及多余弃土及时用于场地平整，及时压实</w:t>
            </w:r>
          </w:p>
        </w:tc>
        <w:tc>
          <w:tcPr>
            <w:tcW w:w="1148" w:type="dxa"/>
            <w:vMerge w:val="continue"/>
            <w:tcBorders>
              <w:tl2br w:val="nil"/>
              <w:tr2bl w:val="nil"/>
            </w:tcBorders>
            <w:vAlign w:val="center"/>
          </w:tcPr>
          <w:p w14:paraId="53AB7701">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sz w:val="21"/>
                <w:highlight w:val="none"/>
              </w:rPr>
            </w:pPr>
          </w:p>
        </w:tc>
        <w:tc>
          <w:tcPr>
            <w:tcW w:w="1925" w:type="dxa"/>
            <w:tcBorders>
              <w:tl2br w:val="nil"/>
              <w:tr2bl w:val="nil"/>
            </w:tcBorders>
            <w:vAlign w:val="center"/>
          </w:tcPr>
          <w:p w14:paraId="21A31B50">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对固体废弃物的处</w:t>
            </w:r>
            <w:r>
              <w:rPr>
                <w:rFonts w:hint="default" w:ascii="Times New Roman" w:hAnsi="Times New Roman" w:cs="Times New Roman"/>
                <w:color w:val="auto"/>
                <w:spacing w:val="-2"/>
                <w:highlight w:val="none"/>
              </w:rPr>
              <w:t>理及去向进行检查</w:t>
            </w:r>
          </w:p>
        </w:tc>
      </w:tr>
    </w:tbl>
    <w:p w14:paraId="4510E2CC">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宋体" w:cs="Times New Roman"/>
          <w:b/>
          <w:bCs/>
          <w:color w:val="auto"/>
          <w:spacing w:val="-2"/>
          <w:sz w:val="24"/>
          <w:szCs w:val="24"/>
          <w:highlight w:val="none"/>
          <w:lang w:val="en-US" w:eastAsia="zh-CN"/>
        </w:rPr>
      </w:pPr>
      <w:r>
        <w:rPr>
          <w:rFonts w:hint="default" w:ascii="Times New Roman" w:hAnsi="Times New Roman" w:eastAsia="宋体" w:cs="Times New Roman"/>
          <w:b/>
          <w:bCs/>
          <w:color w:val="auto"/>
          <w:spacing w:val="-2"/>
          <w:sz w:val="24"/>
          <w:szCs w:val="24"/>
          <w:highlight w:val="none"/>
          <w:lang w:val="en-US" w:eastAsia="zh-CN"/>
        </w:rPr>
        <w:t>8.1.4.2运行期环境管理计划</w:t>
      </w:r>
    </w:p>
    <w:p w14:paraId="5F58C743">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right="0" w:rightChars="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snapToGrid w:val="0"/>
          <w:color w:val="auto"/>
          <w:kern w:val="0"/>
          <w:sz w:val="24"/>
          <w:szCs w:val="24"/>
          <w:highlight w:val="none"/>
          <w:lang w:val="en-US" w:eastAsia="en-US" w:bidi="ar-SA"/>
        </w:rPr>
        <w:t>（1）</w:t>
      </w:r>
      <w:r>
        <w:rPr>
          <w:rFonts w:hint="default" w:ascii="Times New Roman" w:hAnsi="Times New Roman" w:eastAsia="宋体" w:cs="Times New Roman"/>
          <w:color w:val="auto"/>
          <w:sz w:val="24"/>
          <w:szCs w:val="24"/>
          <w:highlight w:val="none"/>
        </w:rPr>
        <w:t>环保管理机构应对场内环保实行统一管理，并对场区的环境质量全面进行监测。</w:t>
      </w:r>
    </w:p>
    <w:p w14:paraId="7315BAA0">
      <w:pPr>
        <w:keepNext w:val="0"/>
        <w:keepLines w:val="0"/>
        <w:pageBreakBefore w:val="0"/>
        <w:widowControl/>
        <w:numPr>
          <w:ilvl w:val="0"/>
          <w:numId w:val="0"/>
        </w:numPr>
        <w:kinsoku/>
        <w:wordWrap w:val="0"/>
        <w:overflowPunct/>
        <w:topLinePunct/>
        <w:autoSpaceDE/>
        <w:autoSpaceDN/>
        <w:bidi w:val="0"/>
        <w:adjustRightInd w:val="0"/>
        <w:snapToGrid w:val="0"/>
        <w:spacing w:line="360" w:lineRule="auto"/>
        <w:ind w:left="0" w:leftChars="0" w:right="0" w:rightChars="0"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（2）环保管理机构应做好日常环保设施与生产主体设备的统一管理，加强维护、定期检查，确保污染治理设施与主体设备正常运行。当治理设施发生故障时，应启动应急预案，防止污染事故的发生。</w:t>
      </w:r>
    </w:p>
    <w:p w14:paraId="26D25A31">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（3）定期对各牛舍、</w:t>
      </w:r>
      <w:r>
        <w:rPr>
          <w:rFonts w:hint="default" w:ascii="Times New Roman" w:hAnsi="Times New Roman" w:eastAsia="宋体" w:cs="Times New Roman"/>
          <w:color w:val="auto"/>
          <w:sz w:val="24"/>
          <w:szCs w:val="24"/>
          <w:highlight w:val="none"/>
          <w:lang w:eastAsia="zh-CN"/>
        </w:rPr>
        <w:t>粪污储存间</w:t>
      </w:r>
      <w:r>
        <w:rPr>
          <w:rFonts w:hint="default" w:ascii="Times New Roman" w:hAnsi="Times New Roman" w:eastAsia="宋体" w:cs="Times New Roman"/>
          <w:color w:val="auto"/>
          <w:sz w:val="24"/>
          <w:szCs w:val="24"/>
          <w:highlight w:val="none"/>
        </w:rPr>
        <w:t>的环保工作情况进行考核，制定考核与奖惩的具体办法，将环保考核纳入生产考核的主要部分。</w:t>
      </w:r>
    </w:p>
    <w:p w14:paraId="4A51E6DF">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（4）对主要污染源进行定期监测，建立污染源档案。发现污染物非正常排放时，应分析原因，并及时采取相应措施，以控制污染，使污染物满足达标排放要求。</w:t>
      </w:r>
    </w:p>
    <w:p w14:paraId="6FE3DC3B">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（5）接受省市环保部门的检查、指导，参加有关会议及经验交流活动。</w:t>
      </w:r>
    </w:p>
    <w:p w14:paraId="6D0230A4">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3"/>
        <w:rPr>
          <w:rFonts w:hint="default" w:ascii="Times New Roman" w:hAnsi="Times New Roman" w:eastAsia="宋体" w:cs="Times New Roman"/>
          <w:b/>
          <w:bCs/>
          <w:color w:val="auto"/>
          <w:spacing w:val="-2"/>
          <w:sz w:val="24"/>
          <w:szCs w:val="24"/>
          <w:highlight w:val="none"/>
          <w:lang w:val="en-US" w:eastAsia="zh-CN"/>
        </w:rPr>
      </w:pPr>
      <w:r>
        <w:rPr>
          <w:rFonts w:hint="default" w:ascii="Times New Roman" w:hAnsi="Times New Roman" w:eastAsia="宋体" w:cs="Times New Roman"/>
          <w:b/>
          <w:bCs/>
          <w:color w:val="auto"/>
          <w:spacing w:val="-2"/>
          <w:sz w:val="24"/>
          <w:szCs w:val="24"/>
          <w:highlight w:val="none"/>
          <w:lang w:val="en-US" w:eastAsia="zh-CN"/>
        </w:rPr>
        <w:t>8.1.4.3污染物排放清单</w:t>
      </w:r>
    </w:p>
    <w:p w14:paraId="2D120EFB">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lang w:val="en-US"/>
        </w:rPr>
      </w:pPr>
      <w:r>
        <w:rPr>
          <w:rFonts w:hint="default" w:ascii="Times New Roman" w:hAnsi="Times New Roman" w:eastAsia="宋体" w:cs="Times New Roman"/>
          <w:color w:val="auto"/>
          <w:sz w:val="24"/>
          <w:szCs w:val="24"/>
          <w:highlight w:val="none"/>
          <w:lang w:val="en-US" w:eastAsia="zh-CN"/>
        </w:rPr>
        <w:t>本项目运营期大气污染物主要有养殖区的恶臭气体；废水主要职工生活污水；噪声主要是设备运行噪 声和牛叫声；固废主要是牛粪</w:t>
      </w:r>
      <w:r>
        <w:rPr>
          <w:rFonts w:hint="eastAsia" w:ascii="Times New Roman" w:hAnsi="Times New Roman" w:eastAsia="宋体" w:cs="Times New Roman"/>
          <w:color w:val="auto"/>
          <w:sz w:val="24"/>
          <w:szCs w:val="24"/>
          <w:highlight w:val="none"/>
          <w:lang w:val="en-US" w:eastAsia="zh-CN"/>
        </w:rPr>
        <w:t>垫料</w:t>
      </w:r>
      <w:r>
        <w:rPr>
          <w:rFonts w:hint="default" w:ascii="Times New Roman" w:hAnsi="Times New Roman" w:eastAsia="宋体" w:cs="Times New Roman"/>
          <w:color w:val="auto"/>
          <w:sz w:val="24"/>
          <w:szCs w:val="24"/>
          <w:highlight w:val="none"/>
          <w:lang w:val="en-US" w:eastAsia="zh-CN"/>
        </w:rPr>
        <w:t>、病死牛</w:t>
      </w:r>
      <w:r>
        <w:rPr>
          <w:rFonts w:hint="eastAsia" w:ascii="Times New Roman" w:hAnsi="Times New Roman" w:eastAsia="宋体" w:cs="Times New Roman"/>
          <w:color w:val="auto"/>
          <w:sz w:val="24"/>
          <w:szCs w:val="24"/>
          <w:highlight w:val="none"/>
          <w:lang w:val="en-US" w:eastAsia="zh-CN"/>
        </w:rPr>
        <w:t>、分娩废物</w:t>
      </w:r>
      <w:r>
        <w:rPr>
          <w:rFonts w:hint="default" w:ascii="Times New Roman" w:hAnsi="Times New Roman" w:eastAsia="宋体" w:cs="Times New Roman"/>
          <w:color w:val="auto"/>
          <w:sz w:val="24"/>
          <w:szCs w:val="24"/>
          <w:highlight w:val="none"/>
          <w:lang w:val="en-US" w:eastAsia="zh-CN"/>
        </w:rPr>
        <w:t>、职工生活垃圾、医疗废物。本项目污染源排放清单见下表。</w:t>
      </w:r>
    </w:p>
    <w:p w14:paraId="061E321D">
      <w:pPr>
        <w:keepNext w:val="0"/>
        <w:keepLines w:val="0"/>
        <w:pageBreakBefore w:val="0"/>
        <w:widowControl/>
        <w:kinsoku/>
        <w:wordWrap w:val="0"/>
        <w:overflowPunct/>
        <w:topLinePunct/>
        <w:autoSpaceDE/>
        <w:autoSpaceDN/>
        <w:bidi w:val="0"/>
        <w:adjustRightInd w:val="0"/>
        <w:snapToGrid w:val="0"/>
        <w:spacing w:before="91" w:line="360" w:lineRule="auto"/>
        <w:ind w:left="1"/>
        <w:textAlignment w:val="baseline"/>
        <w:rPr>
          <w:rFonts w:hint="default" w:ascii="Times New Roman" w:hAnsi="Times New Roman" w:eastAsia="Times New Roman" w:cs="Times New Roman"/>
          <w:b/>
          <w:bCs/>
          <w:color w:val="auto"/>
          <w:spacing w:val="-2"/>
          <w:sz w:val="28"/>
          <w:szCs w:val="28"/>
          <w:highlight w:val="none"/>
        </w:rPr>
        <w:sectPr>
          <w:headerReference r:id="rId39" w:type="default"/>
          <w:footerReference r:id="rId40"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20D50D35">
      <w:pPr>
        <w:pageBreakBefore w:val="0"/>
        <w:kinsoku/>
        <w:wordWrap w:val="0"/>
        <w:overflowPunct/>
        <w:topLinePunct/>
        <w:autoSpaceDE/>
        <w:autoSpaceDN/>
        <w:bidi w:val="0"/>
        <w:jc w:val="center"/>
        <w:rPr>
          <w:rFonts w:hint="default" w:ascii="Times New Roman" w:hAnsi="Times New Roman" w:eastAsia="宋体" w:cs="Times New Roman"/>
          <w:b/>
          <w:bCs/>
          <w:color w:val="FF0000"/>
          <w:spacing w:val="-2"/>
          <w:sz w:val="24"/>
          <w:szCs w:val="24"/>
          <w:highlight w:val="none"/>
          <w:lang w:val="en-US" w:eastAsia="zh-CN"/>
        </w:rPr>
      </w:pPr>
      <w:r>
        <w:rPr>
          <w:rFonts w:hint="default" w:ascii="Times New Roman" w:hAnsi="Times New Roman" w:eastAsia="宋体" w:cs="Times New Roman"/>
          <w:b/>
          <w:bCs/>
          <w:color w:val="FF0000"/>
          <w:spacing w:val="-2"/>
          <w:sz w:val="24"/>
          <w:szCs w:val="24"/>
          <w:highlight w:val="none"/>
          <w:lang w:val="en-US" w:eastAsia="zh-CN"/>
        </w:rPr>
        <w:t>表8.1-2本项目污染物排放清单</w:t>
      </w:r>
    </w:p>
    <w:tbl>
      <w:tblPr>
        <w:tblStyle w:val="27"/>
        <w:tblW w:w="1512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70"/>
        <w:gridCol w:w="361"/>
        <w:gridCol w:w="697"/>
        <w:gridCol w:w="1958"/>
        <w:gridCol w:w="3277"/>
        <w:gridCol w:w="1289"/>
        <w:gridCol w:w="1284"/>
        <w:gridCol w:w="1350"/>
        <w:gridCol w:w="849"/>
        <w:gridCol w:w="2685"/>
      </w:tblGrid>
      <w:tr w14:paraId="05976A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70" w:type="dxa"/>
            <w:vMerge w:val="restart"/>
            <w:tcBorders>
              <w:tl2br w:val="nil"/>
              <w:tr2bl w:val="nil"/>
            </w:tcBorders>
            <w:vAlign w:val="center"/>
          </w:tcPr>
          <w:p w14:paraId="622D4E8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污染类别</w:t>
            </w:r>
          </w:p>
        </w:tc>
        <w:tc>
          <w:tcPr>
            <w:tcW w:w="1058" w:type="dxa"/>
            <w:gridSpan w:val="2"/>
            <w:vMerge w:val="restart"/>
            <w:tcBorders>
              <w:tl2br w:val="nil"/>
              <w:tr2bl w:val="nil"/>
            </w:tcBorders>
            <w:vAlign w:val="center"/>
          </w:tcPr>
          <w:p w14:paraId="6BBB5C4E">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产物工序</w:t>
            </w:r>
          </w:p>
        </w:tc>
        <w:tc>
          <w:tcPr>
            <w:tcW w:w="1958" w:type="dxa"/>
            <w:vMerge w:val="restart"/>
            <w:tcBorders>
              <w:tl2br w:val="nil"/>
              <w:tr2bl w:val="nil"/>
            </w:tcBorders>
            <w:vAlign w:val="center"/>
          </w:tcPr>
          <w:p w14:paraId="1D4E577D">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污染源名称</w:t>
            </w:r>
          </w:p>
        </w:tc>
        <w:tc>
          <w:tcPr>
            <w:tcW w:w="3277" w:type="dxa"/>
            <w:vMerge w:val="restart"/>
            <w:tcBorders>
              <w:tl2br w:val="nil"/>
              <w:tr2bl w:val="nil"/>
            </w:tcBorders>
            <w:vAlign w:val="center"/>
          </w:tcPr>
          <w:p w14:paraId="33C94C8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治理措施及设备运行参数</w:t>
            </w:r>
          </w:p>
        </w:tc>
        <w:tc>
          <w:tcPr>
            <w:tcW w:w="4772" w:type="dxa"/>
            <w:gridSpan w:val="4"/>
            <w:tcBorders>
              <w:tl2br w:val="nil"/>
              <w:tr2bl w:val="nil"/>
            </w:tcBorders>
            <w:vAlign w:val="center"/>
          </w:tcPr>
          <w:p w14:paraId="7BCE135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排放状况</w:t>
            </w:r>
          </w:p>
        </w:tc>
        <w:tc>
          <w:tcPr>
            <w:tcW w:w="2685" w:type="dxa"/>
            <w:vMerge w:val="restart"/>
            <w:tcBorders>
              <w:tl2br w:val="nil"/>
              <w:tr2bl w:val="nil"/>
            </w:tcBorders>
            <w:vAlign w:val="center"/>
          </w:tcPr>
          <w:p w14:paraId="1C518FC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执行标准</w:t>
            </w:r>
          </w:p>
        </w:tc>
      </w:tr>
      <w:tr w14:paraId="6F64E4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70" w:type="dxa"/>
            <w:vMerge w:val="continue"/>
            <w:tcBorders>
              <w:tl2br w:val="nil"/>
              <w:tr2bl w:val="nil"/>
            </w:tcBorders>
            <w:vAlign w:val="center"/>
          </w:tcPr>
          <w:p w14:paraId="313264AE">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058" w:type="dxa"/>
            <w:gridSpan w:val="2"/>
            <w:vMerge w:val="continue"/>
            <w:tcBorders>
              <w:tl2br w:val="nil"/>
              <w:tr2bl w:val="nil"/>
            </w:tcBorders>
            <w:vAlign w:val="center"/>
          </w:tcPr>
          <w:p w14:paraId="704ACD15">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958" w:type="dxa"/>
            <w:vMerge w:val="continue"/>
            <w:tcBorders>
              <w:tl2br w:val="nil"/>
              <w:tr2bl w:val="nil"/>
            </w:tcBorders>
            <w:vAlign w:val="center"/>
          </w:tcPr>
          <w:p w14:paraId="6E7E97EF">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3277" w:type="dxa"/>
            <w:vMerge w:val="continue"/>
            <w:tcBorders>
              <w:tl2br w:val="nil"/>
              <w:tr2bl w:val="nil"/>
            </w:tcBorders>
            <w:vAlign w:val="center"/>
          </w:tcPr>
          <w:p w14:paraId="157704E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289" w:type="dxa"/>
            <w:tcBorders>
              <w:tl2br w:val="nil"/>
              <w:tr2bl w:val="nil"/>
            </w:tcBorders>
            <w:vAlign w:val="center"/>
          </w:tcPr>
          <w:p w14:paraId="74DF3552">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浓度</w:t>
            </w:r>
          </w:p>
          <w:p w14:paraId="3BE1998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（mg/m</w:t>
            </w:r>
            <w:r>
              <w:rPr>
                <w:rFonts w:hint="default" w:ascii="Times New Roman" w:hAnsi="Times New Roman" w:eastAsia="宋体" w:cs="Times New Roman"/>
                <w:b w:val="0"/>
                <w:bCs w:val="0"/>
                <w:color w:val="auto"/>
                <w:spacing w:val="-2"/>
                <w:sz w:val="21"/>
                <w:szCs w:val="21"/>
                <w:highlight w:val="none"/>
                <w:vertAlign w:val="superscript"/>
                <w:lang w:val="en-US" w:eastAsia="zh-CN"/>
              </w:rPr>
              <w:t>3</w:t>
            </w: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284" w:type="dxa"/>
            <w:tcBorders>
              <w:tl2br w:val="nil"/>
              <w:tr2bl w:val="nil"/>
            </w:tcBorders>
            <w:vAlign w:val="center"/>
          </w:tcPr>
          <w:p w14:paraId="70DF67B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速率</w:t>
            </w:r>
          </w:p>
          <w:p w14:paraId="5626069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（kg/h）</w:t>
            </w:r>
          </w:p>
        </w:tc>
        <w:tc>
          <w:tcPr>
            <w:tcW w:w="1350" w:type="dxa"/>
            <w:tcBorders>
              <w:tl2br w:val="nil"/>
              <w:tr2bl w:val="nil"/>
            </w:tcBorders>
            <w:vAlign w:val="center"/>
          </w:tcPr>
          <w:p w14:paraId="7F7E487B">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排放量</w:t>
            </w:r>
          </w:p>
          <w:p w14:paraId="0394CF9B">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（t/a）</w:t>
            </w:r>
          </w:p>
        </w:tc>
        <w:tc>
          <w:tcPr>
            <w:tcW w:w="849" w:type="dxa"/>
            <w:tcBorders>
              <w:tl2br w:val="nil"/>
              <w:tr2bl w:val="nil"/>
            </w:tcBorders>
            <w:vAlign w:val="center"/>
          </w:tcPr>
          <w:p w14:paraId="7A54079C">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排放方式</w:t>
            </w:r>
          </w:p>
        </w:tc>
        <w:tc>
          <w:tcPr>
            <w:tcW w:w="2685" w:type="dxa"/>
            <w:vMerge w:val="continue"/>
            <w:tcBorders>
              <w:tl2br w:val="nil"/>
              <w:tr2bl w:val="nil"/>
            </w:tcBorders>
            <w:vAlign w:val="center"/>
          </w:tcPr>
          <w:p w14:paraId="1A8E1A61">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r>
      <w:tr w14:paraId="26589E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1370" w:type="dxa"/>
            <w:vMerge w:val="restart"/>
            <w:tcBorders>
              <w:tl2br w:val="nil"/>
              <w:tr2bl w:val="nil"/>
            </w:tcBorders>
            <w:vAlign w:val="center"/>
          </w:tcPr>
          <w:p w14:paraId="58F982F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废气</w:t>
            </w:r>
          </w:p>
        </w:tc>
        <w:tc>
          <w:tcPr>
            <w:tcW w:w="361" w:type="dxa"/>
            <w:vMerge w:val="restart"/>
            <w:tcBorders>
              <w:tl2br w:val="nil"/>
              <w:tr2bl w:val="nil"/>
            </w:tcBorders>
            <w:vAlign w:val="center"/>
          </w:tcPr>
          <w:p w14:paraId="5312DF19">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eastAsia" w:ascii="Times New Roman" w:hAnsi="Times New Roman" w:eastAsia="宋体" w:cs="Times New Roman"/>
                <w:b w:val="0"/>
                <w:bCs w:val="0"/>
                <w:color w:val="auto"/>
                <w:spacing w:val="-2"/>
                <w:sz w:val="21"/>
                <w:szCs w:val="21"/>
                <w:highlight w:val="none"/>
                <w:vertAlign w:val="baseline"/>
                <w:lang w:val="en-US" w:eastAsia="zh-CN"/>
              </w:rPr>
              <w:t>无组织</w:t>
            </w:r>
          </w:p>
        </w:tc>
        <w:tc>
          <w:tcPr>
            <w:tcW w:w="697" w:type="dxa"/>
            <w:vMerge w:val="restart"/>
            <w:tcBorders>
              <w:tl2br w:val="nil"/>
              <w:tr2bl w:val="nil"/>
            </w:tcBorders>
            <w:shd w:val="clear" w:color="auto" w:fill="auto"/>
            <w:vAlign w:val="center"/>
          </w:tcPr>
          <w:p w14:paraId="0E1F0822">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养殖场</w:t>
            </w:r>
          </w:p>
        </w:tc>
        <w:tc>
          <w:tcPr>
            <w:tcW w:w="1958" w:type="dxa"/>
            <w:tcBorders>
              <w:tl2br w:val="nil"/>
              <w:tr2bl w:val="nil"/>
            </w:tcBorders>
            <w:vAlign w:val="center"/>
          </w:tcPr>
          <w:p w14:paraId="25494F0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NH</w:t>
            </w:r>
            <w:r>
              <w:rPr>
                <w:rFonts w:hint="default" w:ascii="Times New Roman" w:hAnsi="Times New Roman" w:eastAsia="宋体" w:cs="Times New Roman"/>
                <w:b w:val="0"/>
                <w:bCs w:val="0"/>
                <w:color w:val="auto"/>
                <w:spacing w:val="-2"/>
                <w:sz w:val="21"/>
                <w:szCs w:val="21"/>
                <w:highlight w:val="none"/>
                <w:vertAlign w:val="subscript"/>
                <w:lang w:val="en-US" w:eastAsia="zh-CN"/>
              </w:rPr>
              <w:t>3</w:t>
            </w:r>
          </w:p>
        </w:tc>
        <w:tc>
          <w:tcPr>
            <w:tcW w:w="3277" w:type="dxa"/>
            <w:vMerge w:val="restart"/>
            <w:tcBorders>
              <w:tl2br w:val="nil"/>
              <w:tr2bl w:val="nil"/>
            </w:tcBorders>
            <w:vAlign w:val="center"/>
          </w:tcPr>
          <w:p w14:paraId="0FE57BD6">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lang w:val="en-US"/>
              </w:rPr>
            </w:pPr>
            <w:r>
              <w:rPr>
                <w:rFonts w:hint="default" w:ascii="Times New Roman" w:hAnsi="Times New Roman" w:eastAsia="宋体" w:cs="Times New Roman"/>
                <w:snapToGrid w:val="0"/>
                <w:color w:val="auto"/>
                <w:kern w:val="0"/>
                <w:sz w:val="21"/>
                <w:szCs w:val="21"/>
                <w:highlight w:val="none"/>
                <w:lang w:val="en-US" w:eastAsia="zh-CN" w:bidi="ar"/>
              </w:rPr>
              <w:t>控制饲养密度、加强通风，喷洒环保型</w:t>
            </w:r>
            <w:r>
              <w:rPr>
                <w:rFonts w:hint="eastAsia" w:ascii="Times New Roman" w:hAnsi="Times New Roman" w:eastAsia="宋体" w:cs="Times New Roman"/>
                <w:snapToGrid w:val="0"/>
                <w:color w:val="auto"/>
                <w:kern w:val="0"/>
                <w:sz w:val="21"/>
                <w:szCs w:val="21"/>
                <w:highlight w:val="none"/>
                <w:lang w:val="en-US" w:eastAsia="zh-CN" w:bidi="ar"/>
              </w:rPr>
              <w:t>微生物除臭剂</w:t>
            </w:r>
            <w:r>
              <w:rPr>
                <w:rFonts w:hint="default" w:ascii="Times New Roman" w:hAnsi="Times New Roman" w:eastAsia="宋体" w:cs="Times New Roman"/>
                <w:snapToGrid w:val="0"/>
                <w:color w:val="auto"/>
                <w:kern w:val="0"/>
                <w:sz w:val="21"/>
                <w:szCs w:val="21"/>
                <w:highlight w:val="none"/>
                <w:lang w:val="en-US" w:eastAsia="zh-CN" w:bidi="ar"/>
              </w:rPr>
              <w:t>等，去除效率</w:t>
            </w:r>
            <w:r>
              <w:rPr>
                <w:rFonts w:hint="eastAsia" w:ascii="Times New Roman" w:hAnsi="Times New Roman" w:eastAsia="宋体" w:cs="Times New Roman"/>
                <w:snapToGrid w:val="0"/>
                <w:color w:val="auto"/>
                <w:kern w:val="0"/>
                <w:sz w:val="21"/>
                <w:szCs w:val="21"/>
                <w:highlight w:val="none"/>
                <w:lang w:val="en-US" w:eastAsia="zh-CN" w:bidi="ar"/>
              </w:rPr>
              <w:t>85</w:t>
            </w:r>
            <w:r>
              <w:rPr>
                <w:rFonts w:hint="default" w:ascii="Times New Roman" w:hAnsi="Times New Roman" w:eastAsia="宋体" w:cs="Times New Roman"/>
                <w:snapToGrid w:val="0"/>
                <w:color w:val="auto"/>
                <w:kern w:val="0"/>
                <w:sz w:val="21"/>
                <w:szCs w:val="21"/>
                <w:highlight w:val="none"/>
                <w:lang w:val="en-US" w:eastAsia="zh-CN" w:bidi="ar"/>
              </w:rPr>
              <w:t>%</w:t>
            </w:r>
          </w:p>
        </w:tc>
        <w:tc>
          <w:tcPr>
            <w:tcW w:w="1289" w:type="dxa"/>
            <w:tcBorders>
              <w:tl2br w:val="nil"/>
              <w:tr2bl w:val="nil"/>
            </w:tcBorders>
            <w:vAlign w:val="center"/>
          </w:tcPr>
          <w:p w14:paraId="2773F85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284" w:type="dxa"/>
            <w:tcBorders>
              <w:tl2br w:val="nil"/>
              <w:tr2bl w:val="nil"/>
            </w:tcBorders>
            <w:vAlign w:val="center"/>
          </w:tcPr>
          <w:p w14:paraId="5A1A34C1">
            <w:pPr>
              <w:keepNext w:val="0"/>
              <w:keepLines w:val="0"/>
              <w:pageBreakBefore w:val="0"/>
              <w:widowControl w:val="0"/>
              <w:kinsoku/>
              <w:wordWrap/>
              <w:overflowPunct/>
              <w:topLinePunct w:val="0"/>
              <w:bidi w:val="0"/>
              <w:adjustRightInd/>
              <w:snapToGrid/>
              <w:spacing w:line="240" w:lineRule="auto"/>
              <w:jc w:val="center"/>
              <w:rPr>
                <w:rFonts w:hint="default" w:ascii="Times New Roman" w:hAnsi="Times New Roman" w:eastAsia="宋体" w:cs="Times New Roman"/>
                <w:b w:val="0"/>
                <w:bCs w:val="0"/>
                <w:color w:val="FF0000"/>
                <w:spacing w:val="-2"/>
                <w:sz w:val="21"/>
                <w:szCs w:val="21"/>
                <w:highlight w:val="none"/>
                <w:vertAlign w:val="baseline"/>
                <w:lang w:val="en-US" w:eastAsia="zh-CN"/>
              </w:rPr>
            </w:pPr>
            <w:r>
              <w:rPr>
                <w:rFonts w:hint="eastAsia" w:ascii="Times New Roman" w:hAnsi="Times New Roman" w:eastAsia="宋体" w:cs="Times New Roman"/>
                <w:snapToGrid w:val="0"/>
                <w:color w:val="0000FF"/>
                <w:sz w:val="21"/>
                <w:szCs w:val="21"/>
                <w:highlight w:val="none"/>
                <w:lang w:val="en-US" w:eastAsia="zh-CN"/>
              </w:rPr>
              <w:t>0.147</w:t>
            </w:r>
          </w:p>
        </w:tc>
        <w:tc>
          <w:tcPr>
            <w:tcW w:w="1350" w:type="dxa"/>
            <w:tcBorders>
              <w:tl2br w:val="nil"/>
              <w:tr2bl w:val="nil"/>
            </w:tcBorders>
            <w:vAlign w:val="center"/>
          </w:tcPr>
          <w:p w14:paraId="6AE2C164">
            <w:pPr>
              <w:pStyle w:val="38"/>
              <w:keepNext w:val="0"/>
              <w:keepLines w:val="0"/>
              <w:pageBreakBefore w:val="0"/>
              <w:widowControl w:val="0"/>
              <w:kinsoku/>
              <w:wordWrap/>
              <w:overflowPunct/>
              <w:topLinePunct w:val="0"/>
              <w:bidi w:val="0"/>
              <w:adjustRightInd/>
              <w:snapToGrid/>
              <w:ind w:left="0" w:leftChars="0" w:firstLine="0" w:firstLineChars="0"/>
              <w:jc w:val="center"/>
              <w:rPr>
                <w:rFonts w:hint="default" w:ascii="Times New Roman" w:hAnsi="Times New Roman" w:eastAsia="宋体" w:cs="Times New Roman"/>
                <w:b w:val="0"/>
                <w:bCs w:val="0"/>
                <w:color w:val="FF0000"/>
                <w:spacing w:val="-2"/>
                <w:sz w:val="21"/>
                <w:szCs w:val="21"/>
                <w:highlight w:val="none"/>
                <w:vertAlign w:val="baseline"/>
                <w:lang w:val="en-US" w:eastAsia="zh-CN"/>
              </w:rPr>
            </w:pPr>
            <w:r>
              <w:rPr>
                <w:rFonts w:hint="eastAsia" w:ascii="Times New Roman" w:hAnsi="Times New Roman" w:eastAsia="宋体" w:cs="Times New Roman"/>
                <w:snapToGrid w:val="0"/>
                <w:color w:val="0000FF"/>
                <w:sz w:val="21"/>
                <w:szCs w:val="21"/>
                <w:highlight w:val="none"/>
                <w:lang w:val="en-US" w:eastAsia="zh-CN"/>
              </w:rPr>
              <w:t>0.1932</w:t>
            </w:r>
          </w:p>
        </w:tc>
        <w:tc>
          <w:tcPr>
            <w:tcW w:w="849" w:type="dxa"/>
            <w:tcBorders>
              <w:tl2br w:val="nil"/>
              <w:tr2bl w:val="nil"/>
            </w:tcBorders>
            <w:vAlign w:val="center"/>
          </w:tcPr>
          <w:p w14:paraId="137A17C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vMerge w:val="restart"/>
            <w:tcBorders>
              <w:tl2br w:val="nil"/>
              <w:tr2bl w:val="nil"/>
            </w:tcBorders>
            <w:vAlign w:val="center"/>
          </w:tcPr>
          <w:p w14:paraId="3EC7E211">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snapToGrid w:val="0"/>
                <w:color w:val="auto"/>
                <w:kern w:val="0"/>
                <w:sz w:val="21"/>
                <w:szCs w:val="21"/>
                <w:highlight w:val="none"/>
                <w:lang w:val="en-US" w:eastAsia="zh-CN" w:bidi="ar"/>
              </w:rPr>
              <w:t>《恶臭污染物排放标准》（GB14554-93表1中二级新改扩建标准</w:t>
            </w:r>
          </w:p>
        </w:tc>
      </w:tr>
      <w:tr w14:paraId="4544E6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370" w:type="dxa"/>
            <w:vMerge w:val="continue"/>
            <w:tcBorders>
              <w:tl2br w:val="nil"/>
              <w:tr2bl w:val="nil"/>
            </w:tcBorders>
            <w:vAlign w:val="center"/>
          </w:tcPr>
          <w:p w14:paraId="051AA42E">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361" w:type="dxa"/>
            <w:vMerge w:val="continue"/>
            <w:tcBorders>
              <w:tl2br w:val="nil"/>
              <w:tr2bl w:val="nil"/>
            </w:tcBorders>
            <w:vAlign w:val="center"/>
          </w:tcPr>
          <w:p w14:paraId="00216B1B">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697" w:type="dxa"/>
            <w:vMerge w:val="continue"/>
            <w:tcBorders>
              <w:tl2br w:val="nil"/>
              <w:tr2bl w:val="nil"/>
            </w:tcBorders>
            <w:vAlign w:val="center"/>
          </w:tcPr>
          <w:p w14:paraId="797A225E">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958" w:type="dxa"/>
            <w:tcBorders>
              <w:tl2br w:val="nil"/>
              <w:tr2bl w:val="nil"/>
            </w:tcBorders>
            <w:vAlign w:val="center"/>
          </w:tcPr>
          <w:p w14:paraId="09DD3A6B">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H</w:t>
            </w:r>
            <w:r>
              <w:rPr>
                <w:rFonts w:hint="default" w:ascii="Times New Roman" w:hAnsi="Times New Roman" w:eastAsia="宋体" w:cs="Times New Roman"/>
                <w:b w:val="0"/>
                <w:bCs w:val="0"/>
                <w:color w:val="auto"/>
                <w:spacing w:val="-2"/>
                <w:sz w:val="21"/>
                <w:szCs w:val="21"/>
                <w:highlight w:val="none"/>
                <w:vertAlign w:val="subscript"/>
                <w:lang w:val="en-US" w:eastAsia="zh-CN"/>
              </w:rPr>
              <w:t>2</w:t>
            </w:r>
            <w:r>
              <w:rPr>
                <w:rFonts w:hint="default" w:ascii="Times New Roman" w:hAnsi="Times New Roman" w:eastAsia="宋体" w:cs="Times New Roman"/>
                <w:b w:val="0"/>
                <w:bCs w:val="0"/>
                <w:color w:val="auto"/>
                <w:spacing w:val="-2"/>
                <w:sz w:val="21"/>
                <w:szCs w:val="21"/>
                <w:highlight w:val="none"/>
                <w:vertAlign w:val="baseline"/>
                <w:lang w:val="en-US" w:eastAsia="zh-CN"/>
              </w:rPr>
              <w:t>S</w:t>
            </w:r>
          </w:p>
        </w:tc>
        <w:tc>
          <w:tcPr>
            <w:tcW w:w="3277" w:type="dxa"/>
            <w:vMerge w:val="continue"/>
            <w:tcBorders>
              <w:tl2br w:val="nil"/>
              <w:tr2bl w:val="nil"/>
            </w:tcBorders>
            <w:vAlign w:val="center"/>
          </w:tcPr>
          <w:p w14:paraId="2F68EDFE">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c>
          <w:tcPr>
            <w:tcW w:w="1289" w:type="dxa"/>
            <w:tcBorders>
              <w:tl2br w:val="nil"/>
              <w:tr2bl w:val="nil"/>
            </w:tcBorders>
            <w:vAlign w:val="center"/>
          </w:tcPr>
          <w:p w14:paraId="0DC774A5">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284" w:type="dxa"/>
            <w:tcBorders>
              <w:tl2br w:val="nil"/>
              <w:tr2bl w:val="nil"/>
            </w:tcBorders>
            <w:vAlign w:val="center"/>
          </w:tcPr>
          <w:p w14:paraId="159576DC">
            <w:pPr>
              <w:keepNext w:val="0"/>
              <w:keepLines w:val="0"/>
              <w:pageBreakBefore w:val="0"/>
              <w:widowControl w:val="0"/>
              <w:kinsoku/>
              <w:wordWrap/>
              <w:overflowPunct/>
              <w:topLinePunct w:val="0"/>
              <w:bidi w:val="0"/>
              <w:adjustRightInd/>
              <w:snapToGrid/>
              <w:spacing w:line="240" w:lineRule="auto"/>
              <w:jc w:val="center"/>
              <w:rPr>
                <w:rFonts w:hint="default" w:ascii="Times New Roman" w:hAnsi="Times New Roman" w:eastAsia="宋体" w:cs="Times New Roman"/>
                <w:b w:val="0"/>
                <w:bCs w:val="0"/>
                <w:color w:val="FF0000"/>
                <w:spacing w:val="-2"/>
                <w:sz w:val="21"/>
                <w:szCs w:val="21"/>
                <w:highlight w:val="none"/>
                <w:vertAlign w:val="baseline"/>
                <w:lang w:val="en-US" w:eastAsia="zh-CN"/>
              </w:rPr>
            </w:pPr>
            <w:r>
              <w:rPr>
                <w:rFonts w:hint="eastAsia" w:ascii="Times New Roman" w:hAnsi="Times New Roman" w:eastAsia="宋体" w:cs="Times New Roman"/>
                <w:snapToGrid w:val="0"/>
                <w:color w:val="0000FF"/>
                <w:sz w:val="21"/>
                <w:szCs w:val="21"/>
                <w:highlight w:val="none"/>
                <w:lang w:val="en-US" w:eastAsia="zh-CN"/>
              </w:rPr>
              <w:t>0.0011</w:t>
            </w:r>
          </w:p>
        </w:tc>
        <w:tc>
          <w:tcPr>
            <w:tcW w:w="1350" w:type="dxa"/>
            <w:tcBorders>
              <w:tl2br w:val="nil"/>
              <w:tr2bl w:val="nil"/>
            </w:tcBorders>
            <w:vAlign w:val="center"/>
          </w:tcPr>
          <w:p w14:paraId="3CA473C3">
            <w:pPr>
              <w:pStyle w:val="38"/>
              <w:keepNext w:val="0"/>
              <w:keepLines w:val="0"/>
              <w:pageBreakBefore w:val="0"/>
              <w:widowControl w:val="0"/>
              <w:kinsoku/>
              <w:wordWrap/>
              <w:overflowPunct/>
              <w:topLinePunct w:val="0"/>
              <w:bidi w:val="0"/>
              <w:adjustRightInd/>
              <w:snapToGrid/>
              <w:ind w:left="0" w:leftChars="0" w:firstLine="0" w:firstLineChars="0"/>
              <w:jc w:val="center"/>
              <w:rPr>
                <w:rFonts w:hint="default" w:ascii="Times New Roman" w:hAnsi="Times New Roman" w:eastAsia="宋体" w:cs="Times New Roman"/>
                <w:b w:val="0"/>
                <w:bCs w:val="0"/>
                <w:color w:val="FF0000"/>
                <w:spacing w:val="-2"/>
                <w:sz w:val="21"/>
                <w:szCs w:val="21"/>
                <w:highlight w:val="none"/>
                <w:vertAlign w:val="baseline"/>
                <w:lang w:val="en-US" w:eastAsia="zh-CN"/>
              </w:rPr>
            </w:pPr>
            <w:r>
              <w:rPr>
                <w:rFonts w:hint="eastAsia" w:ascii="Times New Roman" w:hAnsi="Times New Roman" w:eastAsia="宋体" w:cs="Times New Roman"/>
                <w:snapToGrid w:val="0"/>
                <w:color w:val="0000FF"/>
                <w:sz w:val="21"/>
                <w:szCs w:val="21"/>
                <w:highlight w:val="none"/>
                <w:lang w:val="en-US" w:eastAsia="zh-CN"/>
              </w:rPr>
              <w:t>0.0014</w:t>
            </w:r>
          </w:p>
        </w:tc>
        <w:tc>
          <w:tcPr>
            <w:tcW w:w="849" w:type="dxa"/>
            <w:tcBorders>
              <w:tl2br w:val="nil"/>
              <w:tr2bl w:val="nil"/>
            </w:tcBorders>
            <w:vAlign w:val="center"/>
          </w:tcPr>
          <w:p w14:paraId="36F1344F">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vMerge w:val="continue"/>
            <w:tcBorders>
              <w:tl2br w:val="nil"/>
              <w:tr2bl w:val="nil"/>
            </w:tcBorders>
            <w:vAlign w:val="center"/>
          </w:tcPr>
          <w:p w14:paraId="1C0FE9F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r>
      <w:tr w14:paraId="18C714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3" w:hRule="atLeast"/>
          <w:jc w:val="center"/>
        </w:trPr>
        <w:tc>
          <w:tcPr>
            <w:tcW w:w="1370" w:type="dxa"/>
            <w:vMerge w:val="continue"/>
            <w:tcBorders>
              <w:tl2br w:val="nil"/>
              <w:tr2bl w:val="nil"/>
            </w:tcBorders>
            <w:vAlign w:val="center"/>
          </w:tcPr>
          <w:p w14:paraId="107201E1">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361" w:type="dxa"/>
            <w:vMerge w:val="restart"/>
            <w:tcBorders>
              <w:tl2br w:val="nil"/>
              <w:tr2bl w:val="nil"/>
            </w:tcBorders>
            <w:vAlign w:val="center"/>
          </w:tcPr>
          <w:p w14:paraId="170CCC82">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eastAsia" w:ascii="Times New Roman" w:hAnsi="Times New Roman" w:eastAsia="宋体" w:cs="Times New Roman"/>
                <w:b w:val="0"/>
                <w:bCs w:val="0"/>
                <w:color w:val="auto"/>
                <w:spacing w:val="-2"/>
                <w:sz w:val="21"/>
                <w:szCs w:val="21"/>
                <w:highlight w:val="none"/>
                <w:vertAlign w:val="baseline"/>
                <w:lang w:val="en-US" w:eastAsia="zh-CN"/>
              </w:rPr>
              <w:t>有组织</w:t>
            </w:r>
          </w:p>
        </w:tc>
        <w:tc>
          <w:tcPr>
            <w:tcW w:w="697" w:type="dxa"/>
            <w:vMerge w:val="restart"/>
            <w:tcBorders>
              <w:tl2br w:val="nil"/>
              <w:tr2bl w:val="nil"/>
            </w:tcBorders>
            <w:shd w:val="clear" w:color="auto" w:fill="auto"/>
            <w:vAlign w:val="center"/>
          </w:tcPr>
          <w:p w14:paraId="6C940A7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snapToGrid w:val="0"/>
                <w:color w:val="auto"/>
                <w:spacing w:val="-2"/>
                <w:kern w:val="0"/>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粪污储存间</w:t>
            </w:r>
          </w:p>
        </w:tc>
        <w:tc>
          <w:tcPr>
            <w:tcW w:w="1958" w:type="dxa"/>
            <w:tcBorders>
              <w:tl2br w:val="nil"/>
              <w:tr2bl w:val="nil"/>
            </w:tcBorders>
            <w:shd w:val="clear" w:color="auto" w:fill="auto"/>
            <w:vAlign w:val="center"/>
          </w:tcPr>
          <w:p w14:paraId="395B49FF">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snapToGrid w:val="0"/>
                <w:color w:val="auto"/>
                <w:spacing w:val="-2"/>
                <w:kern w:val="0"/>
                <w:sz w:val="21"/>
                <w:szCs w:val="21"/>
                <w:highlight w:val="none"/>
                <w:vertAlign w:val="baseline"/>
                <w:lang w:val="en-US" w:eastAsia="zh-CN" w:bidi="ar-SA"/>
              </w:rPr>
            </w:pPr>
            <w:r>
              <w:rPr>
                <w:rFonts w:hint="default" w:ascii="Times New Roman" w:hAnsi="Times New Roman" w:eastAsia="宋体" w:cs="Times New Roman"/>
                <w:b w:val="0"/>
                <w:bCs w:val="0"/>
                <w:color w:val="auto"/>
                <w:spacing w:val="-2"/>
                <w:sz w:val="21"/>
                <w:szCs w:val="21"/>
                <w:highlight w:val="none"/>
                <w:vertAlign w:val="baseline"/>
                <w:lang w:val="en-US" w:eastAsia="zh-CN"/>
              </w:rPr>
              <w:t>NH</w:t>
            </w:r>
            <w:r>
              <w:rPr>
                <w:rFonts w:hint="default" w:ascii="Times New Roman" w:hAnsi="Times New Roman" w:eastAsia="宋体" w:cs="Times New Roman"/>
                <w:b w:val="0"/>
                <w:bCs w:val="0"/>
                <w:color w:val="auto"/>
                <w:spacing w:val="-2"/>
                <w:sz w:val="21"/>
                <w:szCs w:val="21"/>
                <w:highlight w:val="none"/>
                <w:vertAlign w:val="subscript"/>
                <w:lang w:val="en-US" w:eastAsia="zh-CN"/>
              </w:rPr>
              <w:t>3</w:t>
            </w:r>
          </w:p>
        </w:tc>
        <w:tc>
          <w:tcPr>
            <w:tcW w:w="3277" w:type="dxa"/>
            <w:vMerge w:val="restart"/>
            <w:tcBorders>
              <w:tl2br w:val="nil"/>
              <w:tr2bl w:val="nil"/>
            </w:tcBorders>
            <w:vAlign w:val="center"/>
          </w:tcPr>
          <w:p w14:paraId="0C70F24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lang w:val="en-US"/>
              </w:rPr>
            </w:pPr>
            <w:r>
              <w:rPr>
                <w:rFonts w:hint="default" w:ascii="Times New Roman" w:hAnsi="Times New Roman" w:eastAsia="Times New Roman" w:cs="Times New Roman"/>
                <w:b w:val="0"/>
                <w:bCs w:val="0"/>
                <w:color w:val="0000FF"/>
                <w:spacing w:val="-2"/>
                <w:sz w:val="21"/>
                <w:szCs w:val="21"/>
                <w:highlight w:val="none"/>
                <w:vertAlign w:val="baseline"/>
                <w:lang w:val="en-US" w:eastAsia="zh-CN"/>
              </w:rPr>
              <w:t>经集气罩</w:t>
            </w:r>
            <w:r>
              <w:rPr>
                <w:rFonts w:hint="eastAsia" w:ascii="Times New Roman" w:hAnsi="Times New Roman" w:eastAsia="Times New Roman" w:cs="Times New Roman"/>
                <w:b w:val="0"/>
                <w:bCs w:val="0"/>
                <w:color w:val="0000FF"/>
                <w:spacing w:val="-2"/>
                <w:sz w:val="21"/>
                <w:szCs w:val="21"/>
                <w:highlight w:val="none"/>
                <w:vertAlign w:val="baseline"/>
                <w:lang w:val="en-US" w:eastAsia="zh-CN"/>
              </w:rPr>
              <w:t>（收集效率80%）</w:t>
            </w:r>
            <w:r>
              <w:rPr>
                <w:rFonts w:hint="default" w:ascii="Times New Roman" w:hAnsi="Times New Roman" w:eastAsia="Times New Roman" w:cs="Times New Roman"/>
                <w:b w:val="0"/>
                <w:bCs w:val="0"/>
                <w:color w:val="0000FF"/>
                <w:spacing w:val="-2"/>
                <w:sz w:val="21"/>
                <w:szCs w:val="21"/>
                <w:highlight w:val="none"/>
                <w:vertAlign w:val="baseline"/>
                <w:lang w:val="en-US" w:eastAsia="zh-CN"/>
              </w:rPr>
              <w:t>收集后经活性炭吸附经15m高排气</w:t>
            </w:r>
            <w:r>
              <w:rPr>
                <w:rFonts w:hint="eastAsia" w:ascii="Times New Roman" w:hAnsi="Times New Roman" w:eastAsia="Times New Roman" w:cs="Times New Roman"/>
                <w:b w:val="0"/>
                <w:bCs w:val="0"/>
                <w:color w:val="0000FF"/>
                <w:spacing w:val="-2"/>
                <w:sz w:val="21"/>
                <w:szCs w:val="21"/>
                <w:highlight w:val="none"/>
                <w:vertAlign w:val="baseline"/>
                <w:lang w:val="en-US" w:eastAsia="zh-CN"/>
              </w:rPr>
              <w:t>筒</w:t>
            </w:r>
            <w:r>
              <w:rPr>
                <w:rFonts w:hint="default" w:ascii="Times New Roman" w:hAnsi="Times New Roman" w:eastAsia="Times New Roman" w:cs="Times New Roman"/>
                <w:b w:val="0"/>
                <w:bCs w:val="0"/>
                <w:color w:val="0000FF"/>
                <w:spacing w:val="-2"/>
                <w:sz w:val="21"/>
                <w:szCs w:val="21"/>
                <w:highlight w:val="none"/>
                <w:vertAlign w:val="baseline"/>
                <w:lang w:val="en-US" w:eastAsia="zh-CN"/>
              </w:rPr>
              <w:t>有组织排放</w:t>
            </w:r>
            <w:r>
              <w:rPr>
                <w:rFonts w:hint="eastAsia" w:ascii="Times New Roman" w:hAnsi="Times New Roman" w:eastAsia="Times New Roman" w:cs="Times New Roman"/>
                <w:b w:val="0"/>
                <w:bCs w:val="0"/>
                <w:color w:val="0000FF"/>
                <w:spacing w:val="-2"/>
                <w:sz w:val="21"/>
                <w:szCs w:val="21"/>
                <w:highlight w:val="none"/>
                <w:vertAlign w:val="baseline"/>
                <w:lang w:val="en-US" w:eastAsia="zh-CN"/>
              </w:rPr>
              <w:t>，去除效率为80%，设计风机量为1000m</w:t>
            </w:r>
            <w:r>
              <w:rPr>
                <w:rFonts w:hint="eastAsia" w:ascii="Times New Roman" w:hAnsi="Times New Roman" w:eastAsia="Times New Roman" w:cs="Times New Roman"/>
                <w:b w:val="0"/>
                <w:bCs w:val="0"/>
                <w:color w:val="0000FF"/>
                <w:spacing w:val="-2"/>
                <w:sz w:val="21"/>
                <w:szCs w:val="21"/>
                <w:highlight w:val="none"/>
                <w:vertAlign w:val="superscript"/>
                <w:lang w:val="en-US" w:eastAsia="zh-CN"/>
              </w:rPr>
              <w:t>3</w:t>
            </w:r>
            <w:r>
              <w:rPr>
                <w:rFonts w:hint="eastAsia" w:ascii="Times New Roman" w:hAnsi="Times New Roman" w:eastAsia="Times New Roman" w:cs="Times New Roman"/>
                <w:b w:val="0"/>
                <w:bCs w:val="0"/>
                <w:color w:val="0000FF"/>
                <w:spacing w:val="-2"/>
                <w:sz w:val="21"/>
                <w:szCs w:val="21"/>
                <w:highlight w:val="none"/>
                <w:vertAlign w:val="baseline"/>
                <w:lang w:val="en-US" w:eastAsia="zh-CN"/>
              </w:rPr>
              <w:t>/h</w:t>
            </w:r>
          </w:p>
        </w:tc>
        <w:tc>
          <w:tcPr>
            <w:tcW w:w="1289" w:type="dxa"/>
            <w:tcBorders>
              <w:tl2br w:val="nil"/>
              <w:tr2bl w:val="nil"/>
            </w:tcBorders>
            <w:vAlign w:val="center"/>
          </w:tcPr>
          <w:p w14:paraId="13FEDC24">
            <w:pPr>
              <w:keepNext w:val="0"/>
              <w:keepLines w:val="0"/>
              <w:pageBreakBefore w:val="0"/>
              <w:widowControl w:val="0"/>
              <w:kinsoku/>
              <w:wordWrap/>
              <w:overflowPunct/>
              <w:topLinePunct w:val="0"/>
              <w:bidi w:val="0"/>
              <w:adjustRightInd/>
              <w:snapToGrid/>
              <w:spacing w:line="240" w:lineRule="auto"/>
              <w:jc w:val="center"/>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eastAsia" w:ascii="Times New Roman" w:hAnsi="Times New Roman" w:eastAsia="宋体" w:cs="Times New Roman"/>
                <w:snapToGrid w:val="0"/>
                <w:color w:val="0000FF"/>
                <w:sz w:val="21"/>
                <w:szCs w:val="21"/>
                <w:highlight w:val="none"/>
                <w:lang w:val="en-US" w:eastAsia="zh-CN"/>
              </w:rPr>
              <w:t>2.94</w:t>
            </w:r>
          </w:p>
        </w:tc>
        <w:tc>
          <w:tcPr>
            <w:tcW w:w="1284" w:type="dxa"/>
            <w:tcBorders>
              <w:tl2br w:val="nil"/>
              <w:tr2bl w:val="nil"/>
            </w:tcBorders>
            <w:vAlign w:val="center"/>
          </w:tcPr>
          <w:p w14:paraId="47D8F957">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b w:val="0"/>
                <w:bCs w:val="0"/>
                <w:color w:val="FF0000"/>
                <w:spacing w:val="-2"/>
                <w:sz w:val="21"/>
                <w:szCs w:val="21"/>
                <w:highlight w:val="none"/>
                <w:vertAlign w:val="baseline"/>
                <w:lang w:val="en-US" w:eastAsia="zh-CN"/>
              </w:rPr>
            </w:pPr>
            <w:r>
              <w:rPr>
                <w:rFonts w:hint="eastAsia" w:ascii="Times New Roman" w:hAnsi="Times New Roman" w:eastAsia="宋体" w:cs="Times New Roman"/>
                <w:snapToGrid w:val="0"/>
                <w:color w:val="0000FF"/>
                <w:kern w:val="2"/>
                <w:sz w:val="21"/>
                <w:szCs w:val="21"/>
                <w:highlight w:val="none"/>
                <w:lang w:val="en-US" w:eastAsia="zh-CN" w:bidi="ar-SA"/>
              </w:rPr>
              <w:t>2.94</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-3</w:t>
            </w:r>
          </w:p>
        </w:tc>
        <w:tc>
          <w:tcPr>
            <w:tcW w:w="1350" w:type="dxa"/>
            <w:tcBorders>
              <w:tl2br w:val="nil"/>
              <w:tr2bl w:val="nil"/>
            </w:tcBorders>
            <w:vAlign w:val="center"/>
          </w:tcPr>
          <w:p w14:paraId="10CB217E">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b w:val="0"/>
                <w:bCs w:val="0"/>
                <w:color w:val="FF0000"/>
                <w:spacing w:val="-2"/>
                <w:sz w:val="21"/>
                <w:szCs w:val="21"/>
                <w:highlight w:val="none"/>
                <w:vertAlign w:val="baseline"/>
                <w:lang w:val="en-US" w:eastAsia="zh-CN"/>
              </w:rPr>
            </w:pPr>
            <w:r>
              <w:rPr>
                <w:rFonts w:hint="eastAsia" w:ascii="Times New Roman" w:hAnsi="Times New Roman" w:eastAsia="宋体" w:cs="Times New Roman"/>
                <w:snapToGrid w:val="0"/>
                <w:color w:val="0000FF"/>
                <w:sz w:val="21"/>
                <w:szCs w:val="21"/>
                <w:highlight w:val="none"/>
                <w:lang w:val="en-US" w:eastAsia="zh-CN"/>
              </w:rPr>
              <w:t>2.58×10</w:t>
            </w:r>
            <w:r>
              <w:rPr>
                <w:rFonts w:hint="eastAsia" w:ascii="Times New Roman" w:hAnsi="Times New Roman" w:eastAsia="宋体" w:cs="Times New Roman"/>
                <w:snapToGrid w:val="0"/>
                <w:color w:val="0000FF"/>
                <w:sz w:val="21"/>
                <w:szCs w:val="21"/>
                <w:highlight w:val="none"/>
                <w:vertAlign w:val="superscript"/>
                <w:lang w:val="en-US" w:eastAsia="zh-CN"/>
              </w:rPr>
              <w:t>-2</w:t>
            </w:r>
          </w:p>
        </w:tc>
        <w:tc>
          <w:tcPr>
            <w:tcW w:w="849" w:type="dxa"/>
            <w:tcBorders>
              <w:tl2br w:val="nil"/>
              <w:tr2bl w:val="nil"/>
            </w:tcBorders>
            <w:vAlign w:val="center"/>
          </w:tcPr>
          <w:p w14:paraId="0D29002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vMerge w:val="restart"/>
            <w:tcBorders>
              <w:tl2br w:val="nil"/>
              <w:tr2bl w:val="nil"/>
            </w:tcBorders>
            <w:vAlign w:val="center"/>
          </w:tcPr>
          <w:p w14:paraId="5E2F3BA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Times New Roman" w:cs="Times New Roman"/>
                <w:b w:val="0"/>
                <w:bCs w:val="0"/>
                <w:color w:val="auto"/>
                <w:spacing w:val="-2"/>
                <w:sz w:val="21"/>
                <w:szCs w:val="21"/>
                <w:highlight w:val="none"/>
                <w:vertAlign w:val="baseline"/>
                <w:lang w:val="en-US" w:eastAsia="en-US"/>
              </w:rPr>
              <w:t>《恶臭污染物排放标准》（GB14554-93）表2中15m高排气筒标准</w:t>
            </w:r>
          </w:p>
        </w:tc>
      </w:tr>
      <w:tr w14:paraId="1FED0C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1370" w:type="dxa"/>
            <w:vMerge w:val="continue"/>
            <w:tcBorders>
              <w:tl2br w:val="nil"/>
              <w:tr2bl w:val="nil"/>
            </w:tcBorders>
            <w:vAlign w:val="center"/>
          </w:tcPr>
          <w:p w14:paraId="0E0F743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361" w:type="dxa"/>
            <w:vMerge w:val="continue"/>
            <w:tcBorders>
              <w:tl2br w:val="nil"/>
              <w:tr2bl w:val="nil"/>
            </w:tcBorders>
            <w:vAlign w:val="center"/>
          </w:tcPr>
          <w:p w14:paraId="5DB2F46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697" w:type="dxa"/>
            <w:vMerge w:val="continue"/>
            <w:tcBorders>
              <w:tl2br w:val="nil"/>
              <w:tr2bl w:val="nil"/>
            </w:tcBorders>
            <w:vAlign w:val="center"/>
          </w:tcPr>
          <w:p w14:paraId="511812DE">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958" w:type="dxa"/>
            <w:tcBorders>
              <w:tl2br w:val="nil"/>
              <w:tr2bl w:val="nil"/>
            </w:tcBorders>
            <w:shd w:val="clear" w:color="auto" w:fill="auto"/>
            <w:vAlign w:val="center"/>
          </w:tcPr>
          <w:p w14:paraId="73D83BBC">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snapToGrid w:val="0"/>
                <w:color w:val="auto"/>
                <w:spacing w:val="-2"/>
                <w:kern w:val="0"/>
                <w:sz w:val="21"/>
                <w:szCs w:val="21"/>
                <w:highlight w:val="none"/>
                <w:vertAlign w:val="baseline"/>
                <w:lang w:val="en-US" w:eastAsia="zh-CN" w:bidi="ar-SA"/>
              </w:rPr>
            </w:pPr>
            <w:r>
              <w:rPr>
                <w:rFonts w:hint="default" w:ascii="Times New Roman" w:hAnsi="Times New Roman" w:eastAsia="宋体" w:cs="Times New Roman"/>
                <w:b w:val="0"/>
                <w:bCs w:val="0"/>
                <w:color w:val="auto"/>
                <w:spacing w:val="-2"/>
                <w:sz w:val="21"/>
                <w:szCs w:val="21"/>
                <w:highlight w:val="none"/>
                <w:vertAlign w:val="baseline"/>
                <w:lang w:val="en-US" w:eastAsia="zh-CN"/>
              </w:rPr>
              <w:t>H</w:t>
            </w:r>
            <w:r>
              <w:rPr>
                <w:rFonts w:hint="default" w:ascii="Times New Roman" w:hAnsi="Times New Roman" w:eastAsia="宋体" w:cs="Times New Roman"/>
                <w:b w:val="0"/>
                <w:bCs w:val="0"/>
                <w:color w:val="auto"/>
                <w:spacing w:val="-2"/>
                <w:sz w:val="21"/>
                <w:szCs w:val="21"/>
                <w:highlight w:val="none"/>
                <w:vertAlign w:val="subscript"/>
                <w:lang w:val="en-US" w:eastAsia="zh-CN"/>
              </w:rPr>
              <w:t>2</w:t>
            </w:r>
            <w:r>
              <w:rPr>
                <w:rFonts w:hint="default" w:ascii="Times New Roman" w:hAnsi="Times New Roman" w:eastAsia="宋体" w:cs="Times New Roman"/>
                <w:b w:val="0"/>
                <w:bCs w:val="0"/>
                <w:color w:val="auto"/>
                <w:spacing w:val="-2"/>
                <w:sz w:val="21"/>
                <w:szCs w:val="21"/>
                <w:highlight w:val="none"/>
                <w:vertAlign w:val="baseline"/>
                <w:lang w:val="en-US" w:eastAsia="zh-CN"/>
              </w:rPr>
              <w:t>S</w:t>
            </w:r>
          </w:p>
        </w:tc>
        <w:tc>
          <w:tcPr>
            <w:tcW w:w="3277" w:type="dxa"/>
            <w:vMerge w:val="continue"/>
            <w:tcBorders>
              <w:tl2br w:val="nil"/>
              <w:tr2bl w:val="nil"/>
            </w:tcBorders>
            <w:vAlign w:val="center"/>
          </w:tcPr>
          <w:p w14:paraId="6715019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c>
          <w:tcPr>
            <w:tcW w:w="1289" w:type="dxa"/>
            <w:tcBorders>
              <w:tl2br w:val="nil"/>
              <w:tr2bl w:val="nil"/>
            </w:tcBorders>
            <w:vAlign w:val="center"/>
          </w:tcPr>
          <w:p w14:paraId="3171A545">
            <w:pPr>
              <w:keepNext w:val="0"/>
              <w:keepLines w:val="0"/>
              <w:pageBreakBefore w:val="0"/>
              <w:widowControl w:val="0"/>
              <w:kinsoku/>
              <w:wordWrap/>
              <w:overflowPunct/>
              <w:topLinePunct w:val="0"/>
              <w:bidi w:val="0"/>
              <w:adjustRightInd/>
              <w:snapToGrid/>
              <w:spacing w:line="240" w:lineRule="auto"/>
              <w:jc w:val="center"/>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eastAsia" w:ascii="Times New Roman" w:hAnsi="Times New Roman" w:eastAsia="宋体" w:cs="Times New Roman"/>
                <w:snapToGrid w:val="0"/>
                <w:color w:val="0000FF"/>
                <w:sz w:val="21"/>
                <w:szCs w:val="21"/>
                <w:highlight w:val="none"/>
                <w:lang w:val="en-US" w:eastAsia="zh-CN"/>
              </w:rPr>
              <w:t>0.0217</w:t>
            </w:r>
          </w:p>
        </w:tc>
        <w:tc>
          <w:tcPr>
            <w:tcW w:w="1284" w:type="dxa"/>
            <w:tcBorders>
              <w:tl2br w:val="nil"/>
              <w:tr2bl w:val="nil"/>
            </w:tcBorders>
            <w:vAlign w:val="center"/>
          </w:tcPr>
          <w:p w14:paraId="765DE948">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b w:val="0"/>
                <w:bCs w:val="0"/>
                <w:color w:val="FF0000"/>
                <w:spacing w:val="-2"/>
                <w:sz w:val="21"/>
                <w:szCs w:val="21"/>
                <w:highlight w:val="none"/>
                <w:vertAlign w:val="baseline"/>
                <w:lang w:val="en-US" w:eastAsia="zh-CN"/>
              </w:rPr>
            </w:pPr>
            <w:r>
              <w:rPr>
                <w:rFonts w:hint="eastAsia" w:ascii="Times New Roman" w:hAnsi="Times New Roman" w:eastAsia="宋体" w:cs="Times New Roman"/>
                <w:snapToGrid w:val="0"/>
                <w:color w:val="0000FF"/>
                <w:kern w:val="2"/>
                <w:sz w:val="21"/>
                <w:szCs w:val="21"/>
                <w:highlight w:val="none"/>
                <w:lang w:val="en-US" w:eastAsia="zh-CN" w:bidi="ar-SA"/>
              </w:rPr>
              <w:t>2.17</w:t>
            </w:r>
            <w:r>
              <w:rPr>
                <w:rFonts w:hint="eastAsia" w:ascii="Times New Roman" w:hAnsi="Times New Roman" w:eastAsia="宋体" w:cs="Times New Roman"/>
                <w:snapToGrid w:val="0"/>
                <w:color w:val="0000FF"/>
                <w:sz w:val="21"/>
                <w:szCs w:val="21"/>
                <w:highlight w:val="none"/>
                <w:lang w:val="en-US" w:eastAsia="zh-CN"/>
              </w:rPr>
              <w:t>×10</w:t>
            </w:r>
            <w:r>
              <w:rPr>
                <w:rFonts w:hint="eastAsia" w:ascii="Times New Roman" w:hAnsi="Times New Roman" w:eastAsia="宋体" w:cs="Times New Roman"/>
                <w:snapToGrid w:val="0"/>
                <w:color w:val="0000FF"/>
                <w:sz w:val="21"/>
                <w:szCs w:val="21"/>
                <w:highlight w:val="none"/>
                <w:vertAlign w:val="superscript"/>
                <w:lang w:val="en-US" w:eastAsia="zh-CN"/>
              </w:rPr>
              <w:t>-5</w:t>
            </w:r>
          </w:p>
        </w:tc>
        <w:tc>
          <w:tcPr>
            <w:tcW w:w="1350" w:type="dxa"/>
            <w:tcBorders>
              <w:tl2br w:val="nil"/>
              <w:tr2bl w:val="nil"/>
            </w:tcBorders>
            <w:vAlign w:val="center"/>
          </w:tcPr>
          <w:p w14:paraId="24A7142B">
            <w:pPr>
              <w:pStyle w:val="38"/>
              <w:keepNext w:val="0"/>
              <w:keepLines w:val="0"/>
              <w:pageBreakBefore w:val="0"/>
              <w:widowControl/>
              <w:kinsoku/>
              <w:wordWrap w:val="0"/>
              <w:overflowPunct/>
              <w:topLinePunct/>
              <w:autoSpaceDE/>
              <w:autoSpaceDN/>
              <w:bidi w:val="0"/>
              <w:adjustRightInd/>
              <w:snapToGrid/>
              <w:spacing w:line="240" w:lineRule="auto"/>
              <w:ind w:left="0" w:leftChars="0" w:firstLine="0" w:firstLineChars="0"/>
              <w:jc w:val="center"/>
              <w:textAlignment w:val="baseline"/>
              <w:rPr>
                <w:rFonts w:hint="default" w:ascii="Times New Roman" w:hAnsi="Times New Roman" w:eastAsia="宋体" w:cs="Times New Roman"/>
                <w:b w:val="0"/>
                <w:bCs w:val="0"/>
                <w:color w:val="FF0000"/>
                <w:spacing w:val="-2"/>
                <w:sz w:val="21"/>
                <w:szCs w:val="21"/>
                <w:highlight w:val="none"/>
                <w:vertAlign w:val="baseline"/>
                <w:lang w:val="en-US" w:eastAsia="zh-CN"/>
              </w:rPr>
            </w:pPr>
            <w:r>
              <w:rPr>
                <w:rFonts w:hint="eastAsia" w:ascii="Times New Roman" w:hAnsi="Times New Roman" w:eastAsia="宋体" w:cs="Times New Roman"/>
                <w:snapToGrid w:val="0"/>
                <w:color w:val="0000FF"/>
                <w:sz w:val="21"/>
                <w:szCs w:val="21"/>
                <w:highlight w:val="none"/>
                <w:lang w:val="en-US" w:eastAsia="zh-CN"/>
              </w:rPr>
              <w:t>1.9×10</w:t>
            </w:r>
            <w:r>
              <w:rPr>
                <w:rFonts w:hint="eastAsia" w:ascii="Times New Roman" w:hAnsi="Times New Roman" w:eastAsia="宋体" w:cs="Times New Roman"/>
                <w:snapToGrid w:val="0"/>
                <w:color w:val="0000FF"/>
                <w:sz w:val="21"/>
                <w:szCs w:val="21"/>
                <w:highlight w:val="none"/>
                <w:vertAlign w:val="superscript"/>
                <w:lang w:val="en-US" w:eastAsia="zh-CN"/>
              </w:rPr>
              <w:t>-4</w:t>
            </w:r>
          </w:p>
        </w:tc>
        <w:tc>
          <w:tcPr>
            <w:tcW w:w="849" w:type="dxa"/>
            <w:tcBorders>
              <w:tl2br w:val="nil"/>
              <w:tr2bl w:val="nil"/>
            </w:tcBorders>
            <w:vAlign w:val="center"/>
          </w:tcPr>
          <w:p w14:paraId="226E48B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vMerge w:val="continue"/>
            <w:tcBorders>
              <w:tl2br w:val="nil"/>
              <w:tr2bl w:val="nil"/>
            </w:tcBorders>
            <w:vAlign w:val="center"/>
          </w:tcPr>
          <w:p w14:paraId="0F04831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r>
      <w:tr w14:paraId="1750BD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70" w:type="dxa"/>
            <w:tcBorders>
              <w:tl2br w:val="nil"/>
              <w:tr2bl w:val="nil"/>
            </w:tcBorders>
            <w:vAlign w:val="center"/>
          </w:tcPr>
          <w:p w14:paraId="03C1FFA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噪声</w:t>
            </w:r>
          </w:p>
        </w:tc>
        <w:tc>
          <w:tcPr>
            <w:tcW w:w="1058" w:type="dxa"/>
            <w:gridSpan w:val="2"/>
            <w:tcBorders>
              <w:tl2br w:val="nil"/>
              <w:tr2bl w:val="nil"/>
            </w:tcBorders>
            <w:vAlign w:val="center"/>
          </w:tcPr>
          <w:p w14:paraId="4CA9EF4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生产</w:t>
            </w:r>
          </w:p>
        </w:tc>
        <w:tc>
          <w:tcPr>
            <w:tcW w:w="1958" w:type="dxa"/>
            <w:tcBorders>
              <w:tl2br w:val="nil"/>
              <w:tr2bl w:val="nil"/>
            </w:tcBorders>
            <w:vAlign w:val="center"/>
          </w:tcPr>
          <w:p w14:paraId="7F8C166C">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噪声</w:t>
            </w:r>
          </w:p>
        </w:tc>
        <w:tc>
          <w:tcPr>
            <w:tcW w:w="8049" w:type="dxa"/>
            <w:gridSpan w:val="5"/>
            <w:tcBorders>
              <w:tl2br w:val="nil"/>
              <w:tr2bl w:val="nil"/>
            </w:tcBorders>
            <w:vAlign w:val="center"/>
          </w:tcPr>
          <w:p w14:paraId="38B8856F">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snapToGrid w:val="0"/>
                <w:color w:val="auto"/>
                <w:kern w:val="0"/>
                <w:sz w:val="21"/>
                <w:szCs w:val="21"/>
                <w:highlight w:val="none"/>
                <w:lang w:val="en-US" w:eastAsia="zh-CN" w:bidi="ar"/>
              </w:rPr>
              <w:t>选低噪声设备，基础减振，合理布局、隔声、距离衰减等</w:t>
            </w:r>
          </w:p>
        </w:tc>
        <w:tc>
          <w:tcPr>
            <w:tcW w:w="2685" w:type="dxa"/>
            <w:tcBorders>
              <w:tl2br w:val="nil"/>
              <w:tr2bl w:val="nil"/>
            </w:tcBorders>
            <w:vAlign w:val="center"/>
          </w:tcPr>
          <w:p w14:paraId="39AFE164">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snapToGrid w:val="0"/>
                <w:color w:val="FF0000"/>
                <w:kern w:val="0"/>
                <w:sz w:val="21"/>
                <w:szCs w:val="21"/>
                <w:highlight w:val="none"/>
                <w:lang w:val="en-US" w:eastAsia="zh-CN" w:bidi="ar"/>
              </w:rPr>
              <w:t>厂界噪声执行《工业企业厂界环境噪声排放标准》（GB12348-2008）1中的1类标准</w:t>
            </w:r>
          </w:p>
        </w:tc>
      </w:tr>
      <w:tr w14:paraId="2F4DFD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70" w:type="dxa"/>
            <w:vMerge w:val="restart"/>
            <w:tcBorders>
              <w:tl2br w:val="nil"/>
              <w:tr2bl w:val="nil"/>
            </w:tcBorders>
            <w:vAlign w:val="center"/>
          </w:tcPr>
          <w:p w14:paraId="7518E879">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废水</w:t>
            </w:r>
          </w:p>
        </w:tc>
        <w:tc>
          <w:tcPr>
            <w:tcW w:w="1058" w:type="dxa"/>
            <w:gridSpan w:val="2"/>
            <w:tcBorders>
              <w:tl2br w:val="nil"/>
              <w:tr2bl w:val="nil"/>
            </w:tcBorders>
            <w:vAlign w:val="center"/>
          </w:tcPr>
          <w:p w14:paraId="38BB7D2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牛尿</w:t>
            </w:r>
          </w:p>
        </w:tc>
        <w:tc>
          <w:tcPr>
            <w:tcW w:w="1958" w:type="dxa"/>
            <w:tcBorders>
              <w:tl2br w:val="nil"/>
              <w:tr2bl w:val="nil"/>
            </w:tcBorders>
            <w:vAlign w:val="center"/>
          </w:tcPr>
          <w:p w14:paraId="341FFAAD">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生产废水</w:t>
            </w:r>
          </w:p>
        </w:tc>
        <w:tc>
          <w:tcPr>
            <w:tcW w:w="8049" w:type="dxa"/>
            <w:gridSpan w:val="5"/>
            <w:tcBorders>
              <w:tl2br w:val="nil"/>
              <w:tr2bl w:val="nil"/>
            </w:tcBorders>
            <w:vAlign w:val="center"/>
          </w:tcPr>
          <w:p w14:paraId="20BDCED0">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snapToGrid w:val="0"/>
                <w:color w:val="auto"/>
                <w:kern w:val="0"/>
                <w:sz w:val="21"/>
                <w:szCs w:val="21"/>
                <w:highlight w:val="none"/>
                <w:lang w:val="en-US" w:eastAsia="zh-CN" w:bidi="ar"/>
              </w:rPr>
              <w:t>采干撒式发酵床工艺，经分解后外运至有机肥厂，处理后施用于农田</w:t>
            </w:r>
          </w:p>
        </w:tc>
        <w:tc>
          <w:tcPr>
            <w:tcW w:w="2685" w:type="dxa"/>
            <w:tcBorders>
              <w:tl2br w:val="nil"/>
              <w:tr2bl w:val="nil"/>
            </w:tcBorders>
            <w:vAlign w:val="center"/>
          </w:tcPr>
          <w:p w14:paraId="1F41FD65">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snapToGrid w:val="0"/>
                <w:color w:val="auto"/>
                <w:kern w:val="0"/>
                <w:sz w:val="21"/>
                <w:szCs w:val="21"/>
                <w:highlight w:val="none"/>
                <w:lang w:val="en-US" w:eastAsia="zh-CN" w:bidi="ar"/>
              </w:rPr>
              <w:t>废水零排放</w:t>
            </w:r>
          </w:p>
        </w:tc>
      </w:tr>
      <w:tr w14:paraId="767CB0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1370" w:type="dxa"/>
            <w:vMerge w:val="continue"/>
            <w:tcBorders>
              <w:tl2br w:val="nil"/>
              <w:tr2bl w:val="nil"/>
            </w:tcBorders>
            <w:vAlign w:val="center"/>
          </w:tcPr>
          <w:p w14:paraId="17B1B0D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c>
          <w:tcPr>
            <w:tcW w:w="1058" w:type="dxa"/>
            <w:gridSpan w:val="2"/>
            <w:vMerge w:val="restart"/>
            <w:tcBorders>
              <w:tl2br w:val="nil"/>
              <w:tr2bl w:val="nil"/>
            </w:tcBorders>
            <w:vAlign w:val="center"/>
          </w:tcPr>
          <w:p w14:paraId="5CF83FF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生活废水</w:t>
            </w:r>
          </w:p>
        </w:tc>
        <w:tc>
          <w:tcPr>
            <w:tcW w:w="1958" w:type="dxa"/>
            <w:tcBorders>
              <w:tl2br w:val="nil"/>
              <w:tr2bl w:val="nil"/>
            </w:tcBorders>
            <w:vAlign w:val="center"/>
          </w:tcPr>
          <w:p w14:paraId="7A491D9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生活污水</w:t>
            </w:r>
          </w:p>
        </w:tc>
        <w:tc>
          <w:tcPr>
            <w:tcW w:w="8049" w:type="dxa"/>
            <w:gridSpan w:val="5"/>
            <w:tcBorders>
              <w:tl2br w:val="nil"/>
              <w:tr2bl w:val="nil"/>
            </w:tcBorders>
            <w:vAlign w:val="center"/>
          </w:tcPr>
          <w:p w14:paraId="48A19DF5">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snapToGrid w:val="0"/>
                <w:color w:val="auto"/>
                <w:kern w:val="0"/>
                <w:sz w:val="21"/>
                <w:szCs w:val="21"/>
                <w:highlight w:val="none"/>
                <w:lang w:val="en-US" w:eastAsia="zh-CN" w:bidi="ar"/>
              </w:rPr>
              <w:t>生活污水排入化粪池，定期清掏</w:t>
            </w:r>
          </w:p>
        </w:tc>
        <w:tc>
          <w:tcPr>
            <w:tcW w:w="2685" w:type="dxa"/>
            <w:tcBorders>
              <w:tl2br w:val="nil"/>
              <w:tr2bl w:val="nil"/>
            </w:tcBorders>
            <w:vAlign w:val="center"/>
          </w:tcPr>
          <w:p w14:paraId="057F410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r>
      <w:tr w14:paraId="3F84A2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3" w:hRule="atLeast"/>
          <w:jc w:val="center"/>
        </w:trPr>
        <w:tc>
          <w:tcPr>
            <w:tcW w:w="1370" w:type="dxa"/>
            <w:vMerge w:val="continue"/>
            <w:tcBorders>
              <w:tl2br w:val="nil"/>
              <w:tr2bl w:val="nil"/>
            </w:tcBorders>
            <w:vAlign w:val="center"/>
          </w:tcPr>
          <w:p w14:paraId="15D8DA21">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c>
          <w:tcPr>
            <w:tcW w:w="1058" w:type="dxa"/>
            <w:gridSpan w:val="2"/>
            <w:vMerge w:val="continue"/>
            <w:tcBorders>
              <w:tl2br w:val="nil"/>
              <w:tr2bl w:val="nil"/>
            </w:tcBorders>
            <w:vAlign w:val="center"/>
          </w:tcPr>
          <w:p w14:paraId="4498732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958" w:type="dxa"/>
            <w:tcBorders>
              <w:tl2br w:val="nil"/>
              <w:tr2bl w:val="nil"/>
            </w:tcBorders>
            <w:vAlign w:val="center"/>
          </w:tcPr>
          <w:p w14:paraId="3483D0C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eastAsia" w:ascii="Times New Roman" w:hAnsi="Times New Roman" w:eastAsia="宋体" w:cs="Times New Roman"/>
                <w:b w:val="0"/>
                <w:bCs w:val="0"/>
                <w:color w:val="auto"/>
                <w:spacing w:val="-2"/>
                <w:sz w:val="21"/>
                <w:szCs w:val="21"/>
                <w:highlight w:val="none"/>
                <w:vertAlign w:val="baseline"/>
                <w:lang w:val="en-US" w:eastAsia="zh-CN"/>
              </w:rPr>
              <w:t>厂区</w:t>
            </w:r>
            <w:r>
              <w:rPr>
                <w:rFonts w:hint="default" w:ascii="Times New Roman" w:hAnsi="Times New Roman" w:eastAsia="宋体" w:cs="Times New Roman"/>
                <w:b w:val="0"/>
                <w:bCs w:val="0"/>
                <w:color w:val="auto"/>
                <w:spacing w:val="-2"/>
                <w:sz w:val="21"/>
                <w:szCs w:val="21"/>
                <w:highlight w:val="none"/>
                <w:vertAlign w:val="baseline"/>
                <w:lang w:val="en-US" w:eastAsia="zh-CN"/>
              </w:rPr>
              <w:t>雨水</w:t>
            </w:r>
          </w:p>
        </w:tc>
        <w:tc>
          <w:tcPr>
            <w:tcW w:w="8049" w:type="dxa"/>
            <w:gridSpan w:val="5"/>
            <w:tcBorders>
              <w:tl2br w:val="nil"/>
              <w:tr2bl w:val="nil"/>
            </w:tcBorders>
            <w:vAlign w:val="center"/>
          </w:tcPr>
          <w:p w14:paraId="3011FDD8">
            <w:pPr>
              <w:pStyle w:val="40"/>
              <w:keepNext w:val="0"/>
              <w:keepLines w:val="0"/>
              <w:pageBreakBefore w:val="0"/>
              <w:widowControl/>
              <w:kinsoku/>
              <w:wordWrap w:val="0"/>
              <w:overflowPunct/>
              <w:topLinePunct/>
              <w:autoSpaceDE/>
              <w:autoSpaceDN/>
              <w:bidi w:val="0"/>
              <w:adjustRightInd/>
              <w:snapToGrid/>
              <w:spacing w:line="240" w:lineRule="auto"/>
              <w:ind w:firstLine="420" w:firstLineChars="200"/>
              <w:textAlignment w:val="baseline"/>
              <w:rPr>
                <w:rFonts w:hint="default" w:ascii="Times New Roman" w:hAnsi="Times New Roman" w:eastAsia="宋体" w:cs="Times New Roman"/>
                <w:snapToGrid w:val="0"/>
                <w:color w:val="auto"/>
                <w:kern w:val="0"/>
                <w:sz w:val="21"/>
                <w:szCs w:val="21"/>
                <w:highlight w:val="none"/>
                <w:lang w:val="en-US" w:eastAsia="zh-CN" w:bidi="ar"/>
              </w:rPr>
            </w:pPr>
            <w:r>
              <w:rPr>
                <w:rFonts w:hint="default" w:ascii="Times New Roman" w:hAnsi="Times New Roman" w:eastAsia="宋体" w:cs="Times New Roman"/>
                <w:snapToGrid w:val="0"/>
                <w:color w:val="auto"/>
                <w:kern w:val="0"/>
                <w:sz w:val="21"/>
                <w:szCs w:val="21"/>
                <w:highlight w:val="green"/>
                <w:lang w:val="en-US" w:eastAsia="zh-CN" w:bidi="ar"/>
              </w:rPr>
              <w:t>初期雨水经厂区排水沟汇入厂区一座500m</w:t>
            </w:r>
            <w:r>
              <w:rPr>
                <w:rFonts w:hint="default" w:ascii="Times New Roman" w:hAnsi="Times New Roman" w:eastAsia="宋体" w:cs="Times New Roman"/>
                <w:snapToGrid w:val="0"/>
                <w:color w:val="auto"/>
                <w:kern w:val="0"/>
                <w:sz w:val="21"/>
                <w:szCs w:val="21"/>
                <w:highlight w:val="green"/>
                <w:vertAlign w:val="superscript"/>
                <w:lang w:val="en-US" w:eastAsia="zh-CN" w:bidi="ar"/>
              </w:rPr>
              <w:t>3</w:t>
            </w:r>
            <w:r>
              <w:rPr>
                <w:rFonts w:hint="default" w:ascii="Times New Roman" w:hAnsi="Times New Roman" w:eastAsia="宋体" w:cs="Times New Roman"/>
                <w:snapToGrid w:val="0"/>
                <w:color w:val="auto"/>
                <w:kern w:val="0"/>
                <w:sz w:val="21"/>
                <w:szCs w:val="21"/>
                <w:highlight w:val="green"/>
                <w:lang w:val="en-US" w:eastAsia="zh-CN" w:bidi="ar"/>
              </w:rPr>
              <w:t>初期雨水收集池内，雨水收集后拉运至集贤县碧蓝新环境治理有限责任公司进行处理</w:t>
            </w:r>
            <w:r>
              <w:rPr>
                <w:rFonts w:hint="eastAsia" w:ascii="Times New Roman" w:hAnsi="Times New Roman" w:eastAsia="宋体" w:cs="Times New Roman"/>
                <w:snapToGrid w:val="0"/>
                <w:color w:val="auto"/>
                <w:kern w:val="0"/>
                <w:sz w:val="21"/>
                <w:szCs w:val="21"/>
                <w:highlight w:val="green"/>
                <w:lang w:val="en-US" w:eastAsia="zh-CN" w:bidi="ar"/>
              </w:rPr>
              <w:t>，运动场周围设置围堰，围堰高度40cm，运动场上面设置挡雨棚，牛舍与运动场四周设置雨水导流沟，收集的雨水排入雨水管网</w:t>
            </w:r>
          </w:p>
        </w:tc>
        <w:tc>
          <w:tcPr>
            <w:tcW w:w="2685" w:type="dxa"/>
            <w:tcBorders>
              <w:tl2br w:val="nil"/>
              <w:tr2bl w:val="nil"/>
            </w:tcBorders>
            <w:vAlign w:val="center"/>
          </w:tcPr>
          <w:p w14:paraId="6117115B">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r>
      <w:tr w14:paraId="776DA7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70" w:type="dxa"/>
            <w:vMerge w:val="restart"/>
            <w:tcBorders>
              <w:tl2br w:val="nil"/>
              <w:tr2bl w:val="nil"/>
            </w:tcBorders>
            <w:vAlign w:val="center"/>
          </w:tcPr>
          <w:p w14:paraId="19FC333B">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固废</w:t>
            </w:r>
          </w:p>
        </w:tc>
        <w:tc>
          <w:tcPr>
            <w:tcW w:w="1058" w:type="dxa"/>
            <w:gridSpan w:val="2"/>
            <w:vMerge w:val="restart"/>
            <w:tcBorders>
              <w:tl2br w:val="nil"/>
              <w:tr2bl w:val="nil"/>
            </w:tcBorders>
            <w:vAlign w:val="center"/>
          </w:tcPr>
          <w:p w14:paraId="7059EE39">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牛舍</w:t>
            </w:r>
          </w:p>
        </w:tc>
        <w:tc>
          <w:tcPr>
            <w:tcW w:w="1958" w:type="dxa"/>
            <w:tcBorders>
              <w:tl2br w:val="nil"/>
              <w:tr2bl w:val="nil"/>
            </w:tcBorders>
            <w:vAlign w:val="center"/>
          </w:tcPr>
          <w:p w14:paraId="4DFB6B8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lang w:val="en-US"/>
              </w:rPr>
            </w:pPr>
            <w:r>
              <w:rPr>
                <w:rFonts w:hint="default" w:ascii="Times New Roman" w:hAnsi="Times New Roman" w:eastAsia="宋体" w:cs="Times New Roman"/>
                <w:b w:val="0"/>
                <w:bCs w:val="0"/>
                <w:color w:val="auto"/>
                <w:spacing w:val="-2"/>
                <w:sz w:val="21"/>
                <w:szCs w:val="21"/>
                <w:highlight w:val="none"/>
                <w:vertAlign w:val="baseline"/>
                <w:lang w:val="en-US" w:eastAsia="zh-CN"/>
              </w:rPr>
              <w:t>发酵床垫</w:t>
            </w:r>
          </w:p>
        </w:tc>
        <w:tc>
          <w:tcPr>
            <w:tcW w:w="3277" w:type="dxa"/>
            <w:tcBorders>
              <w:tl2br w:val="nil"/>
              <w:tr2bl w:val="nil"/>
            </w:tcBorders>
            <w:vAlign w:val="center"/>
          </w:tcPr>
          <w:p w14:paraId="116970A0">
            <w:pPr>
              <w:keepNext w:val="0"/>
              <w:keepLines w:val="0"/>
              <w:pageBreakBefore w:val="0"/>
              <w:widowControl/>
              <w:suppressLineNumbers w:val="0"/>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snapToGrid w:val="0"/>
                <w:color w:val="auto"/>
                <w:kern w:val="0"/>
                <w:sz w:val="21"/>
                <w:szCs w:val="21"/>
                <w:highlight w:val="none"/>
                <w:lang w:val="en-US" w:eastAsia="zh-CN" w:bidi="ar"/>
              </w:rPr>
              <w:t>收集后外售作为肥料</w:t>
            </w:r>
          </w:p>
        </w:tc>
        <w:tc>
          <w:tcPr>
            <w:tcW w:w="1289" w:type="dxa"/>
            <w:tcBorders>
              <w:tl2br w:val="nil"/>
              <w:tr2bl w:val="nil"/>
            </w:tcBorders>
            <w:vAlign w:val="center"/>
          </w:tcPr>
          <w:p w14:paraId="5D90A9FD">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284" w:type="dxa"/>
            <w:tcBorders>
              <w:tl2br w:val="nil"/>
              <w:tr2bl w:val="nil"/>
            </w:tcBorders>
            <w:vAlign w:val="center"/>
          </w:tcPr>
          <w:p w14:paraId="5F008DC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350" w:type="dxa"/>
            <w:tcBorders>
              <w:tl2br w:val="nil"/>
              <w:tr2bl w:val="nil"/>
            </w:tcBorders>
            <w:vAlign w:val="center"/>
          </w:tcPr>
          <w:p w14:paraId="34CC40D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eastAsia" w:ascii="Times New Roman" w:hAnsi="Times New Roman" w:eastAsia="宋体" w:cs="Times New Roman"/>
                <w:b w:val="0"/>
                <w:bCs w:val="0"/>
                <w:color w:val="auto"/>
                <w:spacing w:val="-2"/>
                <w:sz w:val="21"/>
                <w:szCs w:val="21"/>
                <w:highlight w:val="none"/>
                <w:vertAlign w:val="baseline"/>
                <w:lang w:val="en-US" w:eastAsia="zh-CN"/>
              </w:rPr>
              <w:t>10182.4</w:t>
            </w:r>
            <w:r>
              <w:rPr>
                <w:rFonts w:hint="default" w:ascii="Times New Roman" w:hAnsi="Times New Roman" w:eastAsia="宋体" w:cs="Times New Roman"/>
                <w:b w:val="0"/>
                <w:bCs w:val="0"/>
                <w:color w:val="auto"/>
                <w:spacing w:val="-2"/>
                <w:sz w:val="21"/>
                <w:szCs w:val="21"/>
                <w:highlight w:val="none"/>
                <w:vertAlign w:val="baseline"/>
                <w:lang w:val="en-US" w:eastAsia="zh-CN"/>
              </w:rPr>
              <w:t>/a</w:t>
            </w:r>
          </w:p>
        </w:tc>
        <w:tc>
          <w:tcPr>
            <w:tcW w:w="849" w:type="dxa"/>
            <w:tcBorders>
              <w:tl2br w:val="nil"/>
              <w:tr2bl w:val="nil"/>
            </w:tcBorders>
            <w:vAlign w:val="center"/>
          </w:tcPr>
          <w:p w14:paraId="17A17BE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tcBorders>
              <w:tl2br w:val="nil"/>
              <w:tr2bl w:val="nil"/>
            </w:tcBorders>
            <w:vAlign w:val="center"/>
          </w:tcPr>
          <w:p w14:paraId="796046D5">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妥善处置</w:t>
            </w:r>
          </w:p>
        </w:tc>
      </w:tr>
      <w:tr w14:paraId="178CC6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1370" w:type="dxa"/>
            <w:vMerge w:val="continue"/>
            <w:tcBorders>
              <w:tl2br w:val="nil"/>
              <w:tr2bl w:val="nil"/>
            </w:tcBorders>
            <w:vAlign w:val="center"/>
          </w:tcPr>
          <w:p w14:paraId="5452C06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c>
          <w:tcPr>
            <w:tcW w:w="1058" w:type="dxa"/>
            <w:gridSpan w:val="2"/>
            <w:vMerge w:val="continue"/>
            <w:tcBorders>
              <w:tl2br w:val="nil"/>
              <w:tr2bl w:val="nil"/>
            </w:tcBorders>
            <w:vAlign w:val="center"/>
          </w:tcPr>
          <w:p w14:paraId="18475E4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958" w:type="dxa"/>
            <w:tcBorders>
              <w:tl2br w:val="nil"/>
              <w:tr2bl w:val="nil"/>
            </w:tcBorders>
            <w:vAlign w:val="center"/>
          </w:tcPr>
          <w:p w14:paraId="1D97012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lang w:val="en-US"/>
              </w:rPr>
            </w:pPr>
            <w:r>
              <w:rPr>
                <w:rFonts w:hint="default" w:ascii="Times New Roman" w:hAnsi="Times New Roman" w:eastAsia="宋体" w:cs="Times New Roman"/>
                <w:b w:val="0"/>
                <w:bCs w:val="0"/>
                <w:color w:val="auto"/>
                <w:spacing w:val="-2"/>
                <w:sz w:val="21"/>
                <w:szCs w:val="21"/>
                <w:highlight w:val="none"/>
                <w:vertAlign w:val="baseline"/>
                <w:lang w:val="en-US" w:eastAsia="zh-CN"/>
              </w:rPr>
              <w:t>病死牛尸体</w:t>
            </w:r>
          </w:p>
        </w:tc>
        <w:tc>
          <w:tcPr>
            <w:tcW w:w="3277" w:type="dxa"/>
            <w:vMerge w:val="restart"/>
            <w:tcBorders>
              <w:tl2br w:val="nil"/>
              <w:tr2bl w:val="nil"/>
            </w:tcBorders>
            <w:vAlign w:val="center"/>
          </w:tcPr>
          <w:p w14:paraId="5BD886A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委托双鸭山百奥迈斯生物科技有限公司处置</w:t>
            </w:r>
          </w:p>
        </w:tc>
        <w:tc>
          <w:tcPr>
            <w:tcW w:w="1289" w:type="dxa"/>
            <w:tcBorders>
              <w:tl2br w:val="nil"/>
              <w:tr2bl w:val="nil"/>
            </w:tcBorders>
            <w:vAlign w:val="center"/>
          </w:tcPr>
          <w:p w14:paraId="021BAD25">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284" w:type="dxa"/>
            <w:tcBorders>
              <w:tl2br w:val="nil"/>
              <w:tr2bl w:val="nil"/>
            </w:tcBorders>
            <w:vAlign w:val="center"/>
          </w:tcPr>
          <w:p w14:paraId="063BF9A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350" w:type="dxa"/>
            <w:tcBorders>
              <w:tl2br w:val="nil"/>
              <w:tr2bl w:val="nil"/>
            </w:tcBorders>
            <w:vAlign w:val="center"/>
          </w:tcPr>
          <w:p w14:paraId="4CB32EEC">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1.5t/a</w:t>
            </w:r>
          </w:p>
        </w:tc>
        <w:tc>
          <w:tcPr>
            <w:tcW w:w="849" w:type="dxa"/>
            <w:tcBorders>
              <w:tl2br w:val="nil"/>
              <w:tr2bl w:val="nil"/>
            </w:tcBorders>
            <w:vAlign w:val="center"/>
          </w:tcPr>
          <w:p w14:paraId="75ABBD3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tcBorders>
              <w:tl2br w:val="nil"/>
              <w:tr2bl w:val="nil"/>
            </w:tcBorders>
            <w:vAlign w:val="center"/>
          </w:tcPr>
          <w:p w14:paraId="1E3BE02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妥善处置</w:t>
            </w:r>
          </w:p>
        </w:tc>
      </w:tr>
      <w:tr w14:paraId="604A00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1370" w:type="dxa"/>
            <w:vMerge w:val="continue"/>
            <w:tcBorders>
              <w:tl2br w:val="nil"/>
              <w:tr2bl w:val="nil"/>
            </w:tcBorders>
            <w:vAlign w:val="center"/>
          </w:tcPr>
          <w:p w14:paraId="31C64A9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c>
          <w:tcPr>
            <w:tcW w:w="1058" w:type="dxa"/>
            <w:gridSpan w:val="2"/>
            <w:vMerge w:val="continue"/>
            <w:tcBorders>
              <w:tl2br w:val="nil"/>
              <w:tr2bl w:val="nil"/>
            </w:tcBorders>
            <w:vAlign w:val="center"/>
          </w:tcPr>
          <w:p w14:paraId="5E0E4A7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958" w:type="dxa"/>
            <w:tcBorders>
              <w:tl2br w:val="nil"/>
              <w:tr2bl w:val="nil"/>
            </w:tcBorders>
            <w:vAlign w:val="center"/>
          </w:tcPr>
          <w:p w14:paraId="01A0944C">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分娩废物</w:t>
            </w:r>
          </w:p>
        </w:tc>
        <w:tc>
          <w:tcPr>
            <w:tcW w:w="3277" w:type="dxa"/>
            <w:vMerge w:val="continue"/>
            <w:tcBorders>
              <w:tl2br w:val="nil"/>
              <w:tr2bl w:val="nil"/>
            </w:tcBorders>
            <w:vAlign w:val="center"/>
          </w:tcPr>
          <w:p w14:paraId="0A2497B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289" w:type="dxa"/>
            <w:tcBorders>
              <w:tl2br w:val="nil"/>
              <w:tr2bl w:val="nil"/>
            </w:tcBorders>
            <w:vAlign w:val="center"/>
          </w:tcPr>
          <w:p w14:paraId="500C9BC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eastAsia" w:ascii="Times New Roman" w:hAnsi="Times New Roman" w:eastAsia="宋体" w:cs="Times New Roman"/>
                <w:b w:val="0"/>
                <w:bCs w:val="0"/>
                <w:color w:val="auto"/>
                <w:spacing w:val="-2"/>
                <w:sz w:val="21"/>
                <w:szCs w:val="21"/>
                <w:highlight w:val="none"/>
                <w:vertAlign w:val="baseline"/>
                <w:lang w:val="en-US" w:eastAsia="zh-CN"/>
              </w:rPr>
              <w:t>/</w:t>
            </w:r>
          </w:p>
        </w:tc>
        <w:tc>
          <w:tcPr>
            <w:tcW w:w="1284" w:type="dxa"/>
            <w:tcBorders>
              <w:tl2br w:val="nil"/>
              <w:tr2bl w:val="nil"/>
            </w:tcBorders>
            <w:vAlign w:val="center"/>
          </w:tcPr>
          <w:p w14:paraId="24BC7026">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eastAsia" w:ascii="Times New Roman" w:hAnsi="Times New Roman" w:eastAsia="宋体" w:cs="Times New Roman"/>
                <w:b w:val="0"/>
                <w:bCs w:val="0"/>
                <w:color w:val="auto"/>
                <w:spacing w:val="-2"/>
                <w:sz w:val="21"/>
                <w:szCs w:val="21"/>
                <w:highlight w:val="none"/>
                <w:vertAlign w:val="baseline"/>
                <w:lang w:val="en-US" w:eastAsia="zh-CN"/>
              </w:rPr>
              <w:t>/</w:t>
            </w:r>
          </w:p>
        </w:tc>
        <w:tc>
          <w:tcPr>
            <w:tcW w:w="1350" w:type="dxa"/>
            <w:tcBorders>
              <w:tl2br w:val="nil"/>
              <w:tr2bl w:val="nil"/>
            </w:tcBorders>
            <w:vAlign w:val="center"/>
          </w:tcPr>
          <w:p w14:paraId="0A4CE8B1">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4t/a</w:t>
            </w:r>
          </w:p>
        </w:tc>
        <w:tc>
          <w:tcPr>
            <w:tcW w:w="849" w:type="dxa"/>
            <w:tcBorders>
              <w:tl2br w:val="nil"/>
              <w:tr2bl w:val="nil"/>
            </w:tcBorders>
            <w:vAlign w:val="center"/>
          </w:tcPr>
          <w:p w14:paraId="4739746C">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tcBorders>
              <w:tl2br w:val="nil"/>
              <w:tr2bl w:val="nil"/>
            </w:tcBorders>
            <w:vAlign w:val="center"/>
          </w:tcPr>
          <w:p w14:paraId="09937171">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妥善处置</w:t>
            </w:r>
          </w:p>
        </w:tc>
      </w:tr>
      <w:tr w14:paraId="1C95B1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1370" w:type="dxa"/>
            <w:vMerge w:val="continue"/>
            <w:tcBorders>
              <w:tl2br w:val="nil"/>
              <w:tr2bl w:val="nil"/>
            </w:tcBorders>
            <w:vAlign w:val="center"/>
          </w:tcPr>
          <w:p w14:paraId="47D6B6F5">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c>
          <w:tcPr>
            <w:tcW w:w="1058" w:type="dxa"/>
            <w:gridSpan w:val="2"/>
            <w:vMerge w:val="continue"/>
            <w:tcBorders>
              <w:tl2br w:val="nil"/>
              <w:tr2bl w:val="nil"/>
            </w:tcBorders>
            <w:vAlign w:val="center"/>
          </w:tcPr>
          <w:p w14:paraId="4CE850F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958" w:type="dxa"/>
            <w:tcBorders>
              <w:tl2br w:val="nil"/>
              <w:tr2bl w:val="nil"/>
            </w:tcBorders>
            <w:vAlign w:val="center"/>
          </w:tcPr>
          <w:p w14:paraId="2EEE940C">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医疗废物</w:t>
            </w:r>
          </w:p>
        </w:tc>
        <w:tc>
          <w:tcPr>
            <w:tcW w:w="3277" w:type="dxa"/>
            <w:tcBorders>
              <w:tl2br w:val="nil"/>
              <w:tr2bl w:val="nil"/>
            </w:tcBorders>
            <w:vAlign w:val="center"/>
          </w:tcPr>
          <w:p w14:paraId="1815CF7C">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委托双鸭山翁氏环保有限公司处置</w:t>
            </w:r>
          </w:p>
        </w:tc>
        <w:tc>
          <w:tcPr>
            <w:tcW w:w="1289" w:type="dxa"/>
            <w:tcBorders>
              <w:tl2br w:val="nil"/>
              <w:tr2bl w:val="nil"/>
            </w:tcBorders>
            <w:vAlign w:val="center"/>
          </w:tcPr>
          <w:p w14:paraId="12C4AEFA">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284" w:type="dxa"/>
            <w:tcBorders>
              <w:tl2br w:val="nil"/>
              <w:tr2bl w:val="nil"/>
            </w:tcBorders>
            <w:vAlign w:val="center"/>
          </w:tcPr>
          <w:p w14:paraId="2962730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350" w:type="dxa"/>
            <w:tcBorders>
              <w:tl2br w:val="nil"/>
              <w:tr2bl w:val="nil"/>
            </w:tcBorders>
            <w:vAlign w:val="center"/>
          </w:tcPr>
          <w:p w14:paraId="606F5DD8">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0.2/a</w:t>
            </w:r>
          </w:p>
        </w:tc>
        <w:tc>
          <w:tcPr>
            <w:tcW w:w="849" w:type="dxa"/>
            <w:tcBorders>
              <w:tl2br w:val="nil"/>
              <w:tr2bl w:val="nil"/>
            </w:tcBorders>
            <w:vAlign w:val="center"/>
          </w:tcPr>
          <w:p w14:paraId="7208BCD7">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tcBorders>
              <w:tl2br w:val="nil"/>
              <w:tr2bl w:val="nil"/>
            </w:tcBorders>
            <w:vAlign w:val="center"/>
          </w:tcPr>
          <w:p w14:paraId="7F5C2EC6">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妥善处置</w:t>
            </w:r>
          </w:p>
        </w:tc>
      </w:tr>
      <w:tr w14:paraId="3BC294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70" w:type="dxa"/>
            <w:vMerge w:val="continue"/>
            <w:tcBorders>
              <w:tl2br w:val="nil"/>
              <w:tr2bl w:val="nil"/>
            </w:tcBorders>
            <w:vAlign w:val="center"/>
          </w:tcPr>
          <w:p w14:paraId="6584B771">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p>
        </w:tc>
        <w:tc>
          <w:tcPr>
            <w:tcW w:w="1058" w:type="dxa"/>
            <w:gridSpan w:val="2"/>
            <w:vMerge w:val="continue"/>
            <w:tcBorders>
              <w:tl2br w:val="nil"/>
              <w:tr2bl w:val="nil"/>
            </w:tcBorders>
            <w:vAlign w:val="center"/>
          </w:tcPr>
          <w:p w14:paraId="17008AE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p>
        </w:tc>
        <w:tc>
          <w:tcPr>
            <w:tcW w:w="1958" w:type="dxa"/>
            <w:tcBorders>
              <w:tl2br w:val="nil"/>
              <w:tr2bl w:val="nil"/>
            </w:tcBorders>
            <w:vAlign w:val="center"/>
          </w:tcPr>
          <w:p w14:paraId="569E6EF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生活垃圾</w:t>
            </w:r>
          </w:p>
        </w:tc>
        <w:tc>
          <w:tcPr>
            <w:tcW w:w="3277" w:type="dxa"/>
            <w:tcBorders>
              <w:tl2br w:val="nil"/>
              <w:tr2bl w:val="nil"/>
            </w:tcBorders>
            <w:vAlign w:val="center"/>
          </w:tcPr>
          <w:p w14:paraId="4C809A8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集中收集后交由环卫部门处置</w:t>
            </w:r>
          </w:p>
        </w:tc>
        <w:tc>
          <w:tcPr>
            <w:tcW w:w="1289" w:type="dxa"/>
            <w:tcBorders>
              <w:tl2br w:val="nil"/>
              <w:tr2bl w:val="nil"/>
            </w:tcBorders>
            <w:vAlign w:val="center"/>
          </w:tcPr>
          <w:p w14:paraId="4B144533">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284" w:type="dxa"/>
            <w:tcBorders>
              <w:tl2br w:val="nil"/>
              <w:tr2bl w:val="nil"/>
            </w:tcBorders>
            <w:vAlign w:val="center"/>
          </w:tcPr>
          <w:p w14:paraId="767E40F2">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w:t>
            </w:r>
          </w:p>
        </w:tc>
        <w:tc>
          <w:tcPr>
            <w:tcW w:w="1350" w:type="dxa"/>
            <w:tcBorders>
              <w:tl2br w:val="nil"/>
              <w:tr2bl w:val="nil"/>
            </w:tcBorders>
            <w:vAlign w:val="center"/>
          </w:tcPr>
          <w:p w14:paraId="0790F660">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宋体" w:cs="Times New Roman"/>
                <w:b w:val="0"/>
                <w:bCs w:val="0"/>
                <w:color w:val="auto"/>
                <w:spacing w:val="-2"/>
                <w:sz w:val="21"/>
                <w:szCs w:val="21"/>
                <w:highlight w:val="none"/>
                <w:vertAlign w:val="baseline"/>
                <w:lang w:val="en-US" w:eastAsia="zh-CN"/>
              </w:rPr>
            </w:pPr>
            <w:r>
              <w:rPr>
                <w:rFonts w:hint="default" w:ascii="Times New Roman" w:hAnsi="Times New Roman" w:eastAsia="宋体" w:cs="Times New Roman"/>
                <w:b w:val="0"/>
                <w:bCs w:val="0"/>
                <w:color w:val="auto"/>
                <w:spacing w:val="-2"/>
                <w:sz w:val="21"/>
                <w:szCs w:val="21"/>
                <w:highlight w:val="none"/>
                <w:vertAlign w:val="baseline"/>
                <w:lang w:val="en-US" w:eastAsia="zh-CN"/>
              </w:rPr>
              <w:t>3.65t/a</w:t>
            </w:r>
          </w:p>
        </w:tc>
        <w:tc>
          <w:tcPr>
            <w:tcW w:w="849" w:type="dxa"/>
            <w:tcBorders>
              <w:tl2br w:val="nil"/>
              <w:tr2bl w:val="nil"/>
            </w:tcBorders>
            <w:vAlign w:val="center"/>
          </w:tcPr>
          <w:p w14:paraId="3318D524">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连续</w:t>
            </w:r>
          </w:p>
        </w:tc>
        <w:tc>
          <w:tcPr>
            <w:tcW w:w="2685" w:type="dxa"/>
            <w:tcBorders>
              <w:tl2br w:val="nil"/>
              <w:tr2bl w:val="nil"/>
            </w:tcBorders>
            <w:vAlign w:val="center"/>
          </w:tcPr>
          <w:p w14:paraId="5957D531">
            <w:pPr>
              <w:keepNext w:val="0"/>
              <w:keepLines w:val="0"/>
              <w:pageBreakBefore w:val="0"/>
              <w:widowControl/>
              <w:kinsoku/>
              <w:wordWrap w:val="0"/>
              <w:overflowPunct/>
              <w:topLinePunct/>
              <w:autoSpaceDE/>
              <w:autoSpaceDN/>
              <w:bidi w:val="0"/>
              <w:adjustRightInd w:val="0"/>
              <w:snapToGrid w:val="0"/>
              <w:jc w:val="center"/>
              <w:textAlignment w:val="baseline"/>
              <w:rPr>
                <w:rFonts w:hint="default" w:ascii="Times New Roman" w:hAnsi="Times New Roman" w:eastAsia="Times New Roman" w:cs="Times New Roman"/>
                <w:b w:val="0"/>
                <w:bCs w:val="0"/>
                <w:color w:val="auto"/>
                <w:spacing w:val="-2"/>
                <w:sz w:val="21"/>
                <w:szCs w:val="21"/>
                <w:highlight w:val="none"/>
                <w:vertAlign w:val="baseline"/>
              </w:rPr>
            </w:pPr>
            <w:r>
              <w:rPr>
                <w:rFonts w:hint="default" w:ascii="Times New Roman" w:hAnsi="Times New Roman" w:eastAsia="宋体" w:cs="Times New Roman"/>
                <w:b w:val="0"/>
                <w:bCs w:val="0"/>
                <w:color w:val="auto"/>
                <w:spacing w:val="-2"/>
                <w:sz w:val="21"/>
                <w:szCs w:val="21"/>
                <w:highlight w:val="none"/>
                <w:vertAlign w:val="baseline"/>
                <w:lang w:val="en-US" w:eastAsia="zh-CN"/>
              </w:rPr>
              <w:t>妥善处置</w:t>
            </w:r>
          </w:p>
        </w:tc>
      </w:tr>
    </w:tbl>
    <w:p w14:paraId="3CD358A5">
      <w:pPr>
        <w:pageBreakBefore w:val="0"/>
        <w:kinsoku/>
        <w:wordWrap w:val="0"/>
        <w:overflowPunct/>
        <w:topLinePunct/>
        <w:autoSpaceDE/>
        <w:autoSpaceDN/>
        <w:bidi w:val="0"/>
        <w:rPr>
          <w:rFonts w:hint="default" w:ascii="Times New Roman" w:hAnsi="Times New Roman" w:eastAsia="Times New Roman" w:cs="Times New Roman"/>
          <w:b/>
          <w:bCs/>
          <w:color w:val="auto"/>
          <w:spacing w:val="-2"/>
          <w:sz w:val="28"/>
          <w:szCs w:val="28"/>
          <w:highlight w:val="none"/>
        </w:rPr>
        <w:sectPr>
          <w:headerReference r:id="rId41"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76D87180">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3"/>
        <w:rPr>
          <w:rFonts w:hint="default" w:ascii="Times New Roman" w:hAnsi="Times New Roman" w:eastAsia="宋体" w:cs="Times New Roman"/>
          <w:b/>
          <w:bCs/>
          <w:color w:val="auto"/>
          <w:spacing w:val="-1"/>
          <w:sz w:val="24"/>
          <w:szCs w:val="24"/>
          <w:highlight w:val="none"/>
          <w:lang w:val="zh-CN" w:eastAsia="zh-CN"/>
        </w:rPr>
      </w:pPr>
      <w:r>
        <w:rPr>
          <w:rFonts w:hint="default" w:ascii="Times New Roman" w:hAnsi="Times New Roman" w:eastAsia="宋体" w:cs="Times New Roman"/>
          <w:b/>
          <w:bCs/>
          <w:color w:val="auto"/>
          <w:spacing w:val="-1"/>
          <w:sz w:val="24"/>
          <w:szCs w:val="24"/>
          <w:highlight w:val="none"/>
          <w:lang w:val="zh-CN" w:eastAsia="zh-CN"/>
        </w:rPr>
        <w:t>8.1.</w:t>
      </w:r>
      <w:r>
        <w:rPr>
          <w:rFonts w:hint="default"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宋体" w:cs="Times New Roman"/>
          <w:b/>
          <w:bCs/>
          <w:color w:val="auto"/>
          <w:spacing w:val="-1"/>
          <w:sz w:val="24"/>
          <w:szCs w:val="24"/>
          <w:highlight w:val="none"/>
          <w:lang w:val="zh-CN" w:eastAsia="zh-CN"/>
        </w:rPr>
        <w:t>.</w:t>
      </w:r>
      <w:r>
        <w:rPr>
          <w:rFonts w:hint="default" w:ascii="Times New Roman" w:hAnsi="Times New Roman" w:eastAsia="宋体" w:cs="Times New Roman"/>
          <w:b/>
          <w:bCs/>
          <w:color w:val="auto"/>
          <w:spacing w:val="-1"/>
          <w:sz w:val="24"/>
          <w:szCs w:val="24"/>
          <w:highlight w:val="none"/>
          <w:lang w:val="en-US" w:eastAsia="zh-CN"/>
        </w:rPr>
        <w:t>4</w:t>
      </w:r>
      <w:r>
        <w:rPr>
          <w:rFonts w:hint="default" w:ascii="Times New Roman" w:hAnsi="Times New Roman" w:eastAsia="宋体" w:cs="Times New Roman"/>
          <w:b/>
          <w:bCs/>
          <w:color w:val="auto"/>
          <w:spacing w:val="-1"/>
          <w:sz w:val="24"/>
          <w:szCs w:val="24"/>
          <w:highlight w:val="none"/>
          <w:lang w:val="zh-CN" w:eastAsia="zh-CN"/>
        </w:rPr>
        <w:t>排放管理要求</w:t>
      </w:r>
    </w:p>
    <w:p w14:paraId="247F899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zh-CN"/>
        </w:rPr>
        <w:t>（1）</w:t>
      </w:r>
      <w:r>
        <w:rPr>
          <w:rFonts w:hint="default" w:ascii="Times New Roman" w:hAnsi="Times New Roman" w:eastAsia="宋体" w:cs="Times New Roman"/>
          <w:color w:val="auto"/>
          <w:sz w:val="24"/>
          <w:szCs w:val="24"/>
          <w:highlight w:val="none"/>
        </w:rPr>
        <w:t>工程组成及原辅材料组分要求</w:t>
      </w:r>
    </w:p>
    <w:p w14:paraId="4DA68D15">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①选用优良新品种，采取适度规模的集约化养殖方式，采用能耗物耗小，污染物排放量少的清洁生产工艺。</w:t>
      </w:r>
    </w:p>
    <w:p w14:paraId="656D81A2">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2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②</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养殖场设施完善，牛舍结构合理。</w:t>
      </w:r>
    </w:p>
    <w:p w14:paraId="1B0E2C7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3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③</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kern w:val="0"/>
          <w:sz w:val="24"/>
          <w:szCs w:val="24"/>
          <w:highlight w:val="none"/>
        </w:rPr>
        <w:t>本项目牛舍区采用干撒式发酵床工艺，干撒式发酵床发酵菌剂可将牛尿、牛粪一部分降解为水蒸气和二氧化碳，另一部分转化为粗蛋白、菌体蛋白和维生素等营养物质。从源头上消除了粪尿对生态环境的污染</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b w:val="0"/>
          <w:bCs w:val="0"/>
          <w:color w:val="auto"/>
          <w:kern w:val="2"/>
          <w:sz w:val="24"/>
          <w:szCs w:val="24"/>
          <w:highlight w:val="none"/>
          <w:lang w:eastAsia="zh-CN"/>
        </w:rPr>
        <w:t>牛舍更换的发酵床垫料</w:t>
      </w:r>
      <w:r>
        <w:rPr>
          <w:rFonts w:hint="default" w:ascii="Times New Roman" w:hAnsi="Times New Roman" w:eastAsia="宋体" w:cs="Times New Roman"/>
          <w:b w:val="0"/>
          <w:bCs w:val="0"/>
          <w:color w:val="auto"/>
          <w:kern w:val="2"/>
          <w:sz w:val="24"/>
          <w:szCs w:val="24"/>
          <w:highlight w:val="none"/>
        </w:rPr>
        <w:t>，定期外售至有机肥厂</w:t>
      </w:r>
      <w:r>
        <w:rPr>
          <w:rFonts w:hint="default" w:ascii="Times New Roman" w:hAnsi="Times New Roman" w:eastAsia="宋体" w:cs="Times New Roman"/>
          <w:b w:val="0"/>
          <w:bCs w:val="0"/>
          <w:color w:val="auto"/>
          <w:kern w:val="2"/>
          <w:sz w:val="24"/>
          <w:szCs w:val="24"/>
          <w:highlight w:val="none"/>
          <w:lang w:eastAsia="zh-CN"/>
        </w:rPr>
        <w:t>。</w:t>
      </w:r>
    </w:p>
    <w:p w14:paraId="7AA25655">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4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④</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设备选型力求与生产能力相匹配，电器设备均选用节能型设备，包括电机、灯具等，力求做到用电及电力系统合理匹配，从而降低能耗。</w:t>
      </w:r>
    </w:p>
    <w:p w14:paraId="7953AD8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（2）建设项目拟采取的环境保护措施及主要运行参数</w:t>
      </w:r>
    </w:p>
    <w:p w14:paraId="71F4D2E4">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green"/>
          <w:lang w:val="en-US" w:eastAsia="zh-CN"/>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1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①</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lang w:val="zh-CN"/>
        </w:rPr>
        <w:t>牛舍</w:t>
      </w:r>
      <w:r>
        <w:rPr>
          <w:rFonts w:hint="default" w:ascii="Times New Roman" w:hAnsi="Times New Roman" w:eastAsia="宋体" w:cs="Times New Roman"/>
          <w:color w:val="auto"/>
          <w:sz w:val="24"/>
          <w:szCs w:val="24"/>
          <w:highlight w:val="none"/>
        </w:rPr>
        <w:t>采用干撒式发酵床工艺，干撒式发酵床发酵菌剂可将牛尿、牛粪一部分降解为水蒸气和二氧化碳，另一部分转化为粗蛋白、菌体蛋白和维生素等营养物质。从源头上消除了粪尿对生态环境的污染</w:t>
      </w:r>
      <w:r>
        <w:rPr>
          <w:rFonts w:hint="default" w:ascii="Times New Roman" w:hAnsi="Times New Roman" w:eastAsia="宋体" w:cs="Times New Roman"/>
          <w:color w:val="auto"/>
          <w:sz w:val="24"/>
          <w:szCs w:val="24"/>
          <w:highlight w:val="none"/>
          <w:lang w:eastAsia="zh-CN"/>
        </w:rPr>
        <w:t>，</w:t>
      </w:r>
      <w:r>
        <w:rPr>
          <w:rFonts w:hint="eastAsia" w:ascii="Times New Roman" w:hAnsi="Times New Roman" w:eastAsia="宋体" w:cs="Times New Roman"/>
          <w:snapToGrid w:val="0"/>
          <w:color w:val="auto"/>
          <w:kern w:val="0"/>
          <w:sz w:val="24"/>
          <w:szCs w:val="24"/>
          <w:highlight w:val="none"/>
          <w:lang w:val="en-US" w:eastAsia="zh-CN" w:bidi="ar"/>
        </w:rPr>
        <w:t>采取</w:t>
      </w:r>
      <w:r>
        <w:rPr>
          <w:rFonts w:hint="default" w:ascii="Times New Roman" w:hAnsi="Times New Roman" w:eastAsia="宋体" w:cs="Times New Roman"/>
          <w:snapToGrid w:val="0"/>
          <w:color w:val="auto"/>
          <w:kern w:val="0"/>
          <w:sz w:val="24"/>
          <w:szCs w:val="24"/>
          <w:highlight w:val="none"/>
          <w:lang w:val="en-US" w:eastAsia="zh-CN" w:bidi="ar"/>
        </w:rPr>
        <w:t>TMR 饲喂的同时，还应采用理想蛋白质体系配方，使肠内的有益细菌增殖，使肠的活动能力增强以提高蛋白质及其它营养的吸收效率，从而达到抑制粪尿恶臭的目的。</w:t>
      </w:r>
      <w:r>
        <w:rPr>
          <w:rFonts w:hint="eastAsia" w:ascii="Times New Roman" w:hAnsi="Times New Roman" w:eastAsia="宋体" w:cs="Times New Roman"/>
          <w:snapToGrid w:val="0"/>
          <w:color w:val="auto"/>
          <w:kern w:val="0"/>
          <w:sz w:val="24"/>
          <w:szCs w:val="24"/>
          <w:highlight w:val="none"/>
          <w:lang w:val="en-US" w:eastAsia="zh-CN" w:bidi="ar"/>
        </w:rPr>
        <w:t>同时采取喷洒微生物除臭剂，</w:t>
      </w:r>
      <w:r>
        <w:rPr>
          <w:rFonts w:hint="default" w:ascii="Times New Roman" w:hAnsi="Times New Roman" w:eastAsia="宋体" w:cs="Times New Roman"/>
          <w:color w:val="auto"/>
          <w:sz w:val="24"/>
          <w:szCs w:val="24"/>
          <w:highlight w:val="none"/>
        </w:rPr>
        <w:t>做好</w:t>
      </w:r>
      <w:r>
        <w:rPr>
          <w:rFonts w:hint="default" w:ascii="Times New Roman" w:hAnsi="Times New Roman" w:eastAsia="宋体" w:cs="Times New Roman"/>
          <w:color w:val="auto"/>
          <w:sz w:val="24"/>
          <w:szCs w:val="24"/>
          <w:highlight w:val="none"/>
          <w:lang w:eastAsia="zh-CN"/>
        </w:rPr>
        <w:t>牛</w:t>
      </w:r>
      <w:r>
        <w:rPr>
          <w:rFonts w:hint="default" w:ascii="Times New Roman" w:hAnsi="Times New Roman" w:eastAsia="宋体" w:cs="Times New Roman"/>
          <w:color w:val="auto"/>
          <w:sz w:val="24"/>
          <w:szCs w:val="24"/>
          <w:highlight w:val="none"/>
        </w:rPr>
        <w:t>舍内的通风换气</w:t>
      </w:r>
      <w:r>
        <w:rPr>
          <w:rFonts w:hint="default" w:ascii="Times New Roman" w:hAnsi="Times New Roman" w:eastAsia="宋体" w:cs="Times New Roman"/>
          <w:color w:val="auto"/>
          <w:sz w:val="24"/>
          <w:szCs w:val="24"/>
          <w:highlight w:val="none"/>
          <w:lang w:val="en-US" w:eastAsia="zh-CN"/>
        </w:rPr>
        <w:t>等措施；粪污储存间</w:t>
      </w:r>
      <w:r>
        <w:rPr>
          <w:rFonts w:hint="default" w:ascii="Times New Roman" w:hAnsi="Times New Roman" w:eastAsia="宋体" w:cs="Times New Roman"/>
          <w:color w:val="auto"/>
          <w:sz w:val="24"/>
          <w:szCs w:val="24"/>
          <w:highlight w:val="none"/>
        </w:rPr>
        <w:t>密闭形式，</w:t>
      </w:r>
      <w:r>
        <w:rPr>
          <w:rFonts w:hint="eastAsia" w:ascii="Times New Roman" w:hAnsi="Times New Roman" w:eastAsia="宋体" w:cs="Times New Roman"/>
          <w:color w:val="auto"/>
          <w:sz w:val="24"/>
          <w:szCs w:val="24"/>
          <w:highlight w:val="none"/>
          <w:lang w:eastAsia="zh-CN"/>
        </w:rPr>
        <w:t>恶臭</w:t>
      </w:r>
      <w:r>
        <w:rPr>
          <w:rFonts w:hint="default" w:ascii="Times New Roman" w:hAnsi="Times New Roman" w:eastAsia="宋体" w:cs="Times New Roman"/>
          <w:color w:val="auto"/>
          <w:sz w:val="24"/>
          <w:szCs w:val="24"/>
          <w:highlight w:val="none"/>
          <w:lang w:val="en-US" w:eastAsia="zh-CN"/>
        </w:rPr>
        <w:t>气体</w:t>
      </w:r>
      <w:r>
        <w:rPr>
          <w:rFonts w:hint="eastAsia" w:ascii="Times New Roman" w:hAnsi="Times New Roman" w:eastAsia="宋体" w:cs="Times New Roman"/>
          <w:color w:val="auto"/>
          <w:sz w:val="24"/>
          <w:szCs w:val="24"/>
          <w:highlight w:val="none"/>
          <w:lang w:val="en-US" w:eastAsia="zh-CN"/>
        </w:rPr>
        <w:t>经集气罩收集后经</w:t>
      </w:r>
      <w:r>
        <w:rPr>
          <w:rFonts w:hint="default" w:ascii="Times New Roman" w:hAnsi="Times New Roman" w:eastAsia="宋体" w:cs="Times New Roman"/>
          <w:color w:val="auto"/>
          <w:sz w:val="24"/>
          <w:szCs w:val="24"/>
          <w:highlight w:val="none"/>
          <w:lang w:val="en-US" w:eastAsia="zh-CN"/>
        </w:rPr>
        <w:t>活性炭</w:t>
      </w:r>
      <w:r>
        <w:rPr>
          <w:rFonts w:hint="eastAsia" w:ascii="Times New Roman" w:hAnsi="Times New Roman" w:eastAsia="宋体" w:cs="Times New Roman"/>
          <w:color w:val="auto"/>
          <w:sz w:val="24"/>
          <w:szCs w:val="24"/>
          <w:highlight w:val="none"/>
          <w:lang w:val="en-US" w:eastAsia="zh-CN"/>
        </w:rPr>
        <w:t>吸附经</w:t>
      </w:r>
      <w:r>
        <w:rPr>
          <w:rFonts w:hint="default" w:ascii="Times New Roman" w:hAnsi="Times New Roman" w:eastAsia="宋体" w:cs="Times New Roman"/>
          <w:color w:val="auto"/>
          <w:sz w:val="24"/>
          <w:szCs w:val="24"/>
          <w:highlight w:val="none"/>
          <w:lang w:val="en-US" w:eastAsia="zh-CN"/>
        </w:rPr>
        <w:t>15m高排气</w:t>
      </w:r>
      <w:r>
        <w:rPr>
          <w:rFonts w:hint="eastAsia" w:ascii="Times New Roman" w:hAnsi="Times New Roman" w:eastAsia="宋体" w:cs="Times New Roman"/>
          <w:color w:val="auto"/>
          <w:sz w:val="24"/>
          <w:szCs w:val="24"/>
          <w:highlight w:val="none"/>
          <w:lang w:val="en-US" w:eastAsia="zh-CN"/>
        </w:rPr>
        <w:t>筒</w:t>
      </w:r>
      <w:r>
        <w:rPr>
          <w:rFonts w:hint="default" w:ascii="Times New Roman" w:hAnsi="Times New Roman" w:eastAsia="宋体" w:cs="Times New Roman"/>
          <w:color w:val="auto"/>
          <w:sz w:val="24"/>
          <w:szCs w:val="24"/>
          <w:highlight w:val="none"/>
          <w:lang w:val="en-US" w:eastAsia="zh-CN"/>
        </w:rPr>
        <w:t>有组织排放</w:t>
      </w:r>
      <w:r>
        <w:rPr>
          <w:rFonts w:hint="eastAsia" w:ascii="Times New Roman" w:hAnsi="Times New Roman" w:eastAsia="宋体" w:cs="Times New Roman"/>
          <w:color w:val="auto"/>
          <w:sz w:val="24"/>
          <w:szCs w:val="24"/>
          <w:highlight w:val="green"/>
          <w:lang w:val="en-US" w:eastAsia="zh-CN"/>
        </w:rPr>
        <w:t>，集气罩收集效率为80%，活性炭吸附恶臭气体的设计吸附效率为80%，设计风机风量为1000m</w:t>
      </w:r>
      <w:r>
        <w:rPr>
          <w:rFonts w:hint="eastAsia" w:ascii="Times New Roman" w:hAnsi="Times New Roman" w:eastAsia="宋体" w:cs="Times New Roman"/>
          <w:color w:val="auto"/>
          <w:sz w:val="24"/>
          <w:szCs w:val="24"/>
          <w:highlight w:val="green"/>
          <w:vertAlign w:val="superscript"/>
          <w:lang w:val="en-US" w:eastAsia="zh-CN"/>
        </w:rPr>
        <w:t>3</w:t>
      </w:r>
      <w:r>
        <w:rPr>
          <w:rFonts w:hint="eastAsia" w:ascii="Times New Roman" w:hAnsi="Times New Roman" w:eastAsia="宋体" w:cs="Times New Roman"/>
          <w:color w:val="auto"/>
          <w:sz w:val="24"/>
          <w:szCs w:val="24"/>
          <w:highlight w:val="green"/>
          <w:lang w:val="en-US" w:eastAsia="zh-CN"/>
        </w:rPr>
        <w:t>/h。无组织</w:t>
      </w:r>
      <w:r>
        <w:rPr>
          <w:rFonts w:hint="default" w:ascii="Times New Roman" w:hAnsi="Times New Roman" w:eastAsia="宋体" w:cs="Times New Roman"/>
          <w:color w:val="auto"/>
          <w:sz w:val="24"/>
          <w:szCs w:val="24"/>
          <w:highlight w:val="green"/>
          <w:lang w:val="zh-CN" w:eastAsia="en-US"/>
        </w:rPr>
        <w:t>臭气浓度</w:t>
      </w:r>
      <w:r>
        <w:rPr>
          <w:rFonts w:hint="eastAsia" w:ascii="Times New Roman" w:hAnsi="Times New Roman" w:eastAsia="宋体" w:cs="Times New Roman"/>
          <w:color w:val="auto"/>
          <w:sz w:val="24"/>
          <w:szCs w:val="24"/>
          <w:highlight w:val="green"/>
          <w:lang w:val="zh-CN" w:eastAsia="en-US"/>
        </w:rPr>
        <w:t>、</w:t>
      </w:r>
      <w:r>
        <w:rPr>
          <w:rFonts w:hint="default" w:ascii="Times New Roman" w:hAnsi="Times New Roman" w:eastAsia="宋体" w:cs="Times New Roman"/>
          <w:color w:val="auto"/>
          <w:sz w:val="24"/>
          <w:szCs w:val="24"/>
          <w:highlight w:val="green"/>
        </w:rPr>
        <w:t>硫化氢、氨</w:t>
      </w:r>
      <w:r>
        <w:rPr>
          <w:rFonts w:hint="default" w:ascii="Times New Roman" w:hAnsi="Times New Roman" w:eastAsia="宋体" w:cs="Times New Roman"/>
          <w:color w:val="auto"/>
          <w:sz w:val="24"/>
          <w:szCs w:val="24"/>
          <w:highlight w:val="green"/>
          <w:lang w:val="en-US" w:eastAsia="zh-CN"/>
        </w:rPr>
        <w:t>厂界无组织排放浓度可</w:t>
      </w:r>
      <w:r>
        <w:rPr>
          <w:rFonts w:hint="default" w:ascii="Times New Roman" w:hAnsi="Times New Roman" w:eastAsia="宋体" w:cs="Times New Roman"/>
          <w:color w:val="auto"/>
          <w:sz w:val="24"/>
          <w:szCs w:val="24"/>
          <w:highlight w:val="green"/>
        </w:rPr>
        <w:t>满足</w:t>
      </w:r>
      <w:r>
        <w:rPr>
          <w:rFonts w:hint="default" w:ascii="Times New Roman" w:hAnsi="Times New Roman" w:eastAsia="宋体" w:cs="Times New Roman"/>
          <w:b w:val="0"/>
          <w:bCs w:val="0"/>
          <w:snapToGrid w:val="0"/>
          <w:color w:val="auto"/>
          <w:kern w:val="0"/>
          <w:sz w:val="24"/>
          <w:szCs w:val="24"/>
          <w:highlight w:val="green"/>
        </w:rPr>
        <w:t>《恶臭污染物排放标准》（GB14554-93）表1中二级新扩改建标准</w:t>
      </w:r>
      <w:r>
        <w:rPr>
          <w:rFonts w:hint="default" w:ascii="Times New Roman" w:hAnsi="Times New Roman" w:eastAsia="宋体" w:cs="Times New Roman"/>
          <w:b w:val="0"/>
          <w:bCs w:val="0"/>
          <w:snapToGrid w:val="0"/>
          <w:color w:val="auto"/>
          <w:kern w:val="0"/>
          <w:sz w:val="24"/>
          <w:szCs w:val="24"/>
          <w:highlight w:val="green"/>
          <w:lang w:val="en-US" w:eastAsia="zh-CN"/>
        </w:rPr>
        <w:t>限值</w:t>
      </w:r>
      <w:r>
        <w:rPr>
          <w:rFonts w:hint="default" w:ascii="Times New Roman" w:hAnsi="Times New Roman" w:eastAsia="宋体" w:cs="Times New Roman"/>
          <w:color w:val="auto"/>
          <w:sz w:val="24"/>
          <w:szCs w:val="24"/>
          <w:highlight w:val="green"/>
        </w:rPr>
        <w:t>。</w:t>
      </w:r>
      <w:r>
        <w:rPr>
          <w:rFonts w:hint="eastAsia" w:ascii="Times New Roman" w:hAnsi="Times New Roman" w:eastAsia="宋体" w:cs="Times New Roman"/>
          <w:color w:val="auto"/>
          <w:sz w:val="24"/>
          <w:szCs w:val="24"/>
          <w:highlight w:val="green"/>
          <w:lang w:val="en-US" w:eastAsia="zh-CN"/>
        </w:rPr>
        <w:t>有组织臭气浓度、氨、硫化氢排放标准满足《恶臭污染物排放标准》（GB14554-93）表2中15m高排气筒标准要求</w:t>
      </w:r>
    </w:p>
    <w:p w14:paraId="3FD233EC">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zh-CN"/>
        </w:rPr>
        <w:fldChar w:fldCharType="begin"/>
      </w:r>
      <w:r>
        <w:rPr>
          <w:rFonts w:hint="default" w:ascii="Times New Roman" w:hAnsi="Times New Roman" w:eastAsia="宋体" w:cs="Times New Roman"/>
          <w:color w:val="auto"/>
          <w:sz w:val="24"/>
          <w:szCs w:val="24"/>
          <w:highlight w:val="none"/>
          <w:lang w:val="zh-CN"/>
        </w:rPr>
        <w:instrText xml:space="preserve"> = 2 \* GB3 </w:instrText>
      </w:r>
      <w:r>
        <w:rPr>
          <w:rFonts w:hint="default" w:ascii="Times New Roman" w:hAnsi="Times New Roman" w:eastAsia="宋体" w:cs="Times New Roman"/>
          <w:color w:val="auto"/>
          <w:sz w:val="24"/>
          <w:szCs w:val="24"/>
          <w:highlight w:val="none"/>
          <w:lang w:val="zh-CN"/>
        </w:rPr>
        <w:fldChar w:fldCharType="separate"/>
      </w:r>
      <w:r>
        <w:rPr>
          <w:rFonts w:hint="default" w:ascii="Times New Roman" w:hAnsi="Times New Roman" w:eastAsia="宋体" w:cs="Times New Roman"/>
          <w:color w:val="auto"/>
          <w:sz w:val="24"/>
          <w:szCs w:val="24"/>
          <w:highlight w:val="none"/>
          <w:lang w:val="zh-CN"/>
        </w:rPr>
        <w:t>②</w:t>
      </w:r>
      <w:r>
        <w:rPr>
          <w:rFonts w:hint="default" w:ascii="Times New Roman" w:hAnsi="Times New Roman" w:eastAsia="宋体" w:cs="Times New Roman"/>
          <w:color w:val="auto"/>
          <w:sz w:val="24"/>
          <w:szCs w:val="24"/>
          <w:highlight w:val="none"/>
          <w:lang w:val="zh-CN"/>
        </w:rPr>
        <w:fldChar w:fldCharType="end"/>
      </w:r>
      <w:r>
        <w:rPr>
          <w:rFonts w:hint="default" w:ascii="Times New Roman" w:hAnsi="Times New Roman" w:eastAsia="宋体" w:cs="Times New Roman"/>
          <w:snapToGrid w:val="0"/>
          <w:color w:val="auto"/>
          <w:kern w:val="0"/>
          <w:sz w:val="24"/>
          <w:szCs w:val="24"/>
          <w:highlight w:val="none"/>
        </w:rPr>
        <w:t>干撒式发酵床发酵菌剂可将牛尿、牛粪一部分降解为水蒸气和二氧化碳，另一部分转化为粗蛋白、菌体蛋白和维生素等营养物质。从源头上消除了粪尿对生态环境的污染</w:t>
      </w:r>
      <w:r>
        <w:rPr>
          <w:rFonts w:hint="default" w:ascii="Times New Roman" w:hAnsi="Times New Roman" w:eastAsia="宋体" w:cs="Times New Roman"/>
          <w:snapToGrid w:val="0"/>
          <w:color w:val="auto"/>
          <w:kern w:val="0"/>
          <w:sz w:val="24"/>
          <w:szCs w:val="24"/>
          <w:highlight w:val="none"/>
          <w:lang w:eastAsia="zh-CN"/>
        </w:rPr>
        <w:t>，</w:t>
      </w:r>
      <w:r>
        <w:rPr>
          <w:rFonts w:hint="default" w:ascii="Times New Roman" w:hAnsi="Times New Roman" w:eastAsia="宋体" w:cs="Times New Roman"/>
          <w:snapToGrid w:val="0"/>
          <w:color w:val="auto"/>
          <w:kern w:val="0"/>
          <w:sz w:val="24"/>
          <w:szCs w:val="24"/>
          <w:highlight w:val="none"/>
          <w:lang w:val="en-US" w:eastAsia="zh-CN"/>
        </w:rPr>
        <w:t>不外排；</w:t>
      </w:r>
      <w:r>
        <w:rPr>
          <w:rFonts w:hint="default" w:ascii="Times New Roman" w:hAnsi="Times New Roman" w:eastAsia="宋体" w:cs="Times New Roman"/>
          <w:color w:val="auto"/>
          <w:sz w:val="24"/>
          <w:szCs w:val="24"/>
          <w:highlight w:val="none"/>
          <w:lang w:val="en-US" w:eastAsia="zh-CN"/>
        </w:rPr>
        <w:t>生活污水防渗旱厕定期清掏，不外排</w:t>
      </w:r>
      <w:r>
        <w:rPr>
          <w:rFonts w:hint="default" w:ascii="Times New Roman" w:hAnsi="Times New Roman" w:eastAsia="宋体" w:cs="Times New Roman"/>
          <w:color w:val="auto"/>
          <w:sz w:val="24"/>
          <w:szCs w:val="24"/>
          <w:highlight w:val="none"/>
        </w:rPr>
        <w:t>。</w:t>
      </w:r>
    </w:p>
    <w:p w14:paraId="4BDA21F9">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fldChar w:fldCharType="begin"/>
      </w:r>
      <w:r>
        <w:rPr>
          <w:rFonts w:hint="default" w:ascii="Times New Roman" w:hAnsi="Times New Roman" w:eastAsia="宋体" w:cs="Times New Roman"/>
          <w:color w:val="auto"/>
          <w:sz w:val="24"/>
          <w:szCs w:val="24"/>
          <w:highlight w:val="none"/>
        </w:rPr>
        <w:instrText xml:space="preserve"> = 3 \* GB3 </w:instrText>
      </w:r>
      <w:r>
        <w:rPr>
          <w:rFonts w:hint="default" w:ascii="Times New Roman" w:hAnsi="Times New Roman" w:eastAsia="宋体" w:cs="Times New Roman"/>
          <w:color w:val="auto"/>
          <w:sz w:val="24"/>
          <w:szCs w:val="24"/>
          <w:highlight w:val="none"/>
        </w:rPr>
        <w:fldChar w:fldCharType="separate"/>
      </w:r>
      <w:r>
        <w:rPr>
          <w:rFonts w:hint="default" w:ascii="Times New Roman" w:hAnsi="Times New Roman" w:eastAsia="宋体" w:cs="Times New Roman"/>
          <w:color w:val="auto"/>
          <w:sz w:val="24"/>
          <w:szCs w:val="24"/>
          <w:highlight w:val="none"/>
        </w:rPr>
        <w:t>③</w:t>
      </w:r>
      <w:r>
        <w:rPr>
          <w:rFonts w:hint="default" w:ascii="Times New Roman" w:hAnsi="Times New Roman" w:eastAsia="宋体" w:cs="Times New Roman"/>
          <w:color w:val="auto"/>
          <w:sz w:val="24"/>
          <w:szCs w:val="24"/>
          <w:highlight w:val="none"/>
        </w:rPr>
        <w:fldChar w:fldCharType="end"/>
      </w:r>
      <w:r>
        <w:rPr>
          <w:rFonts w:hint="default" w:ascii="Times New Roman" w:hAnsi="Times New Roman" w:eastAsia="宋体" w:cs="Times New Roman"/>
          <w:color w:val="auto"/>
          <w:sz w:val="24"/>
          <w:szCs w:val="24"/>
          <w:highlight w:val="none"/>
        </w:rPr>
        <w:t>地下水防渗</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包含现有工程</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：医疗废物暂存间、</w:t>
      </w:r>
      <w:r>
        <w:rPr>
          <w:rFonts w:hint="default" w:ascii="Times New Roman" w:hAnsi="Times New Roman" w:eastAsia="宋体" w:cs="Times New Roman"/>
          <w:color w:val="auto"/>
          <w:sz w:val="24"/>
          <w:szCs w:val="24"/>
          <w:highlight w:val="none"/>
          <w:lang w:val="en-US" w:eastAsia="zh-CN"/>
        </w:rPr>
        <w:t>粪污储存间</w:t>
      </w:r>
      <w:r>
        <w:rPr>
          <w:rFonts w:hint="default" w:ascii="Times New Roman" w:hAnsi="Times New Roman" w:eastAsia="宋体" w:cs="Times New Roman"/>
          <w:color w:val="auto"/>
          <w:sz w:val="24"/>
          <w:szCs w:val="24"/>
          <w:highlight w:val="none"/>
        </w:rPr>
        <w:t>按重点防渗区采取</w:t>
      </w:r>
      <w:r>
        <w:rPr>
          <w:rFonts w:hint="default" w:ascii="Times New Roman" w:hAnsi="Times New Roman" w:eastAsia="宋体" w:cs="Times New Roman"/>
          <w:color w:val="auto"/>
          <w:sz w:val="24"/>
          <w:szCs w:val="24"/>
          <w:highlight w:val="none"/>
          <w:lang w:val="en-US" w:eastAsia="zh-CN"/>
        </w:rPr>
        <w:t>重点</w:t>
      </w:r>
      <w:r>
        <w:rPr>
          <w:rFonts w:hint="default" w:ascii="Times New Roman" w:hAnsi="Times New Roman" w:eastAsia="宋体" w:cs="Times New Roman"/>
          <w:color w:val="auto"/>
          <w:sz w:val="24"/>
          <w:szCs w:val="24"/>
          <w:highlight w:val="none"/>
        </w:rPr>
        <w:t>防渗措施</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牛舍、</w:t>
      </w:r>
      <w:r>
        <w:rPr>
          <w:rFonts w:hint="default" w:ascii="Times New Roman" w:hAnsi="Times New Roman" w:eastAsia="宋体" w:cs="Times New Roman"/>
          <w:color w:val="auto"/>
          <w:sz w:val="24"/>
          <w:szCs w:val="24"/>
          <w:highlight w:val="none"/>
          <w:lang w:val="en-US" w:eastAsia="zh-CN"/>
        </w:rPr>
        <w:t>运动场、</w:t>
      </w:r>
      <w:r>
        <w:rPr>
          <w:rFonts w:hint="default" w:ascii="Times New Roman" w:hAnsi="Times New Roman" w:eastAsia="宋体" w:cs="Times New Roman"/>
          <w:color w:val="auto"/>
          <w:sz w:val="24"/>
          <w:szCs w:val="24"/>
          <w:highlight w:val="none"/>
          <w:lang w:eastAsia="zh-CN"/>
        </w:rPr>
        <w:t>青储窖</w:t>
      </w:r>
      <w:r>
        <w:rPr>
          <w:rFonts w:hint="default" w:ascii="Times New Roman" w:hAnsi="Times New Roman" w:eastAsia="宋体" w:cs="Times New Roman"/>
          <w:color w:val="auto"/>
          <w:sz w:val="24"/>
          <w:szCs w:val="24"/>
          <w:highlight w:val="none"/>
        </w:rPr>
        <w:t>、化粪池、闲置用房采取一般防渗措施</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办公室</w:t>
      </w:r>
      <w:r>
        <w:rPr>
          <w:rFonts w:hint="default" w:ascii="Times New Roman" w:hAnsi="Times New Roman" w:eastAsia="宋体" w:cs="Times New Roman"/>
          <w:color w:val="auto"/>
          <w:sz w:val="24"/>
          <w:szCs w:val="24"/>
          <w:highlight w:val="none"/>
        </w:rPr>
        <w:t>、道路进行简单防渗处理，对其地面采用混凝土进行一般地面硬化。</w:t>
      </w:r>
    </w:p>
    <w:p w14:paraId="77DE511B">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b w:val="0"/>
          <w:bCs w:val="0"/>
          <w:color w:val="auto"/>
          <w:kern w:val="2"/>
          <w:sz w:val="24"/>
          <w:szCs w:val="24"/>
          <w:highlight w:val="none"/>
          <w:lang w:val="en-US" w:eastAsia="zh-CN"/>
        </w:rPr>
        <w:t>④</w:t>
      </w:r>
      <w:r>
        <w:rPr>
          <w:rFonts w:hint="default" w:ascii="Times New Roman" w:hAnsi="Times New Roman" w:eastAsia="宋体" w:cs="Times New Roman"/>
          <w:color w:val="auto"/>
          <w:sz w:val="24"/>
          <w:szCs w:val="24"/>
          <w:highlight w:val="none"/>
        </w:rPr>
        <w:t>选用低噪声设备、高噪声设备</w:t>
      </w:r>
      <w:r>
        <w:rPr>
          <w:rFonts w:hint="default" w:ascii="Times New Roman" w:hAnsi="Times New Roman" w:eastAsia="宋体" w:cs="Times New Roman"/>
          <w:color w:val="auto"/>
          <w:sz w:val="24"/>
          <w:szCs w:val="24"/>
          <w:highlight w:val="none"/>
          <w:lang w:eastAsia="zh-CN"/>
        </w:rPr>
        <w:t>减振</w:t>
      </w:r>
      <w:r>
        <w:rPr>
          <w:rFonts w:hint="default" w:ascii="Times New Roman" w:hAnsi="Times New Roman" w:eastAsia="宋体" w:cs="Times New Roman"/>
          <w:color w:val="auto"/>
          <w:sz w:val="24"/>
          <w:szCs w:val="24"/>
          <w:highlight w:val="none"/>
        </w:rPr>
        <w:t>、隔声，车间封闭等措施</w:t>
      </w:r>
      <w:r>
        <w:rPr>
          <w:rFonts w:hint="default" w:ascii="Times New Roman" w:hAnsi="Times New Roman" w:eastAsia="宋体" w:cs="Times New Roman"/>
          <w:color w:val="auto"/>
          <w:sz w:val="24"/>
          <w:szCs w:val="24"/>
          <w:highlight w:val="none"/>
          <w:lang w:eastAsia="zh-CN"/>
        </w:rPr>
        <w:t>，厂界外1m处</w:t>
      </w:r>
      <w:r>
        <w:rPr>
          <w:rFonts w:hint="default" w:ascii="Times New Roman" w:hAnsi="Times New Roman" w:eastAsia="宋体" w:cs="Times New Roman"/>
          <w:color w:val="auto"/>
          <w:sz w:val="24"/>
          <w:szCs w:val="24"/>
          <w:highlight w:val="none"/>
          <w:lang w:val="en-US" w:eastAsia="zh-CN"/>
        </w:rPr>
        <w:t>可</w:t>
      </w:r>
      <w:r>
        <w:rPr>
          <w:rFonts w:hint="default" w:ascii="Times New Roman" w:hAnsi="Times New Roman" w:eastAsia="宋体" w:cs="Times New Roman"/>
          <w:color w:val="auto"/>
          <w:sz w:val="24"/>
          <w:szCs w:val="24"/>
          <w:highlight w:val="none"/>
          <w:lang w:eastAsia="zh-CN"/>
        </w:rPr>
        <w:t>够满足《工业企业厂界环境噪声排放标准》（GB12348-2008）表1中</w:t>
      </w:r>
      <w:r>
        <w:rPr>
          <w:rFonts w:hint="default" w:ascii="Times New Roman" w:hAnsi="Times New Roman" w:eastAsia="宋体" w:cs="Times New Roman"/>
          <w:color w:val="FF0000"/>
          <w:sz w:val="24"/>
          <w:szCs w:val="24"/>
          <w:highlight w:val="none"/>
          <w:lang w:val="en-US" w:eastAsia="zh-CN"/>
        </w:rPr>
        <w:t>1</w:t>
      </w:r>
      <w:r>
        <w:rPr>
          <w:rFonts w:hint="default" w:ascii="Times New Roman" w:hAnsi="Times New Roman" w:eastAsia="宋体" w:cs="Times New Roman"/>
          <w:color w:val="FF0000"/>
          <w:sz w:val="24"/>
          <w:szCs w:val="24"/>
          <w:highlight w:val="none"/>
          <w:lang w:eastAsia="zh-CN"/>
        </w:rPr>
        <w:t>类标准限值的要求。</w:t>
      </w:r>
    </w:p>
    <w:p w14:paraId="4EFAF38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b w:val="0"/>
          <w:bCs w:val="0"/>
          <w:color w:val="auto"/>
          <w:kern w:val="2"/>
          <w:sz w:val="24"/>
          <w:szCs w:val="24"/>
          <w:highlight w:val="none"/>
          <w:lang w:val="en-US" w:eastAsia="zh-CN"/>
        </w:rPr>
        <w:t>⑤</w:t>
      </w:r>
      <w:r>
        <w:rPr>
          <w:rFonts w:hint="default" w:ascii="Times New Roman" w:hAnsi="Times New Roman" w:eastAsia="宋体" w:cs="Times New Roman"/>
          <w:color w:val="auto"/>
          <w:sz w:val="24"/>
          <w:szCs w:val="24"/>
          <w:highlight w:val="none"/>
          <w:lang w:val="en-US" w:eastAsia="zh-CN"/>
        </w:rPr>
        <w:t>本项目牛舍更换的发酵床垫料，定期外售至有机肥厂，实现资源化利用；病死牛委托有资质单位处理；防疫、治疗过程产生的废注射器和废药瓶暂存于医疗废物暂存间内，交由有资质单位处置。</w:t>
      </w:r>
      <w:r>
        <w:rPr>
          <w:rFonts w:hint="default" w:ascii="Times New Roman" w:hAnsi="Times New Roman" w:eastAsia="宋体" w:cs="Times New Roman"/>
          <w:color w:val="auto"/>
          <w:sz w:val="24"/>
          <w:szCs w:val="24"/>
          <w:highlight w:val="none"/>
        </w:rPr>
        <w:t>本项目固体废物处置率达到100%</w:t>
      </w:r>
      <w:r>
        <w:rPr>
          <w:rFonts w:hint="default" w:ascii="Times New Roman" w:hAnsi="Times New Roman" w:eastAsia="宋体" w:cs="Times New Roman"/>
          <w:color w:val="auto"/>
          <w:sz w:val="24"/>
          <w:szCs w:val="24"/>
          <w:highlight w:val="none"/>
          <w:lang w:eastAsia="zh-CN"/>
        </w:rPr>
        <w:t>。</w:t>
      </w:r>
    </w:p>
    <w:p w14:paraId="1D26CDE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（3）社会公开的信息内容</w:t>
      </w:r>
    </w:p>
    <w:p w14:paraId="0C74826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snapToGrid w:val="0"/>
          <w:color w:val="auto"/>
          <w:kern w:val="0"/>
          <w:sz w:val="24"/>
          <w:szCs w:val="24"/>
          <w:highlight w:val="none"/>
        </w:rPr>
        <w:t>企业应积极主动对污染物定期监测信息进行公开，采用张贴公示版等形式对污染物排放情况、污染防治措施运行情况进行公开，保证公众知情权。</w:t>
      </w:r>
    </w:p>
    <w:p w14:paraId="266C255A">
      <w:pPr>
        <w:keepNext w:val="0"/>
        <w:keepLines w:val="0"/>
        <w:pageBreakBefore w:val="0"/>
        <w:kinsoku/>
        <w:wordWrap w:val="0"/>
        <w:overflowPunct/>
        <w:topLinePunct/>
        <w:autoSpaceDE/>
        <w:autoSpaceDN/>
        <w:bidi w:val="0"/>
        <w:adjustRightInd w:val="0"/>
        <w:snapToGrid w:val="0"/>
        <w:spacing w:before="172" w:line="234" w:lineRule="auto"/>
        <w:ind w:left="2"/>
        <w:textAlignment w:val="baseline"/>
        <w:outlineLvl w:val="1"/>
        <w:rPr>
          <w:rFonts w:hint="default" w:ascii="Times New Roman" w:hAnsi="Times New Roman" w:eastAsia="宋体" w:cs="Times New Roman"/>
          <w:color w:val="auto"/>
          <w:sz w:val="30"/>
          <w:szCs w:val="30"/>
          <w:highlight w:val="none"/>
        </w:rPr>
      </w:pPr>
      <w:bookmarkStart w:id="258" w:name="_Toc3504"/>
      <w:bookmarkStart w:id="259" w:name="_Toc21568"/>
      <w:bookmarkStart w:id="260" w:name="_Toc17531"/>
      <w:r>
        <w:rPr>
          <w:rFonts w:hint="default" w:ascii="Times New Roman" w:hAnsi="Times New Roman" w:eastAsia="Times New Roman" w:cs="Times New Roman"/>
          <w:b/>
          <w:bCs/>
          <w:color w:val="auto"/>
          <w:spacing w:val="-3"/>
          <w:sz w:val="30"/>
          <w:szCs w:val="30"/>
          <w:highlight w:val="none"/>
        </w:rPr>
        <w:t>8.2</w:t>
      </w:r>
      <w:r>
        <w:rPr>
          <w:rFonts w:hint="default" w:ascii="Times New Roman" w:hAnsi="Times New Roman" w:eastAsia="宋体" w:cs="Times New Roman"/>
          <w:b/>
          <w:bCs/>
          <w:color w:val="auto"/>
          <w:spacing w:val="-3"/>
          <w:sz w:val="30"/>
          <w:szCs w:val="30"/>
          <w:highlight w:val="none"/>
        </w:rPr>
        <w:t>环境监测</w:t>
      </w:r>
      <w:bookmarkEnd w:id="258"/>
      <w:bookmarkEnd w:id="259"/>
      <w:bookmarkEnd w:id="260"/>
    </w:p>
    <w:p w14:paraId="1C31C646">
      <w:pPr>
        <w:keepNext w:val="0"/>
        <w:keepLines w:val="0"/>
        <w:pageBreakBefore w:val="0"/>
        <w:kinsoku/>
        <w:wordWrap w:val="0"/>
        <w:overflowPunct/>
        <w:topLinePunct/>
        <w:autoSpaceDE/>
        <w:autoSpaceDN/>
        <w:bidi w:val="0"/>
        <w:adjustRightInd w:val="0"/>
        <w:snapToGrid w:val="0"/>
        <w:spacing w:before="194" w:line="360" w:lineRule="auto"/>
        <w:ind w:left="1" w:firstLine="478"/>
        <w:jc w:val="both"/>
        <w:textAlignment w:val="baseline"/>
        <w:rPr>
          <w:rFonts w:hint="default" w:ascii="Times New Roman" w:hAnsi="Times New Roman" w:eastAsia="宋体" w:cs="Times New Roman"/>
          <w:color w:val="auto"/>
          <w:spacing w:val="-1"/>
          <w:sz w:val="24"/>
          <w:szCs w:val="24"/>
          <w:highlight w:val="none"/>
        </w:rPr>
      </w:pPr>
      <w:r>
        <w:rPr>
          <w:rFonts w:hint="default" w:ascii="Times New Roman" w:hAnsi="Times New Roman" w:eastAsia="宋体" w:cs="Times New Roman"/>
          <w:color w:val="auto"/>
          <w:spacing w:val="-8"/>
          <w:sz w:val="24"/>
          <w:szCs w:val="24"/>
          <w:highlight w:val="none"/>
        </w:rPr>
        <w:t>环境监测有两方面含义：一方面是要检验环境管理制度的实施情况，对环境目标、</w:t>
      </w:r>
      <w:r>
        <w:rPr>
          <w:rFonts w:hint="default" w:ascii="Times New Roman" w:hAnsi="Times New Roman" w:eastAsia="宋体" w:cs="Times New Roman"/>
          <w:color w:val="auto"/>
          <w:spacing w:val="-3"/>
          <w:sz w:val="24"/>
          <w:szCs w:val="24"/>
          <w:highlight w:val="none"/>
        </w:rPr>
        <w:t>指标的实现情况，对法律法规的遵循情况，以及</w:t>
      </w:r>
      <w:r>
        <w:rPr>
          <w:rFonts w:hint="default" w:ascii="Times New Roman" w:hAnsi="Times New Roman" w:eastAsia="宋体" w:cs="Times New Roman"/>
          <w:color w:val="auto"/>
          <w:spacing w:val="-4"/>
          <w:sz w:val="24"/>
          <w:szCs w:val="24"/>
          <w:highlight w:val="none"/>
        </w:rPr>
        <w:t>所取得的环境结果如何进行监督；另</w:t>
      </w:r>
      <w:r>
        <w:rPr>
          <w:rFonts w:hint="default" w:ascii="Times New Roman" w:hAnsi="Times New Roman" w:eastAsia="宋体" w:cs="Times New Roman"/>
          <w:color w:val="auto"/>
          <w:spacing w:val="-3"/>
          <w:sz w:val="24"/>
          <w:szCs w:val="24"/>
          <w:highlight w:val="none"/>
        </w:rPr>
        <w:t>一方面对重要环境污染源进行例行监测，并应提</w:t>
      </w:r>
      <w:r>
        <w:rPr>
          <w:rFonts w:hint="default" w:ascii="Times New Roman" w:hAnsi="Times New Roman" w:eastAsia="宋体" w:cs="Times New Roman"/>
          <w:color w:val="auto"/>
          <w:spacing w:val="-4"/>
          <w:sz w:val="24"/>
          <w:szCs w:val="24"/>
          <w:highlight w:val="none"/>
        </w:rPr>
        <w:t>出对监测仪器定期校准的要求。环境</w:t>
      </w:r>
      <w:r>
        <w:rPr>
          <w:rFonts w:hint="default" w:ascii="Times New Roman" w:hAnsi="Times New Roman" w:eastAsia="宋体" w:cs="Times New Roman"/>
          <w:color w:val="auto"/>
          <w:spacing w:val="-1"/>
          <w:sz w:val="24"/>
          <w:szCs w:val="24"/>
          <w:highlight w:val="none"/>
        </w:rPr>
        <w:t>监测的结果将成为环境管理的依据。</w:t>
      </w:r>
    </w:p>
    <w:p w14:paraId="6C696942">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61" w:name="_Toc29296"/>
      <w:r>
        <w:rPr>
          <w:rFonts w:hint="default" w:ascii="Times New Roman" w:hAnsi="Times New Roman" w:eastAsia="宋体" w:cs="Times New Roman"/>
          <w:b/>
          <w:bCs/>
          <w:color w:val="auto"/>
          <w:spacing w:val="-2"/>
          <w:sz w:val="24"/>
          <w:szCs w:val="24"/>
          <w:highlight w:val="none"/>
          <w:lang w:val="en-US" w:eastAsia="zh-CN"/>
        </w:rPr>
        <w:t>8.2.1环境监测的必要性</w:t>
      </w:r>
      <w:bookmarkEnd w:id="261"/>
    </w:p>
    <w:p w14:paraId="33073AAF">
      <w:pPr>
        <w:pageBreakBefore w:val="0"/>
        <w:wordWrap/>
        <w:topLinePunct w:val="0"/>
        <w:bidi w:val="0"/>
        <w:adjustRightInd/>
        <w:snapToGrid/>
        <w:spacing w:line="360" w:lineRule="auto"/>
        <w:ind w:firstLine="480" w:firstLineChars="200"/>
        <w:contextualSpacing/>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环境监测既是项目执行管理的需要，也是环保部门了解项目执行情况、研究对策，实行宏观指导的依据。通过现场监测，能及时发现问题和了解运行数据是否理想，达到总结经验、解决问题、改善管理的目的，以确保项目顺利实现预期目的。</w:t>
      </w:r>
    </w:p>
    <w:p w14:paraId="1329F6AB">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62" w:name="_Toc27482"/>
      <w:r>
        <w:rPr>
          <w:rFonts w:hint="default" w:ascii="Times New Roman" w:hAnsi="Times New Roman" w:eastAsia="宋体" w:cs="Times New Roman"/>
          <w:b/>
          <w:bCs/>
          <w:color w:val="auto"/>
          <w:spacing w:val="-2"/>
          <w:sz w:val="24"/>
          <w:szCs w:val="24"/>
          <w:highlight w:val="none"/>
          <w:lang w:val="en-US" w:eastAsia="zh-CN"/>
        </w:rPr>
        <w:t>8.2.2环境监测机构设置</w:t>
      </w:r>
      <w:bookmarkEnd w:id="262"/>
    </w:p>
    <w:p w14:paraId="5814A76A">
      <w:pPr>
        <w:pageBreakBefore w:val="0"/>
        <w:kinsoku/>
        <w:wordWrap/>
        <w:overflowPunct/>
        <w:topLinePunct w:val="0"/>
        <w:bidi w:val="0"/>
        <w:adjustRightInd/>
        <w:snapToGrid/>
        <w:spacing w:line="360" w:lineRule="auto"/>
        <w:ind w:firstLine="480" w:firstLineChars="200"/>
        <w:contextualSpacing/>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为了及时准确地了解项目的污染物排放情况和污染物治理设施的运行状况，企业应委托有资质的监测机构进行常规监测。</w:t>
      </w:r>
    </w:p>
    <w:p w14:paraId="1D76A25E">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4"/>
          <w:szCs w:val="24"/>
          <w:highlight w:val="none"/>
          <w:lang w:val="en-US" w:eastAsia="zh-CN"/>
        </w:rPr>
      </w:pPr>
      <w:bookmarkStart w:id="263" w:name="_Toc27547"/>
      <w:r>
        <w:rPr>
          <w:rFonts w:hint="default" w:ascii="Times New Roman" w:hAnsi="Times New Roman" w:eastAsia="宋体" w:cs="Times New Roman"/>
          <w:b/>
          <w:bCs/>
          <w:color w:val="auto"/>
          <w:spacing w:val="-2"/>
          <w:sz w:val="24"/>
          <w:szCs w:val="24"/>
          <w:highlight w:val="none"/>
          <w:lang w:val="en-US" w:eastAsia="zh-CN"/>
        </w:rPr>
        <w:t>8.2.3环境监测职责</w:t>
      </w:r>
      <w:bookmarkEnd w:id="263"/>
    </w:p>
    <w:p w14:paraId="72AEE11E">
      <w:pPr>
        <w:pageBreakBefore w:val="0"/>
        <w:kinsoku/>
        <w:wordWrap/>
        <w:overflowPunct/>
        <w:topLinePunct w:val="0"/>
        <w:bidi w:val="0"/>
        <w:adjustRightInd/>
        <w:snapToGrid/>
        <w:spacing w:line="360" w:lineRule="auto"/>
        <w:ind w:firstLine="480" w:firstLineChars="200"/>
        <w:contextualSpacing/>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根据国家和主管部门颁布的环保法规、污染物排放标准以及企业内部的要求，</w:t>
      </w:r>
      <w:r>
        <w:rPr>
          <w:rFonts w:hint="default" w:ascii="Times New Roman" w:hAnsi="Times New Roman" w:eastAsia="宋体" w:cs="Times New Roman"/>
          <w:color w:val="auto"/>
          <w:sz w:val="24"/>
          <w:highlight w:val="none"/>
          <w:lang w:val="en-US" w:eastAsia="zh-CN"/>
        </w:rPr>
        <w:t>委托有资质的监测单位进行环境监测工作，监测单位应</w:t>
      </w:r>
      <w:r>
        <w:rPr>
          <w:rFonts w:hint="default" w:ascii="Times New Roman" w:hAnsi="Times New Roman" w:eastAsia="宋体" w:cs="Times New Roman"/>
          <w:color w:val="auto"/>
          <w:sz w:val="24"/>
          <w:highlight w:val="none"/>
        </w:rPr>
        <w:t>制订工作计划和实施方案。</w:t>
      </w:r>
    </w:p>
    <w:p w14:paraId="5B9C1902">
      <w:pPr>
        <w:pageBreakBefore w:val="0"/>
        <w:kinsoku/>
        <w:wordWrap/>
        <w:overflowPunct/>
        <w:topLinePunct w:val="0"/>
        <w:bidi w:val="0"/>
        <w:adjustRightInd/>
        <w:snapToGrid/>
        <w:spacing w:line="360" w:lineRule="auto"/>
        <w:ind w:firstLine="480" w:firstLineChars="200"/>
        <w:contextualSpacing/>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对生产过程中污染物的排放状况和污染治理设施的处理效果进行定期监测，为设施的运行控制提供依据。</w:t>
      </w:r>
    </w:p>
    <w:p w14:paraId="19FCAC35">
      <w:pPr>
        <w:pageBreakBefore w:val="0"/>
        <w:kinsoku/>
        <w:wordWrap/>
        <w:overflowPunct/>
        <w:topLinePunct w:val="0"/>
        <w:bidi w:val="0"/>
        <w:adjustRightInd/>
        <w:snapToGrid/>
        <w:spacing w:line="360" w:lineRule="auto"/>
        <w:ind w:firstLine="480" w:firstLineChars="200"/>
        <w:contextualSpacing/>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监督污染物排放的达标情况。</w:t>
      </w:r>
    </w:p>
    <w:p w14:paraId="371937A4">
      <w:pPr>
        <w:pageBreakBefore w:val="0"/>
        <w:kinsoku/>
        <w:wordWrap/>
        <w:overflowPunct/>
        <w:topLinePunct w:val="0"/>
        <w:bidi w:val="0"/>
        <w:adjustRightInd/>
        <w:snapToGrid/>
        <w:spacing w:line="360" w:lineRule="auto"/>
        <w:ind w:firstLine="480" w:firstLineChars="200"/>
        <w:contextualSpacing/>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对监测仪器设备进行维护和校验，确保监测数据的准确性、可靠性。</w:t>
      </w:r>
    </w:p>
    <w:p w14:paraId="5BC4E122">
      <w:pPr>
        <w:pageBreakBefore w:val="0"/>
        <w:kinsoku/>
        <w:wordWrap/>
        <w:overflowPunct/>
        <w:topLinePunct w:val="0"/>
        <w:bidi w:val="0"/>
        <w:adjustRightInd/>
        <w:snapToGrid/>
        <w:spacing w:line="360" w:lineRule="auto"/>
        <w:ind w:firstLine="480" w:firstLineChars="200"/>
        <w:contextualSpacing/>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作好监测数据的整理记录工作，作好企业污染物排放情况动态变化的档案记载工作。</w:t>
      </w:r>
    </w:p>
    <w:p w14:paraId="235C5A19">
      <w:pPr>
        <w:keepNext w:val="0"/>
        <w:keepLines w:val="0"/>
        <w:pageBreakBefore w:val="0"/>
        <w:widowControl/>
        <w:kinsoku/>
        <w:wordWrap w:val="0"/>
        <w:overflowPunct/>
        <w:topLinePunct/>
        <w:autoSpaceDE/>
        <w:autoSpaceDN/>
        <w:bidi w:val="0"/>
        <w:adjustRightInd w:val="0"/>
        <w:snapToGrid w:val="0"/>
        <w:spacing w:before="1" w:line="360" w:lineRule="auto"/>
        <w:ind w:left="1"/>
        <w:textAlignment w:val="baseline"/>
        <w:outlineLvl w:val="2"/>
        <w:rPr>
          <w:rFonts w:hint="default" w:ascii="Times New Roman" w:hAnsi="Times New Roman" w:eastAsia="宋体" w:cs="Times New Roman"/>
          <w:color w:val="auto"/>
          <w:sz w:val="28"/>
          <w:szCs w:val="28"/>
          <w:highlight w:val="none"/>
        </w:rPr>
      </w:pPr>
      <w:bookmarkStart w:id="264" w:name="_Toc14729"/>
      <w:r>
        <w:rPr>
          <w:rFonts w:hint="default" w:ascii="Times New Roman" w:hAnsi="Times New Roman" w:eastAsia="Times New Roman" w:cs="Times New Roman"/>
          <w:b/>
          <w:bCs/>
          <w:color w:val="auto"/>
          <w:spacing w:val="-2"/>
          <w:sz w:val="28"/>
          <w:szCs w:val="28"/>
          <w:highlight w:val="none"/>
        </w:rPr>
        <w:t>8.2.</w:t>
      </w:r>
      <w:r>
        <w:rPr>
          <w:rFonts w:hint="default" w:ascii="Times New Roman" w:hAnsi="Times New Roman" w:eastAsia="宋体" w:cs="Times New Roman"/>
          <w:b/>
          <w:bCs/>
          <w:color w:val="auto"/>
          <w:spacing w:val="-2"/>
          <w:sz w:val="28"/>
          <w:szCs w:val="28"/>
          <w:highlight w:val="none"/>
          <w:lang w:val="en-US" w:eastAsia="zh-CN"/>
        </w:rPr>
        <w:t>4</w:t>
      </w:r>
      <w:r>
        <w:rPr>
          <w:rFonts w:hint="default" w:ascii="Times New Roman" w:hAnsi="Times New Roman" w:eastAsia="宋体" w:cs="Times New Roman"/>
          <w:b/>
          <w:bCs/>
          <w:color w:val="auto"/>
          <w:spacing w:val="-2"/>
          <w:sz w:val="28"/>
          <w:szCs w:val="28"/>
          <w:highlight w:val="none"/>
        </w:rPr>
        <w:t>排污口信息</w:t>
      </w:r>
      <w:bookmarkEnd w:id="264"/>
    </w:p>
    <w:p w14:paraId="1E532FB9">
      <w:pPr>
        <w:pStyle w:val="11"/>
        <w:keepNext w:val="0"/>
        <w:keepLines w:val="0"/>
        <w:pageBreakBefore w:val="0"/>
        <w:widowControl/>
        <w:kinsoku/>
        <w:wordWrap w:val="0"/>
        <w:overflowPunct/>
        <w:topLinePunct/>
        <w:autoSpaceDE/>
        <w:autoSpaceDN/>
        <w:bidi w:val="0"/>
        <w:adjustRightInd w:val="0"/>
        <w:snapToGrid w:val="0"/>
        <w:spacing w:line="360" w:lineRule="auto"/>
        <w:ind w:firstLine="464"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4"/>
          <w:sz w:val="24"/>
          <w:szCs w:val="24"/>
          <w:highlight w:val="none"/>
        </w:rPr>
        <w:t>本项目场区的各排污口按照环境管理要求，必须进行规范化建设，场区污水排放</w:t>
      </w:r>
      <w:r>
        <w:rPr>
          <w:rFonts w:hint="default" w:ascii="Times New Roman" w:hAnsi="Times New Roman" w:eastAsia="宋体" w:cs="Times New Roman"/>
          <w:color w:val="auto"/>
          <w:spacing w:val="-7"/>
          <w:sz w:val="24"/>
          <w:szCs w:val="24"/>
          <w:highlight w:val="none"/>
        </w:rPr>
        <w:t>源、大气排放源、噪声排放源均设立规范的环境保护图形标志，按照《环境保护图形</w:t>
      </w:r>
      <w:r>
        <w:rPr>
          <w:rFonts w:hint="default" w:ascii="Times New Roman" w:hAnsi="Times New Roman" w:eastAsia="宋体" w:cs="Times New Roman"/>
          <w:color w:val="auto"/>
          <w:spacing w:val="-1"/>
          <w:sz w:val="24"/>
          <w:szCs w:val="24"/>
          <w:highlight w:val="none"/>
        </w:rPr>
        <w:t>标志－排放口（源）》（</w:t>
      </w:r>
      <w:r>
        <w:rPr>
          <w:rFonts w:hint="default" w:ascii="Times New Roman" w:hAnsi="Times New Roman" w:eastAsia="Times New Roman" w:cs="Times New Roman"/>
          <w:color w:val="auto"/>
          <w:spacing w:val="-1"/>
          <w:sz w:val="24"/>
          <w:szCs w:val="24"/>
          <w:highlight w:val="none"/>
        </w:rPr>
        <w:t>GB15562.1-1995</w:t>
      </w:r>
      <w:r>
        <w:rPr>
          <w:rFonts w:hint="default" w:ascii="Times New Roman" w:hAnsi="Times New Roman" w:eastAsia="宋体" w:cs="Times New Roman"/>
          <w:color w:val="auto"/>
          <w:spacing w:val="-1"/>
          <w:sz w:val="24"/>
          <w:szCs w:val="24"/>
          <w:highlight w:val="none"/>
        </w:rPr>
        <w:t>、</w:t>
      </w:r>
      <w:r>
        <w:rPr>
          <w:rFonts w:hint="default" w:ascii="Times New Roman" w:hAnsi="Times New Roman" w:eastAsia="Times New Roman" w:cs="Times New Roman"/>
          <w:color w:val="auto"/>
          <w:spacing w:val="-1"/>
          <w:sz w:val="24"/>
          <w:szCs w:val="24"/>
          <w:highlight w:val="none"/>
        </w:rPr>
        <w:t>1996-07-</w:t>
      </w:r>
      <w:r>
        <w:rPr>
          <w:rFonts w:hint="default" w:ascii="Times New Roman" w:hAnsi="Times New Roman" w:eastAsia="Times New Roman" w:cs="Times New Roman"/>
          <w:color w:val="auto"/>
          <w:spacing w:val="-2"/>
          <w:sz w:val="24"/>
          <w:szCs w:val="24"/>
          <w:highlight w:val="none"/>
        </w:rPr>
        <w:t>11</w:t>
      </w:r>
      <w:r>
        <w:rPr>
          <w:rFonts w:hint="default" w:ascii="Times New Roman" w:hAnsi="Times New Roman" w:eastAsia="宋体" w:cs="Times New Roman"/>
          <w:color w:val="auto"/>
          <w:spacing w:val="-2"/>
          <w:sz w:val="24"/>
          <w:szCs w:val="24"/>
          <w:highlight w:val="none"/>
        </w:rPr>
        <w:t>实施）执行，以利于环境保护</w:t>
      </w:r>
      <w:bookmarkStart w:id="265" w:name="bookmark74"/>
      <w:bookmarkEnd w:id="265"/>
      <w:r>
        <w:rPr>
          <w:rFonts w:hint="default" w:ascii="Times New Roman" w:hAnsi="Times New Roman" w:eastAsia="宋体" w:cs="Times New Roman"/>
          <w:color w:val="auto"/>
          <w:spacing w:val="-4"/>
          <w:sz w:val="24"/>
          <w:szCs w:val="24"/>
          <w:highlight w:val="none"/>
        </w:rPr>
        <w:t>行政主管部门对各排放口的监督管理。标志牌制作由国家环境保护总局统一监制，标</w:t>
      </w:r>
      <w:r>
        <w:rPr>
          <w:rFonts w:hint="default" w:ascii="Times New Roman" w:hAnsi="Times New Roman" w:eastAsia="宋体" w:cs="Times New Roman"/>
          <w:color w:val="auto"/>
          <w:spacing w:val="-1"/>
          <w:sz w:val="24"/>
          <w:szCs w:val="24"/>
          <w:highlight w:val="none"/>
        </w:rPr>
        <w:t>志牌应设置在与之功能相应的醒目处。具体标识见表</w:t>
      </w:r>
      <w:r>
        <w:rPr>
          <w:rFonts w:hint="default" w:ascii="Times New Roman" w:hAnsi="Times New Roman" w:eastAsia="Times New Roman" w:cs="Times New Roman"/>
          <w:color w:val="auto"/>
          <w:spacing w:val="-1"/>
          <w:sz w:val="24"/>
          <w:szCs w:val="24"/>
          <w:highlight w:val="none"/>
        </w:rPr>
        <w:t>8.2-1</w:t>
      </w:r>
      <w:r>
        <w:rPr>
          <w:rFonts w:hint="default" w:ascii="Times New Roman" w:hAnsi="Times New Roman" w:eastAsia="宋体" w:cs="Times New Roman"/>
          <w:color w:val="auto"/>
          <w:spacing w:val="-1"/>
          <w:sz w:val="24"/>
          <w:szCs w:val="24"/>
          <w:highlight w:val="none"/>
        </w:rPr>
        <w:t>。</w:t>
      </w:r>
    </w:p>
    <w:p w14:paraId="1EEED791">
      <w:pPr>
        <w:keepNext w:val="0"/>
        <w:keepLines w:val="0"/>
        <w:pageBreakBefore w:val="0"/>
        <w:kinsoku/>
        <w:wordWrap w:val="0"/>
        <w:overflowPunct/>
        <w:topLinePunct/>
        <w:autoSpaceDE/>
        <w:autoSpaceDN/>
        <w:bidi w:val="0"/>
        <w:adjustRightInd w:val="0"/>
        <w:snapToGrid w:val="0"/>
        <w:spacing w:line="214" w:lineRule="auto"/>
        <w:ind w:left="2350"/>
        <w:textAlignment w:val="baseline"/>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pacing w:val="-1"/>
          <w:sz w:val="24"/>
          <w:szCs w:val="24"/>
          <w:highlight w:val="none"/>
        </w:rPr>
        <w:t>表</w:t>
      </w:r>
      <w:r>
        <w:rPr>
          <w:rFonts w:hint="default" w:ascii="Times New Roman" w:hAnsi="Times New Roman" w:eastAsia="Times New Roman" w:cs="Times New Roman"/>
          <w:b/>
          <w:bCs/>
          <w:color w:val="auto"/>
          <w:spacing w:val="-1"/>
          <w:sz w:val="24"/>
          <w:szCs w:val="24"/>
          <w:highlight w:val="none"/>
        </w:rPr>
        <w:t>8.2-1</w:t>
      </w:r>
      <w:r>
        <w:rPr>
          <w:rFonts w:hint="default" w:ascii="Times New Roman" w:hAnsi="Times New Roman" w:eastAsia="宋体" w:cs="Times New Roman"/>
          <w:b/>
          <w:bCs/>
          <w:color w:val="auto"/>
          <w:spacing w:val="-1"/>
          <w:sz w:val="24"/>
          <w:szCs w:val="24"/>
          <w:highlight w:val="none"/>
        </w:rPr>
        <w:t>污染物排放口环境保护图形标志一览表</w:t>
      </w:r>
    </w:p>
    <w:tbl>
      <w:tblPr>
        <w:tblStyle w:val="34"/>
        <w:tblW w:w="901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5"/>
        <w:gridCol w:w="2446"/>
        <w:gridCol w:w="2244"/>
        <w:gridCol w:w="1796"/>
        <w:gridCol w:w="1707"/>
      </w:tblGrid>
      <w:tr w14:paraId="23000B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825" w:type="dxa"/>
            <w:tcBorders>
              <w:top w:val="single" w:color="000000" w:sz="10" w:space="0"/>
              <w:left w:val="nil"/>
            </w:tcBorders>
            <w:vAlign w:val="center"/>
          </w:tcPr>
          <w:p w14:paraId="20A2E60A">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序号</w:t>
            </w:r>
          </w:p>
        </w:tc>
        <w:tc>
          <w:tcPr>
            <w:tcW w:w="2446" w:type="dxa"/>
            <w:tcBorders>
              <w:top w:val="single" w:color="000000" w:sz="10" w:space="0"/>
            </w:tcBorders>
            <w:vAlign w:val="center"/>
          </w:tcPr>
          <w:p w14:paraId="753F7129">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提示图形符号</w:t>
            </w:r>
          </w:p>
        </w:tc>
        <w:tc>
          <w:tcPr>
            <w:tcW w:w="2244" w:type="dxa"/>
            <w:tcBorders>
              <w:top w:val="single" w:color="000000" w:sz="10" w:space="0"/>
            </w:tcBorders>
            <w:vAlign w:val="center"/>
          </w:tcPr>
          <w:p w14:paraId="7690E167">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警告图形符号</w:t>
            </w:r>
          </w:p>
        </w:tc>
        <w:tc>
          <w:tcPr>
            <w:tcW w:w="1796" w:type="dxa"/>
            <w:tcBorders>
              <w:top w:val="single" w:color="000000" w:sz="10" w:space="0"/>
            </w:tcBorders>
            <w:vAlign w:val="center"/>
          </w:tcPr>
          <w:p w14:paraId="391CA1EC">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名称</w:t>
            </w:r>
          </w:p>
        </w:tc>
        <w:tc>
          <w:tcPr>
            <w:tcW w:w="1707" w:type="dxa"/>
            <w:tcBorders>
              <w:top w:val="single" w:color="000000" w:sz="10" w:space="0"/>
              <w:right w:val="nil"/>
            </w:tcBorders>
            <w:vAlign w:val="center"/>
          </w:tcPr>
          <w:p w14:paraId="0BBD8061">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功能</w:t>
            </w:r>
          </w:p>
        </w:tc>
      </w:tr>
      <w:tr w14:paraId="6E7F35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10" w:hRule="atLeast"/>
          <w:jc w:val="center"/>
        </w:trPr>
        <w:tc>
          <w:tcPr>
            <w:tcW w:w="825" w:type="dxa"/>
            <w:tcBorders>
              <w:left w:val="nil"/>
            </w:tcBorders>
            <w:vAlign w:val="center"/>
          </w:tcPr>
          <w:p w14:paraId="761D7750">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1</w:t>
            </w:r>
          </w:p>
        </w:tc>
        <w:tc>
          <w:tcPr>
            <w:tcW w:w="2446" w:type="dxa"/>
            <w:vAlign w:val="center"/>
          </w:tcPr>
          <w:p w14:paraId="36A2EBF7">
            <w:pPr>
              <w:keepNext w:val="0"/>
              <w:keepLines w:val="0"/>
              <w:pageBreakBefore w:val="0"/>
              <w:widowControl/>
              <w:kinsoku/>
              <w:wordWrap w:val="0"/>
              <w:overflowPunct/>
              <w:topLinePunct/>
              <w:autoSpaceDE/>
              <w:autoSpaceDN/>
              <w:bidi w:val="0"/>
              <w:adjustRightInd w:val="0"/>
              <w:snapToGrid w:val="0"/>
              <w:spacing w:line="240" w:lineRule="auto"/>
              <w:ind w:left="0" w:right="0" w:firstLine="424"/>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31"/>
                <w:highlight w:val="none"/>
              </w:rPr>
              <w:drawing>
                <wp:inline distT="0" distB="0" distL="0" distR="0">
                  <wp:extent cx="1004570" cy="1008380"/>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108"/>
                          <a:stretch>
                            <a:fillRect/>
                          </a:stretch>
                        </pic:blipFill>
                        <pic:spPr>
                          <a:xfrm>
                            <a:off x="0" y="0"/>
                            <a:ext cx="1004570" cy="1008380"/>
                          </a:xfrm>
                          <a:prstGeom prst="rect">
                            <a:avLst/>
                          </a:prstGeom>
                        </pic:spPr>
                      </pic:pic>
                    </a:graphicData>
                  </a:graphic>
                </wp:inline>
              </w:drawing>
            </w:r>
          </w:p>
        </w:tc>
        <w:tc>
          <w:tcPr>
            <w:tcW w:w="2244" w:type="dxa"/>
            <w:vAlign w:val="center"/>
          </w:tcPr>
          <w:p w14:paraId="39CD2403">
            <w:pPr>
              <w:keepNext w:val="0"/>
              <w:keepLines w:val="0"/>
              <w:pageBreakBefore w:val="0"/>
              <w:widowControl/>
              <w:kinsoku/>
              <w:wordWrap w:val="0"/>
              <w:overflowPunct/>
              <w:topLinePunct/>
              <w:autoSpaceDE/>
              <w:autoSpaceDN/>
              <w:bidi w:val="0"/>
              <w:adjustRightInd w:val="0"/>
              <w:snapToGrid w:val="0"/>
              <w:spacing w:line="240" w:lineRule="auto"/>
              <w:ind w:left="0" w:right="0" w:firstLine="158"/>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33"/>
                <w:highlight w:val="none"/>
              </w:rPr>
              <w:drawing>
                <wp:inline distT="0" distB="0" distL="0" distR="0">
                  <wp:extent cx="1209675" cy="1073150"/>
                  <wp:effectExtent l="0" t="0" r="0" b="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109"/>
                          <a:stretch>
                            <a:fillRect/>
                          </a:stretch>
                        </pic:blipFill>
                        <pic:spPr>
                          <a:xfrm>
                            <a:off x="0" y="0"/>
                            <a:ext cx="1210233" cy="1073784"/>
                          </a:xfrm>
                          <a:prstGeom prst="rect">
                            <a:avLst/>
                          </a:prstGeom>
                        </pic:spPr>
                      </pic:pic>
                    </a:graphicData>
                  </a:graphic>
                </wp:inline>
              </w:drawing>
            </w:r>
          </w:p>
        </w:tc>
        <w:tc>
          <w:tcPr>
            <w:tcW w:w="1796" w:type="dxa"/>
            <w:vAlign w:val="center"/>
          </w:tcPr>
          <w:p w14:paraId="56C0C6F9">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废气排放口</w:t>
            </w:r>
          </w:p>
        </w:tc>
        <w:tc>
          <w:tcPr>
            <w:tcW w:w="1707" w:type="dxa"/>
            <w:tcBorders>
              <w:right w:val="nil"/>
            </w:tcBorders>
            <w:vAlign w:val="center"/>
          </w:tcPr>
          <w:p w14:paraId="1077B53D">
            <w:pPr>
              <w:pStyle w:val="35"/>
              <w:keepNext w:val="0"/>
              <w:keepLines w:val="0"/>
              <w:pageBreakBefore w:val="0"/>
              <w:widowControl/>
              <w:kinsoku/>
              <w:wordWrap w:val="0"/>
              <w:overflowPunct/>
              <w:topLinePunct/>
              <w:autoSpaceDE/>
              <w:autoSpaceDN/>
              <w:bidi w:val="0"/>
              <w:adjustRightInd w:val="0"/>
              <w:snapToGrid w:val="0"/>
              <w:spacing w:line="240" w:lineRule="auto"/>
              <w:ind w:right="0"/>
              <w:jc w:val="both"/>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表示废气向大气</w:t>
            </w:r>
            <w:r>
              <w:rPr>
                <w:rFonts w:hint="default" w:ascii="Times New Roman" w:hAnsi="Times New Roman" w:cs="Times New Roman"/>
                <w:color w:val="auto"/>
                <w:spacing w:val="-2"/>
                <w:highlight w:val="none"/>
              </w:rPr>
              <w:t>环境排放</w:t>
            </w:r>
          </w:p>
        </w:tc>
      </w:tr>
      <w:tr w14:paraId="14D655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51" w:hRule="atLeast"/>
          <w:jc w:val="center"/>
        </w:trPr>
        <w:tc>
          <w:tcPr>
            <w:tcW w:w="825" w:type="dxa"/>
            <w:tcBorders>
              <w:left w:val="nil"/>
            </w:tcBorders>
            <w:vAlign w:val="center"/>
          </w:tcPr>
          <w:p w14:paraId="66E712FE">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2</w:t>
            </w:r>
          </w:p>
        </w:tc>
        <w:tc>
          <w:tcPr>
            <w:tcW w:w="2446" w:type="dxa"/>
            <w:vAlign w:val="center"/>
          </w:tcPr>
          <w:p w14:paraId="41CB957E">
            <w:pPr>
              <w:keepNext w:val="0"/>
              <w:keepLines w:val="0"/>
              <w:pageBreakBefore w:val="0"/>
              <w:widowControl/>
              <w:kinsoku/>
              <w:wordWrap w:val="0"/>
              <w:overflowPunct/>
              <w:topLinePunct/>
              <w:autoSpaceDE/>
              <w:autoSpaceDN/>
              <w:bidi w:val="0"/>
              <w:adjustRightInd w:val="0"/>
              <w:snapToGrid w:val="0"/>
              <w:spacing w:line="240" w:lineRule="auto"/>
              <w:ind w:left="0" w:right="0" w:firstLine="394"/>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32"/>
                <w:highlight w:val="none"/>
              </w:rPr>
              <w:drawing>
                <wp:inline distT="0" distB="0" distL="0" distR="0">
                  <wp:extent cx="1038860" cy="1036955"/>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110"/>
                          <a:stretch>
                            <a:fillRect/>
                          </a:stretch>
                        </pic:blipFill>
                        <pic:spPr>
                          <a:xfrm>
                            <a:off x="0" y="0"/>
                            <a:ext cx="1038860" cy="1037335"/>
                          </a:xfrm>
                          <a:prstGeom prst="rect">
                            <a:avLst/>
                          </a:prstGeom>
                        </pic:spPr>
                      </pic:pic>
                    </a:graphicData>
                  </a:graphic>
                </wp:inline>
              </w:drawing>
            </w:r>
          </w:p>
        </w:tc>
        <w:tc>
          <w:tcPr>
            <w:tcW w:w="2244" w:type="dxa"/>
            <w:vAlign w:val="center"/>
          </w:tcPr>
          <w:p w14:paraId="6EECA6FD">
            <w:pPr>
              <w:keepNext w:val="0"/>
              <w:keepLines w:val="0"/>
              <w:pageBreakBefore w:val="0"/>
              <w:widowControl/>
              <w:kinsoku/>
              <w:wordWrap w:val="0"/>
              <w:overflowPunct/>
              <w:topLinePunct/>
              <w:autoSpaceDE/>
              <w:autoSpaceDN/>
              <w:bidi w:val="0"/>
              <w:adjustRightInd w:val="0"/>
              <w:snapToGrid w:val="0"/>
              <w:spacing w:line="240" w:lineRule="auto"/>
              <w:ind w:left="0" w:right="0" w:firstLine="227"/>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31"/>
                <w:highlight w:val="none"/>
              </w:rPr>
              <w:drawing>
                <wp:inline distT="0" distB="0" distL="0" distR="0">
                  <wp:extent cx="1132205" cy="1007745"/>
                  <wp:effectExtent l="0" t="0" r="0" b="0"/>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111"/>
                          <a:stretch>
                            <a:fillRect/>
                          </a:stretch>
                        </pic:blipFill>
                        <pic:spPr>
                          <a:xfrm>
                            <a:off x="0" y="0"/>
                            <a:ext cx="1132205" cy="1008177"/>
                          </a:xfrm>
                          <a:prstGeom prst="rect">
                            <a:avLst/>
                          </a:prstGeom>
                        </pic:spPr>
                      </pic:pic>
                    </a:graphicData>
                  </a:graphic>
                </wp:inline>
              </w:drawing>
            </w:r>
          </w:p>
        </w:tc>
        <w:tc>
          <w:tcPr>
            <w:tcW w:w="1796" w:type="dxa"/>
            <w:vAlign w:val="center"/>
          </w:tcPr>
          <w:p w14:paraId="70B08004">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3"/>
                <w:highlight w:val="none"/>
              </w:rPr>
              <w:t>噪声排放源</w:t>
            </w:r>
          </w:p>
        </w:tc>
        <w:tc>
          <w:tcPr>
            <w:tcW w:w="1707" w:type="dxa"/>
            <w:tcBorders>
              <w:right w:val="nil"/>
            </w:tcBorders>
            <w:vAlign w:val="center"/>
          </w:tcPr>
          <w:p w14:paraId="01873081">
            <w:pPr>
              <w:pStyle w:val="35"/>
              <w:keepNext w:val="0"/>
              <w:keepLines w:val="0"/>
              <w:pageBreakBefore w:val="0"/>
              <w:widowControl/>
              <w:kinsoku/>
              <w:wordWrap w:val="0"/>
              <w:overflowPunct/>
              <w:topLinePunct/>
              <w:autoSpaceDE/>
              <w:autoSpaceDN/>
              <w:bidi w:val="0"/>
              <w:adjustRightInd w:val="0"/>
              <w:snapToGrid w:val="0"/>
              <w:spacing w:line="240" w:lineRule="auto"/>
              <w:ind w:right="0"/>
              <w:jc w:val="both"/>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表</w:t>
            </w:r>
            <w:r>
              <w:rPr>
                <w:rFonts w:hint="default" w:ascii="Times New Roman" w:hAnsi="Times New Roman" w:cs="Times New Roman"/>
                <w:color w:val="auto"/>
                <w:spacing w:val="-1"/>
                <w:highlight w:val="none"/>
                <w:lang w:val="en-US" w:eastAsia="zh-CN"/>
              </w:rPr>
              <w:t>示</w:t>
            </w:r>
            <w:r>
              <w:rPr>
                <w:rFonts w:hint="default" w:ascii="Times New Roman" w:hAnsi="Times New Roman" w:cs="Times New Roman"/>
                <w:color w:val="auto"/>
                <w:spacing w:val="-1"/>
                <w:highlight w:val="none"/>
              </w:rPr>
              <w:t>噪声向外环</w:t>
            </w:r>
            <w:r>
              <w:rPr>
                <w:rFonts w:hint="default" w:ascii="Times New Roman" w:hAnsi="Times New Roman" w:cs="Times New Roman"/>
                <w:color w:val="auto"/>
                <w:spacing w:val="-2"/>
                <w:highlight w:val="none"/>
              </w:rPr>
              <w:t>境排放</w:t>
            </w:r>
          </w:p>
        </w:tc>
      </w:tr>
      <w:tr w14:paraId="5A5768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00" w:hRule="atLeast"/>
          <w:jc w:val="center"/>
        </w:trPr>
        <w:tc>
          <w:tcPr>
            <w:tcW w:w="825" w:type="dxa"/>
            <w:tcBorders>
              <w:left w:val="nil"/>
            </w:tcBorders>
            <w:vAlign w:val="center"/>
          </w:tcPr>
          <w:p w14:paraId="7B05F06E">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3</w:t>
            </w:r>
          </w:p>
        </w:tc>
        <w:tc>
          <w:tcPr>
            <w:tcW w:w="2446" w:type="dxa"/>
            <w:vAlign w:val="center"/>
          </w:tcPr>
          <w:p w14:paraId="7EB0D59E">
            <w:pPr>
              <w:keepNext w:val="0"/>
              <w:keepLines w:val="0"/>
              <w:pageBreakBefore w:val="0"/>
              <w:widowControl/>
              <w:kinsoku/>
              <w:wordWrap w:val="0"/>
              <w:overflowPunct/>
              <w:topLinePunct/>
              <w:autoSpaceDE/>
              <w:autoSpaceDN/>
              <w:bidi w:val="0"/>
              <w:adjustRightInd w:val="0"/>
              <w:snapToGrid w:val="0"/>
              <w:spacing w:line="240" w:lineRule="auto"/>
              <w:ind w:left="0" w:right="0" w:firstLine="364"/>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30"/>
                <w:highlight w:val="none"/>
              </w:rPr>
              <w:drawing>
                <wp:inline distT="0" distB="0" distL="0" distR="0">
                  <wp:extent cx="1078865" cy="969645"/>
                  <wp:effectExtent l="0" t="0" r="0" b="0"/>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112"/>
                          <a:stretch>
                            <a:fillRect/>
                          </a:stretch>
                        </pic:blipFill>
                        <pic:spPr>
                          <a:xfrm>
                            <a:off x="0" y="0"/>
                            <a:ext cx="1079423" cy="969645"/>
                          </a:xfrm>
                          <a:prstGeom prst="rect">
                            <a:avLst/>
                          </a:prstGeom>
                        </pic:spPr>
                      </pic:pic>
                    </a:graphicData>
                  </a:graphic>
                </wp:inline>
              </w:drawing>
            </w:r>
          </w:p>
        </w:tc>
        <w:tc>
          <w:tcPr>
            <w:tcW w:w="2244" w:type="dxa"/>
            <w:vAlign w:val="center"/>
          </w:tcPr>
          <w:p w14:paraId="0453E77E">
            <w:pPr>
              <w:keepNext w:val="0"/>
              <w:keepLines w:val="0"/>
              <w:pageBreakBefore w:val="0"/>
              <w:widowControl/>
              <w:kinsoku/>
              <w:wordWrap w:val="0"/>
              <w:overflowPunct/>
              <w:topLinePunct/>
              <w:autoSpaceDE/>
              <w:autoSpaceDN/>
              <w:bidi w:val="0"/>
              <w:adjustRightInd w:val="0"/>
              <w:snapToGrid w:val="0"/>
              <w:spacing w:line="240" w:lineRule="auto"/>
              <w:ind w:left="0" w:right="0" w:firstLine="203"/>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37"/>
                <w:highlight w:val="none"/>
              </w:rPr>
              <w:drawing>
                <wp:inline distT="0" distB="0" distL="0" distR="0">
                  <wp:extent cx="1162050" cy="1192530"/>
                  <wp:effectExtent l="0" t="0" r="0" b="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113"/>
                          <a:stretch>
                            <a:fillRect/>
                          </a:stretch>
                        </pic:blipFill>
                        <pic:spPr>
                          <a:xfrm>
                            <a:off x="0" y="0"/>
                            <a:ext cx="1162684" cy="1192783"/>
                          </a:xfrm>
                          <a:prstGeom prst="rect">
                            <a:avLst/>
                          </a:prstGeom>
                        </pic:spPr>
                      </pic:pic>
                    </a:graphicData>
                  </a:graphic>
                </wp:inline>
              </w:drawing>
            </w:r>
          </w:p>
        </w:tc>
        <w:tc>
          <w:tcPr>
            <w:tcW w:w="1796" w:type="dxa"/>
            <w:vAlign w:val="center"/>
          </w:tcPr>
          <w:p w14:paraId="273AE2DE">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4"/>
                <w:highlight w:val="none"/>
              </w:rPr>
              <w:t>固体废物堆放场</w:t>
            </w:r>
          </w:p>
        </w:tc>
        <w:tc>
          <w:tcPr>
            <w:tcW w:w="1707" w:type="dxa"/>
            <w:tcBorders>
              <w:right w:val="nil"/>
            </w:tcBorders>
            <w:vAlign w:val="center"/>
          </w:tcPr>
          <w:p w14:paraId="0D7EE116">
            <w:pPr>
              <w:pStyle w:val="35"/>
              <w:keepNext w:val="0"/>
              <w:keepLines w:val="0"/>
              <w:pageBreakBefore w:val="0"/>
              <w:widowControl/>
              <w:kinsoku/>
              <w:wordWrap w:val="0"/>
              <w:overflowPunct/>
              <w:topLinePunct/>
              <w:autoSpaceDE/>
              <w:autoSpaceDN/>
              <w:bidi w:val="0"/>
              <w:adjustRightInd w:val="0"/>
              <w:snapToGrid w:val="0"/>
              <w:spacing w:line="240" w:lineRule="auto"/>
              <w:ind w:right="0"/>
              <w:jc w:val="both"/>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表示此处为固体</w:t>
            </w:r>
            <w:r>
              <w:rPr>
                <w:rFonts w:hint="default" w:ascii="Times New Roman" w:hAnsi="Times New Roman" w:cs="Times New Roman"/>
                <w:color w:val="auto"/>
                <w:spacing w:val="-2"/>
                <w:highlight w:val="none"/>
              </w:rPr>
              <w:t>堆放区</w:t>
            </w:r>
          </w:p>
        </w:tc>
      </w:tr>
      <w:tr w14:paraId="1EE1B1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47" w:hRule="atLeast"/>
          <w:jc w:val="center"/>
        </w:trPr>
        <w:tc>
          <w:tcPr>
            <w:tcW w:w="825" w:type="dxa"/>
            <w:tcBorders>
              <w:left w:val="nil"/>
              <w:bottom w:val="single" w:color="000000" w:sz="10" w:space="0"/>
            </w:tcBorders>
            <w:vAlign w:val="center"/>
          </w:tcPr>
          <w:p w14:paraId="65D06CD8">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21"/>
                <w:szCs w:val="21"/>
                <w:highlight w:val="none"/>
              </w:rPr>
            </w:pPr>
            <w:r>
              <w:rPr>
                <w:rFonts w:hint="default" w:ascii="Times New Roman" w:hAnsi="Times New Roman" w:eastAsia="Times New Roman" w:cs="Times New Roman"/>
                <w:color w:val="auto"/>
                <w:sz w:val="21"/>
                <w:szCs w:val="21"/>
                <w:highlight w:val="none"/>
              </w:rPr>
              <w:t>4</w:t>
            </w:r>
          </w:p>
        </w:tc>
        <w:tc>
          <w:tcPr>
            <w:tcW w:w="2446" w:type="dxa"/>
            <w:tcBorders>
              <w:bottom w:val="single" w:color="000000" w:sz="10" w:space="0"/>
            </w:tcBorders>
            <w:vAlign w:val="center"/>
          </w:tcPr>
          <w:p w14:paraId="1EE42F9E">
            <w:pPr>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eastAsia="Times New Roman" w:cs="Times New Roman"/>
                <w:color w:val="auto"/>
                <w:sz w:val="19"/>
                <w:szCs w:val="19"/>
                <w:highlight w:val="none"/>
              </w:rPr>
            </w:pPr>
            <w:r>
              <w:rPr>
                <w:rFonts w:hint="default" w:ascii="Times New Roman" w:hAnsi="Times New Roman" w:eastAsia="Times New Roman" w:cs="Times New Roman"/>
                <w:color w:val="auto"/>
                <w:spacing w:val="2"/>
                <w:sz w:val="19"/>
                <w:szCs w:val="19"/>
                <w:highlight w:val="none"/>
              </w:rPr>
              <w:t>/</w:t>
            </w:r>
          </w:p>
        </w:tc>
        <w:tc>
          <w:tcPr>
            <w:tcW w:w="2244" w:type="dxa"/>
            <w:tcBorders>
              <w:bottom w:val="single" w:color="000000" w:sz="10" w:space="0"/>
            </w:tcBorders>
            <w:vAlign w:val="center"/>
          </w:tcPr>
          <w:p w14:paraId="331043D1">
            <w:pPr>
              <w:keepNext w:val="0"/>
              <w:keepLines w:val="0"/>
              <w:pageBreakBefore w:val="0"/>
              <w:widowControl/>
              <w:kinsoku/>
              <w:wordWrap w:val="0"/>
              <w:overflowPunct/>
              <w:topLinePunct/>
              <w:autoSpaceDE/>
              <w:autoSpaceDN/>
              <w:bidi w:val="0"/>
              <w:adjustRightInd w:val="0"/>
              <w:snapToGrid w:val="0"/>
              <w:spacing w:line="240" w:lineRule="auto"/>
              <w:ind w:left="0" w:right="0" w:firstLine="184"/>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position w:val="-40"/>
                <w:highlight w:val="none"/>
              </w:rPr>
              <w:drawing>
                <wp:inline distT="0" distB="0" distL="0" distR="0">
                  <wp:extent cx="1186180" cy="1280795"/>
                  <wp:effectExtent l="0" t="0" r="0" b="0"/>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114"/>
                          <a:stretch>
                            <a:fillRect/>
                          </a:stretch>
                        </pic:blipFill>
                        <pic:spPr>
                          <a:xfrm>
                            <a:off x="0" y="0"/>
                            <a:ext cx="1186814" cy="1281176"/>
                          </a:xfrm>
                          <a:prstGeom prst="rect">
                            <a:avLst/>
                          </a:prstGeom>
                        </pic:spPr>
                      </pic:pic>
                    </a:graphicData>
                  </a:graphic>
                </wp:inline>
              </w:drawing>
            </w:r>
          </w:p>
        </w:tc>
        <w:tc>
          <w:tcPr>
            <w:tcW w:w="1796" w:type="dxa"/>
            <w:tcBorders>
              <w:bottom w:val="single" w:color="000000" w:sz="10" w:space="0"/>
            </w:tcBorders>
            <w:vAlign w:val="center"/>
          </w:tcPr>
          <w:p w14:paraId="0163C82D">
            <w:pPr>
              <w:pStyle w:val="35"/>
              <w:keepNext w:val="0"/>
              <w:keepLines w:val="0"/>
              <w:pageBreakBefore w:val="0"/>
              <w:widowControl/>
              <w:kinsoku/>
              <w:wordWrap w:val="0"/>
              <w:overflowPunct/>
              <w:topLinePunct/>
              <w:autoSpaceDE/>
              <w:autoSpaceDN/>
              <w:bidi w:val="0"/>
              <w:adjustRightInd w:val="0"/>
              <w:snapToGrid w:val="0"/>
              <w:spacing w:line="240" w:lineRule="auto"/>
              <w:ind w:left="0" w:right="0"/>
              <w:jc w:val="center"/>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2"/>
                <w:highlight w:val="none"/>
              </w:rPr>
              <w:t>危险废物</w:t>
            </w:r>
          </w:p>
        </w:tc>
        <w:tc>
          <w:tcPr>
            <w:tcW w:w="1707" w:type="dxa"/>
            <w:tcBorders>
              <w:bottom w:val="single" w:color="000000" w:sz="10" w:space="0"/>
              <w:right w:val="nil"/>
            </w:tcBorders>
            <w:vAlign w:val="center"/>
          </w:tcPr>
          <w:p w14:paraId="014D1285">
            <w:pPr>
              <w:pStyle w:val="35"/>
              <w:keepNext w:val="0"/>
              <w:keepLines w:val="0"/>
              <w:pageBreakBefore w:val="0"/>
              <w:widowControl/>
              <w:kinsoku/>
              <w:wordWrap w:val="0"/>
              <w:overflowPunct/>
              <w:topLinePunct/>
              <w:autoSpaceDE/>
              <w:autoSpaceDN/>
              <w:bidi w:val="0"/>
              <w:adjustRightInd w:val="0"/>
              <w:snapToGrid w:val="0"/>
              <w:spacing w:line="240" w:lineRule="auto"/>
              <w:ind w:right="0"/>
              <w:jc w:val="both"/>
              <w:textAlignment w:val="baseline"/>
              <w:rPr>
                <w:rFonts w:hint="default" w:ascii="Times New Roman" w:hAnsi="Times New Roman" w:cs="Times New Roman"/>
                <w:color w:val="auto"/>
                <w:highlight w:val="none"/>
              </w:rPr>
            </w:pPr>
            <w:r>
              <w:rPr>
                <w:rFonts w:hint="default" w:ascii="Times New Roman" w:hAnsi="Times New Roman" w:cs="Times New Roman"/>
                <w:color w:val="auto"/>
                <w:spacing w:val="-1"/>
                <w:highlight w:val="none"/>
              </w:rPr>
              <w:t>表示危险废物贮存、处置场</w:t>
            </w:r>
          </w:p>
        </w:tc>
      </w:tr>
    </w:tbl>
    <w:p w14:paraId="661E1BEF">
      <w:pPr>
        <w:keepNext w:val="0"/>
        <w:keepLines w:val="0"/>
        <w:pageBreakBefore w:val="0"/>
        <w:widowControl/>
        <w:kinsoku/>
        <w:wordWrap w:val="0"/>
        <w:overflowPunct/>
        <w:topLinePunct/>
        <w:autoSpaceDE/>
        <w:autoSpaceDN/>
        <w:bidi w:val="0"/>
        <w:adjustRightInd w:val="0"/>
        <w:snapToGrid w:val="0"/>
        <w:spacing w:line="360" w:lineRule="auto"/>
        <w:ind w:left="0" w:firstLine="552" w:firstLineChars="200"/>
        <w:textAlignment w:val="baseline"/>
        <w:rPr>
          <w:rFonts w:hint="default" w:ascii="Times New Roman" w:hAnsi="Times New Roman" w:eastAsia="宋体" w:cs="Times New Roman"/>
          <w:color w:val="auto"/>
          <w:sz w:val="28"/>
          <w:szCs w:val="28"/>
          <w:highlight w:val="none"/>
        </w:rPr>
      </w:pPr>
      <w:r>
        <w:rPr>
          <w:rFonts w:hint="default" w:ascii="Times New Roman" w:hAnsi="Times New Roman" w:eastAsia="Times New Roman" w:cs="Times New Roman"/>
          <w:b/>
          <w:bCs/>
          <w:color w:val="auto"/>
          <w:spacing w:val="-2"/>
          <w:sz w:val="28"/>
          <w:szCs w:val="28"/>
          <w:highlight w:val="none"/>
        </w:rPr>
        <w:t>8.2.2</w:t>
      </w:r>
      <w:r>
        <w:rPr>
          <w:rFonts w:hint="default" w:ascii="Times New Roman" w:hAnsi="Times New Roman" w:eastAsia="宋体" w:cs="Times New Roman"/>
          <w:b/>
          <w:bCs/>
          <w:color w:val="auto"/>
          <w:spacing w:val="-2"/>
          <w:sz w:val="28"/>
          <w:szCs w:val="28"/>
          <w:highlight w:val="none"/>
        </w:rPr>
        <w:t>环境监测计划</w:t>
      </w:r>
    </w:p>
    <w:p w14:paraId="4A8130D0">
      <w:pPr>
        <w:keepNext w:val="0"/>
        <w:keepLines w:val="0"/>
        <w:pageBreakBefore w:val="0"/>
        <w:widowControl/>
        <w:kinsoku/>
        <w:wordWrap w:val="0"/>
        <w:overflowPunct/>
        <w:topLinePunct/>
        <w:autoSpaceDE/>
        <w:autoSpaceDN/>
        <w:bidi w:val="0"/>
        <w:adjustRightInd w:val="0"/>
        <w:snapToGrid w:val="0"/>
        <w:spacing w:line="360" w:lineRule="auto"/>
        <w:ind w:firstLine="464" w:firstLineChars="200"/>
        <w:jc w:val="left"/>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t>《环保法》第四十二条明确提出“重点排污单位应当按照国家有关规定和监测规范安装使用监测设备，保证监测设备正常运行，保存原始监测记录”；第五十五条要求“重点排污单位应当如实向社会公开其主要污染物的名称、排放方式、排放浓度和总量、超标排放情况，以及防治污染设施的建设和运行情况，接受社会监督”。根据《排污单位自行监测技术指南 总则》（HJ819-2017）、《排污单位自行监测技术指南 畜禽养殖行业》（HJ 1252-2022），并参考</w:t>
      </w:r>
      <w:bookmarkStart w:id="266" w:name="_Hlk1316776"/>
      <w:r>
        <w:rPr>
          <w:rFonts w:hint="default" w:ascii="Times New Roman" w:hAnsi="Times New Roman" w:eastAsia="宋体" w:cs="Times New Roman"/>
          <w:snapToGrid w:val="0"/>
          <w:color w:val="auto"/>
          <w:spacing w:val="-4"/>
          <w:kern w:val="0"/>
          <w:sz w:val="24"/>
          <w:szCs w:val="24"/>
          <w:highlight w:val="none"/>
          <w:lang w:val="en-US" w:eastAsia="en-US" w:bidi="ar-SA"/>
        </w:rPr>
        <w:t>《排污单位自行监测技术指南 总则》（HJ 819-2017）</w:t>
      </w:r>
      <w:bookmarkEnd w:id="266"/>
      <w:r>
        <w:rPr>
          <w:rFonts w:hint="default" w:ascii="Times New Roman" w:hAnsi="Times New Roman" w:eastAsia="宋体" w:cs="Times New Roman"/>
          <w:snapToGrid w:val="0"/>
          <w:color w:val="auto"/>
          <w:spacing w:val="-4"/>
          <w:kern w:val="0"/>
          <w:sz w:val="24"/>
          <w:szCs w:val="24"/>
          <w:highlight w:val="none"/>
          <w:lang w:val="en-US" w:eastAsia="en-US" w:bidi="ar-SA"/>
        </w:rPr>
        <w:t>，排污单位应掌握本单位的污染排放状况及其对周边环境质量的影响，对污染物排放、周边环境质量影响进行监测。</w:t>
      </w:r>
    </w:p>
    <w:p w14:paraId="2F237847">
      <w:pPr>
        <w:keepNext w:val="0"/>
        <w:keepLines w:val="0"/>
        <w:pageBreakBefore w:val="0"/>
        <w:widowControl/>
        <w:kinsoku/>
        <w:wordWrap w:val="0"/>
        <w:overflowPunct/>
        <w:topLinePunct/>
        <w:autoSpaceDE/>
        <w:autoSpaceDN/>
        <w:bidi w:val="0"/>
        <w:adjustRightInd w:val="0"/>
        <w:snapToGrid w:val="0"/>
        <w:spacing w:line="360" w:lineRule="auto"/>
        <w:ind w:firstLine="464" w:firstLineChars="200"/>
        <w:jc w:val="left"/>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t>（1）污染物排放监测</w:t>
      </w:r>
    </w:p>
    <w:p w14:paraId="0E47AFAB">
      <w:pPr>
        <w:keepNext w:val="0"/>
        <w:keepLines w:val="0"/>
        <w:pageBreakBefore w:val="0"/>
        <w:widowControl/>
        <w:kinsoku/>
        <w:wordWrap w:val="0"/>
        <w:overflowPunct/>
        <w:topLinePunct/>
        <w:autoSpaceDE/>
        <w:autoSpaceDN/>
        <w:bidi w:val="0"/>
        <w:adjustRightInd w:val="0"/>
        <w:snapToGrid w:val="0"/>
        <w:spacing w:line="360" w:lineRule="auto"/>
        <w:ind w:firstLine="464" w:firstLineChars="200"/>
        <w:jc w:val="left"/>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pPr>
      <w:r>
        <w:rPr>
          <w:rFonts w:hint="default" w:ascii="Times New Roman" w:hAnsi="Times New Roman" w:eastAsia="宋体" w:cs="Times New Roman"/>
          <w:snapToGrid w:val="0"/>
          <w:color w:val="auto"/>
          <w:spacing w:val="-4"/>
          <w:kern w:val="0"/>
          <w:sz w:val="24"/>
          <w:szCs w:val="24"/>
          <w:highlight w:val="none"/>
          <w:lang w:val="en-US" w:eastAsia="en-US" w:bidi="ar-SA"/>
        </w:rPr>
        <w:t>本项目污染源监测计划见表8-2-</w:t>
      </w:r>
      <w:r>
        <w:rPr>
          <w:rFonts w:hint="default" w:ascii="Times New Roman" w:hAnsi="Times New Roman" w:eastAsia="宋体" w:cs="Times New Roman"/>
          <w:snapToGrid w:val="0"/>
          <w:color w:val="auto"/>
          <w:spacing w:val="-4"/>
          <w:kern w:val="0"/>
          <w:sz w:val="24"/>
          <w:szCs w:val="24"/>
          <w:highlight w:val="none"/>
          <w:lang w:val="en-US" w:eastAsia="zh-CN" w:bidi="ar-SA"/>
        </w:rPr>
        <w:t>2</w:t>
      </w:r>
      <w:r>
        <w:rPr>
          <w:rFonts w:hint="default" w:ascii="Times New Roman" w:hAnsi="Times New Roman" w:eastAsia="宋体" w:cs="Times New Roman"/>
          <w:snapToGrid w:val="0"/>
          <w:color w:val="auto"/>
          <w:spacing w:val="-4"/>
          <w:kern w:val="0"/>
          <w:sz w:val="24"/>
          <w:szCs w:val="24"/>
          <w:highlight w:val="none"/>
          <w:lang w:val="en-US" w:eastAsia="en-US" w:bidi="ar-SA"/>
        </w:rPr>
        <w:t>。</w:t>
      </w:r>
    </w:p>
    <w:p w14:paraId="7C290C0F">
      <w:pPr>
        <w:keepNext w:val="0"/>
        <w:keepLines w:val="0"/>
        <w:pageBreakBefore w:val="0"/>
        <w:widowControl/>
        <w:kinsoku/>
        <w:wordWrap w:val="0"/>
        <w:overflowPunct/>
        <w:topLinePunct/>
        <w:autoSpaceDE/>
        <w:autoSpaceDN/>
        <w:bidi w:val="0"/>
        <w:adjustRightInd w:val="0"/>
        <w:snapToGrid w:val="0"/>
        <w:spacing w:line="360" w:lineRule="auto"/>
        <w:ind w:firstLine="464" w:firstLineChars="200"/>
        <w:jc w:val="left"/>
        <w:textAlignment w:val="baseline"/>
        <w:rPr>
          <w:rFonts w:hint="default" w:ascii="Times New Roman" w:hAnsi="Times New Roman" w:eastAsia="宋体" w:cs="Times New Roman"/>
          <w:snapToGrid w:val="0"/>
          <w:color w:val="auto"/>
          <w:spacing w:val="-4"/>
          <w:kern w:val="0"/>
          <w:sz w:val="24"/>
          <w:szCs w:val="24"/>
          <w:highlight w:val="none"/>
          <w:lang w:val="en-US" w:eastAsia="en-US" w:bidi="ar-SA"/>
        </w:rPr>
        <w:sectPr>
          <w:headerReference r:id="rId42" w:type="default"/>
          <w:footerReference r:id="rId43" w:type="default"/>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rFonts w:hint="default" w:ascii="Times New Roman" w:hAnsi="Times New Roman" w:eastAsia="宋体" w:cs="Times New Roman"/>
          <w:snapToGrid w:val="0"/>
          <w:color w:val="auto"/>
          <w:spacing w:val="-4"/>
          <w:kern w:val="0"/>
          <w:sz w:val="24"/>
          <w:szCs w:val="24"/>
          <w:highlight w:val="none"/>
          <w:lang w:val="en-US" w:eastAsia="en-US" w:bidi="ar-SA"/>
        </w:rPr>
        <w:t>企业委托有资质的监测单位进行污染源监测，并将监测报告存档。</w:t>
      </w:r>
    </w:p>
    <w:p w14:paraId="77A08444">
      <w:pPr>
        <w:keepNext w:val="0"/>
        <w:keepLines w:val="0"/>
        <w:pageBreakBefore w:val="0"/>
        <w:kinsoku/>
        <w:wordWrap w:val="0"/>
        <w:overflowPunct/>
        <w:topLinePunct/>
        <w:autoSpaceDE/>
        <w:autoSpaceDN/>
        <w:bidi w:val="0"/>
        <w:adjustRightInd w:val="0"/>
        <w:snapToGrid w:val="0"/>
        <w:spacing w:before="78" w:line="212" w:lineRule="auto"/>
        <w:jc w:val="center"/>
        <w:textAlignment w:val="baseline"/>
        <w:rPr>
          <w:rFonts w:hint="default" w:ascii="Times New Roman" w:hAnsi="Times New Roman" w:eastAsia="宋体" w:cs="Times New Roman"/>
          <w:b/>
          <w:bCs/>
          <w:color w:val="FF0000"/>
          <w:sz w:val="24"/>
          <w:szCs w:val="24"/>
          <w:highlight w:val="none"/>
        </w:rPr>
      </w:pPr>
      <w:r>
        <w:rPr>
          <w:rFonts w:hint="default" w:ascii="Times New Roman" w:hAnsi="Times New Roman" w:eastAsia="宋体" w:cs="Times New Roman"/>
          <w:b/>
          <w:bCs/>
          <w:color w:val="FF0000"/>
          <w:spacing w:val="-2"/>
          <w:sz w:val="24"/>
          <w:szCs w:val="24"/>
          <w:highlight w:val="none"/>
        </w:rPr>
        <w:t>表</w:t>
      </w:r>
      <w:r>
        <w:rPr>
          <w:rFonts w:hint="default" w:ascii="Times New Roman" w:hAnsi="Times New Roman" w:eastAsia="Times New Roman" w:cs="Times New Roman"/>
          <w:b/>
          <w:bCs/>
          <w:color w:val="FF0000"/>
          <w:spacing w:val="-2"/>
          <w:sz w:val="24"/>
          <w:szCs w:val="24"/>
          <w:highlight w:val="none"/>
        </w:rPr>
        <w:t>8.2-2</w:t>
      </w:r>
      <w:r>
        <w:rPr>
          <w:rFonts w:hint="default" w:ascii="Times New Roman" w:hAnsi="Times New Roman" w:eastAsia="宋体" w:cs="Times New Roman"/>
          <w:b/>
          <w:bCs/>
          <w:color w:val="FF0000"/>
          <w:spacing w:val="-2"/>
          <w:sz w:val="24"/>
          <w:szCs w:val="24"/>
          <w:highlight w:val="none"/>
        </w:rPr>
        <w:t>污染源监测计划一览表</w:t>
      </w:r>
    </w:p>
    <w:p w14:paraId="5FCADFEF">
      <w:pPr>
        <w:keepNext w:val="0"/>
        <w:keepLines w:val="0"/>
        <w:pageBreakBefore w:val="0"/>
        <w:kinsoku/>
        <w:wordWrap w:val="0"/>
        <w:overflowPunct/>
        <w:topLinePunct/>
        <w:autoSpaceDE/>
        <w:autoSpaceDN/>
        <w:bidi w:val="0"/>
        <w:adjustRightInd w:val="0"/>
        <w:snapToGrid w:val="0"/>
        <w:spacing w:line="31" w:lineRule="exact"/>
        <w:ind w:firstLine="14"/>
        <w:textAlignment w:val="baseline"/>
        <w:rPr>
          <w:rFonts w:hint="default" w:ascii="Times New Roman" w:hAnsi="Times New Roman" w:cs="Times New Roman"/>
          <w:color w:val="FF0000"/>
          <w:highlight w:val="none"/>
        </w:rPr>
      </w:pPr>
    </w:p>
    <w:tbl>
      <w:tblPr>
        <w:tblStyle w:val="34"/>
        <w:tblW w:w="13076" w:type="dxa"/>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968"/>
        <w:gridCol w:w="1167"/>
        <w:gridCol w:w="2878"/>
        <w:gridCol w:w="1508"/>
        <w:gridCol w:w="1944"/>
        <w:gridCol w:w="835"/>
        <w:gridCol w:w="975"/>
        <w:gridCol w:w="2801"/>
      </w:tblGrid>
      <w:tr w14:paraId="7D18BEE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68" w:type="dxa"/>
            <w:tcBorders>
              <w:tl2br w:val="nil"/>
              <w:tr2bl w:val="nil"/>
            </w:tcBorders>
            <w:vAlign w:val="center"/>
          </w:tcPr>
          <w:p w14:paraId="663785A5">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bookmarkStart w:id="267" w:name="bookmark76"/>
            <w:bookmarkEnd w:id="267"/>
            <w:r>
              <w:rPr>
                <w:rFonts w:hint="default" w:ascii="Times New Roman" w:hAnsi="Times New Roman" w:cs="Times New Roman"/>
                <w:color w:val="FF0000"/>
                <w:spacing w:val="31"/>
                <w:highlight w:val="none"/>
              </w:rPr>
              <w:t>项</w:t>
            </w:r>
            <w:r>
              <w:rPr>
                <w:rFonts w:hint="default" w:ascii="Times New Roman" w:hAnsi="Times New Roman" w:cs="Times New Roman"/>
                <w:color w:val="FF0000"/>
                <w:spacing w:val="31"/>
                <w:position w:val="1"/>
                <w:highlight w:val="none"/>
              </w:rPr>
              <w:t>目</w:t>
            </w:r>
          </w:p>
        </w:tc>
        <w:tc>
          <w:tcPr>
            <w:tcW w:w="1167" w:type="dxa"/>
            <w:tcBorders>
              <w:tl2br w:val="nil"/>
              <w:tr2bl w:val="nil"/>
            </w:tcBorders>
            <w:vAlign w:val="center"/>
          </w:tcPr>
          <w:p w14:paraId="4B188FCF">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污染源</w:t>
            </w:r>
          </w:p>
        </w:tc>
        <w:tc>
          <w:tcPr>
            <w:tcW w:w="2878" w:type="dxa"/>
            <w:tcBorders>
              <w:tl2br w:val="nil"/>
              <w:tr2bl w:val="nil"/>
            </w:tcBorders>
            <w:vAlign w:val="center"/>
          </w:tcPr>
          <w:p w14:paraId="7D02CA7F">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监测指标</w:t>
            </w:r>
          </w:p>
        </w:tc>
        <w:tc>
          <w:tcPr>
            <w:tcW w:w="1508" w:type="dxa"/>
            <w:tcBorders>
              <w:tl2br w:val="nil"/>
              <w:tr2bl w:val="nil"/>
            </w:tcBorders>
            <w:vAlign w:val="center"/>
          </w:tcPr>
          <w:p w14:paraId="0B8EFCDA">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监测点位</w:t>
            </w:r>
          </w:p>
        </w:tc>
        <w:tc>
          <w:tcPr>
            <w:tcW w:w="1944" w:type="dxa"/>
            <w:tcBorders>
              <w:tl2br w:val="nil"/>
              <w:tr2bl w:val="nil"/>
            </w:tcBorders>
            <w:vAlign w:val="center"/>
          </w:tcPr>
          <w:p w14:paraId="0B2C339B">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执行标准</w:t>
            </w:r>
          </w:p>
        </w:tc>
        <w:tc>
          <w:tcPr>
            <w:tcW w:w="835" w:type="dxa"/>
            <w:tcBorders>
              <w:tl2br w:val="nil"/>
              <w:tr2bl w:val="nil"/>
            </w:tcBorders>
            <w:vAlign w:val="center"/>
          </w:tcPr>
          <w:p w14:paraId="1BC6B51C">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监测</w:t>
            </w:r>
          </w:p>
          <w:p w14:paraId="6E4BDE78">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频次</w:t>
            </w:r>
          </w:p>
        </w:tc>
        <w:tc>
          <w:tcPr>
            <w:tcW w:w="975" w:type="dxa"/>
            <w:tcBorders>
              <w:tl2br w:val="nil"/>
              <w:tr2bl w:val="nil"/>
            </w:tcBorders>
            <w:vAlign w:val="center"/>
          </w:tcPr>
          <w:p w14:paraId="129689AF">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right="0"/>
              <w:jc w:val="both"/>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监测技</w:t>
            </w:r>
            <w:r>
              <w:rPr>
                <w:rFonts w:hint="default" w:ascii="Times New Roman" w:hAnsi="Times New Roman" w:cs="Times New Roman"/>
                <w:color w:val="FF0000"/>
                <w:highlight w:val="none"/>
              </w:rPr>
              <w:t>术</w:t>
            </w:r>
          </w:p>
        </w:tc>
        <w:tc>
          <w:tcPr>
            <w:tcW w:w="2801" w:type="dxa"/>
            <w:tcBorders>
              <w:tl2br w:val="nil"/>
              <w:tr2bl w:val="nil"/>
            </w:tcBorders>
            <w:vAlign w:val="center"/>
          </w:tcPr>
          <w:p w14:paraId="6BE42F6F">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rPr>
              <w:t>采样方法</w:t>
            </w:r>
          </w:p>
        </w:tc>
      </w:tr>
      <w:tr w14:paraId="6B2E447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651" w:hRule="atLeast"/>
          <w:jc w:val="center"/>
        </w:trPr>
        <w:tc>
          <w:tcPr>
            <w:tcW w:w="968" w:type="dxa"/>
            <w:vMerge w:val="restart"/>
            <w:tcBorders>
              <w:tl2br w:val="nil"/>
              <w:tr2bl w:val="nil"/>
            </w:tcBorders>
            <w:vAlign w:val="center"/>
          </w:tcPr>
          <w:p w14:paraId="49999FCA">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宋体" w:cs="Times New Roman"/>
                <w:color w:val="FF0000"/>
                <w:sz w:val="21"/>
                <w:highlight w:val="none"/>
                <w:lang w:val="en-US" w:eastAsia="zh-CN"/>
              </w:rPr>
            </w:pPr>
            <w:r>
              <w:rPr>
                <w:rFonts w:hint="eastAsia" w:ascii="Times New Roman" w:hAnsi="Times New Roman" w:eastAsia="宋体" w:cs="Times New Roman"/>
                <w:color w:val="FF0000"/>
                <w:sz w:val="21"/>
                <w:highlight w:val="none"/>
                <w:lang w:val="en-US" w:eastAsia="zh-CN"/>
              </w:rPr>
              <w:t>无组织</w:t>
            </w:r>
            <w:r>
              <w:rPr>
                <w:rFonts w:hint="default" w:ascii="Times New Roman" w:hAnsi="Times New Roman" w:eastAsia="宋体" w:cs="Times New Roman"/>
                <w:color w:val="FF0000"/>
                <w:sz w:val="21"/>
                <w:highlight w:val="none"/>
                <w:lang w:val="en-US" w:eastAsia="zh-CN"/>
              </w:rPr>
              <w:t>废气</w:t>
            </w:r>
          </w:p>
        </w:tc>
        <w:tc>
          <w:tcPr>
            <w:tcW w:w="1167" w:type="dxa"/>
            <w:vMerge w:val="restart"/>
            <w:tcBorders>
              <w:tl2br w:val="nil"/>
              <w:tr2bl w:val="nil"/>
            </w:tcBorders>
            <w:vAlign w:val="center"/>
          </w:tcPr>
          <w:p w14:paraId="0B28A03A">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宋体" w:cs="Times New Roman"/>
                <w:color w:val="FF0000"/>
                <w:highlight w:val="none"/>
                <w:lang w:val="en-US" w:eastAsia="zh-CN"/>
              </w:rPr>
            </w:pPr>
            <w:r>
              <w:rPr>
                <w:rFonts w:hint="default" w:ascii="Times New Roman" w:hAnsi="Times New Roman" w:cs="Times New Roman"/>
                <w:color w:val="FF0000"/>
                <w:spacing w:val="-2"/>
                <w:highlight w:val="none"/>
                <w:lang w:val="en-US" w:eastAsia="zh-CN"/>
              </w:rPr>
              <w:t>牛舍、粪污储存间</w:t>
            </w:r>
          </w:p>
        </w:tc>
        <w:tc>
          <w:tcPr>
            <w:tcW w:w="2878" w:type="dxa"/>
            <w:tcBorders>
              <w:tl2br w:val="nil"/>
              <w:tr2bl w:val="nil"/>
            </w:tcBorders>
            <w:vAlign w:val="center"/>
          </w:tcPr>
          <w:p w14:paraId="187B27E1">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Times New Roman" w:cs="Times New Roman"/>
                <w:color w:val="FF0000"/>
                <w:sz w:val="21"/>
                <w:szCs w:val="21"/>
                <w:highlight w:val="none"/>
              </w:rPr>
            </w:pPr>
            <w:r>
              <w:rPr>
                <w:rFonts w:hint="default" w:ascii="Times New Roman" w:hAnsi="Times New Roman" w:eastAsia="Times New Roman" w:cs="Times New Roman"/>
                <w:color w:val="FF0000"/>
                <w:spacing w:val="1"/>
                <w:sz w:val="21"/>
                <w:szCs w:val="21"/>
                <w:highlight w:val="none"/>
              </w:rPr>
              <w:t>H</w:t>
            </w:r>
            <w:r>
              <w:rPr>
                <w:rFonts w:hint="default" w:ascii="Times New Roman" w:hAnsi="Times New Roman" w:eastAsia="Times New Roman" w:cs="Times New Roman"/>
                <w:color w:val="FF0000"/>
                <w:spacing w:val="1"/>
                <w:position w:val="-2"/>
                <w:sz w:val="13"/>
                <w:szCs w:val="13"/>
                <w:highlight w:val="none"/>
              </w:rPr>
              <w:t>2</w:t>
            </w:r>
            <w:r>
              <w:rPr>
                <w:rFonts w:hint="default" w:ascii="Times New Roman" w:hAnsi="Times New Roman" w:eastAsia="Times New Roman" w:cs="Times New Roman"/>
                <w:color w:val="FF0000"/>
                <w:spacing w:val="1"/>
                <w:sz w:val="21"/>
                <w:szCs w:val="21"/>
                <w:highlight w:val="none"/>
              </w:rPr>
              <w:t>S</w:t>
            </w:r>
          </w:p>
        </w:tc>
        <w:tc>
          <w:tcPr>
            <w:tcW w:w="1508" w:type="dxa"/>
            <w:vMerge w:val="restart"/>
            <w:tcBorders>
              <w:tl2br w:val="nil"/>
              <w:tr2bl w:val="nil"/>
            </w:tcBorders>
            <w:vAlign w:val="center"/>
          </w:tcPr>
          <w:p w14:paraId="3622A968">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snapToGrid w:val="0"/>
                <w:color w:val="FF0000"/>
                <w:kern w:val="0"/>
                <w:sz w:val="21"/>
                <w:szCs w:val="21"/>
                <w:highlight w:val="none"/>
                <w:lang w:val="zh-CN"/>
              </w:rPr>
              <w:t>单位周界外10m范围内的浓度最高点</w:t>
            </w:r>
          </w:p>
        </w:tc>
        <w:tc>
          <w:tcPr>
            <w:tcW w:w="1944" w:type="dxa"/>
            <w:vMerge w:val="restart"/>
            <w:tcBorders>
              <w:tl2br w:val="nil"/>
              <w:tr2bl w:val="nil"/>
            </w:tcBorders>
            <w:vAlign w:val="center"/>
          </w:tcPr>
          <w:p w14:paraId="023B633A">
            <w:pPr>
              <w:keepNext w:val="0"/>
              <w:keepLines w:val="0"/>
              <w:widowControl/>
              <w:suppressLineNumbers w:val="0"/>
              <w:jc w:val="left"/>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snapToGrid w:val="0"/>
                <w:color w:val="000000"/>
                <w:kern w:val="0"/>
                <w:sz w:val="21"/>
                <w:szCs w:val="21"/>
                <w:highlight w:val="green"/>
                <w:lang w:val="en-US" w:eastAsia="zh-CN" w:bidi="ar"/>
              </w:rPr>
              <w:t>厂界执行《恶臭污染物排放标准》（GB14554-1993）表1二级新改扩建标准</w:t>
            </w:r>
          </w:p>
        </w:tc>
        <w:tc>
          <w:tcPr>
            <w:tcW w:w="835" w:type="dxa"/>
            <w:vMerge w:val="restart"/>
            <w:tcBorders>
              <w:tl2br w:val="nil"/>
              <w:tr2bl w:val="nil"/>
            </w:tcBorders>
            <w:vAlign w:val="center"/>
          </w:tcPr>
          <w:p w14:paraId="48F64CAD">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eastAsia="Times New Roman" w:cs="Times New Roman"/>
                <w:color w:val="FF0000"/>
                <w:spacing w:val="-8"/>
                <w:highlight w:val="none"/>
              </w:rPr>
              <w:t>1</w:t>
            </w:r>
            <w:r>
              <w:rPr>
                <w:rFonts w:hint="default" w:ascii="Times New Roman" w:hAnsi="Times New Roman" w:cs="Times New Roman"/>
                <w:color w:val="FF0000"/>
                <w:spacing w:val="-8"/>
                <w:highlight w:val="none"/>
              </w:rPr>
              <w:t>次</w:t>
            </w:r>
            <w:r>
              <w:rPr>
                <w:rFonts w:hint="default" w:ascii="Times New Roman" w:hAnsi="Times New Roman" w:eastAsia="Times New Roman" w:cs="Times New Roman"/>
                <w:color w:val="FF0000"/>
                <w:spacing w:val="-8"/>
                <w:highlight w:val="none"/>
              </w:rPr>
              <w:t>/</w:t>
            </w:r>
            <w:r>
              <w:rPr>
                <w:rFonts w:hint="default" w:ascii="Times New Roman" w:hAnsi="Times New Roman" w:cs="Times New Roman"/>
                <w:color w:val="FF0000"/>
                <w:highlight w:val="none"/>
              </w:rPr>
              <w:t>年</w:t>
            </w:r>
          </w:p>
        </w:tc>
        <w:tc>
          <w:tcPr>
            <w:tcW w:w="975" w:type="dxa"/>
            <w:vMerge w:val="restart"/>
            <w:tcBorders>
              <w:tl2br w:val="nil"/>
              <w:tr2bl w:val="nil"/>
            </w:tcBorders>
            <w:vAlign w:val="center"/>
          </w:tcPr>
          <w:p w14:paraId="0E1092F8">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手工监测技术</w:t>
            </w:r>
          </w:p>
        </w:tc>
        <w:tc>
          <w:tcPr>
            <w:tcW w:w="2801" w:type="dxa"/>
            <w:vMerge w:val="restart"/>
            <w:tcBorders>
              <w:tl2br w:val="nil"/>
              <w:tr2bl w:val="nil"/>
            </w:tcBorders>
            <w:vAlign w:val="center"/>
          </w:tcPr>
          <w:p w14:paraId="1A7A88DA">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eastAsia" w:ascii="Times New Roman" w:hAnsi="Times New Roman" w:cs="Times New Roman"/>
                <w:color w:val="FF0000"/>
                <w:spacing w:val="-1"/>
                <w:highlight w:val="none"/>
                <w:lang w:val="en-US" w:eastAsia="zh-CN"/>
              </w:rPr>
              <w:t>参照</w:t>
            </w:r>
            <w:r>
              <w:rPr>
                <w:rFonts w:hint="default" w:ascii="Times New Roman" w:hAnsi="Times New Roman" w:cs="Times New Roman"/>
                <w:color w:val="FF0000"/>
                <w:spacing w:val="-1"/>
                <w:highlight w:val="none"/>
              </w:rPr>
              <w:t>《畜禽养殖业污染物排放标准》（</w:t>
            </w:r>
            <w:r>
              <w:rPr>
                <w:rFonts w:hint="default" w:ascii="Times New Roman" w:hAnsi="Times New Roman" w:eastAsia="Times New Roman" w:cs="Times New Roman"/>
                <w:color w:val="FF0000"/>
                <w:spacing w:val="-1"/>
                <w:highlight w:val="none"/>
              </w:rPr>
              <w:t>GB18596-2001</w:t>
            </w:r>
            <w:r>
              <w:rPr>
                <w:rFonts w:hint="default" w:ascii="Times New Roman" w:hAnsi="Times New Roman" w:cs="Times New Roman"/>
                <w:color w:val="FF0000"/>
                <w:spacing w:val="-1"/>
                <w:highlight w:val="none"/>
              </w:rPr>
              <w:t>）及</w:t>
            </w:r>
            <w:r>
              <w:rPr>
                <w:rFonts w:hint="default" w:ascii="Times New Roman" w:hAnsi="Times New Roman" w:eastAsia="Times New Roman" w:cs="Times New Roman"/>
                <w:color w:val="FF0000"/>
                <w:spacing w:val="-2"/>
                <w:highlight w:val="none"/>
              </w:rPr>
              <w:t>HJ/T55</w:t>
            </w:r>
            <w:r>
              <w:rPr>
                <w:rFonts w:hint="default" w:ascii="Times New Roman" w:hAnsi="Times New Roman" w:cs="Times New Roman"/>
                <w:color w:val="FF0000"/>
                <w:spacing w:val="-2"/>
                <w:highlight w:val="none"/>
              </w:rPr>
              <w:t>、</w:t>
            </w:r>
            <w:r>
              <w:rPr>
                <w:rFonts w:hint="default" w:ascii="Times New Roman" w:hAnsi="Times New Roman" w:eastAsia="Times New Roman" w:cs="Times New Roman"/>
                <w:color w:val="FF0000"/>
                <w:spacing w:val="-2"/>
                <w:highlight w:val="none"/>
              </w:rPr>
              <w:t>HJ733</w:t>
            </w:r>
            <w:r>
              <w:rPr>
                <w:rFonts w:hint="default" w:ascii="Times New Roman" w:hAnsi="Times New Roman" w:cs="Times New Roman"/>
                <w:color w:val="FF0000"/>
                <w:spacing w:val="-2"/>
                <w:highlight w:val="none"/>
              </w:rPr>
              <w:t>等执行</w:t>
            </w:r>
          </w:p>
        </w:tc>
      </w:tr>
      <w:tr w14:paraId="17F77DF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796" w:hRule="atLeast"/>
          <w:jc w:val="center"/>
        </w:trPr>
        <w:tc>
          <w:tcPr>
            <w:tcW w:w="968" w:type="dxa"/>
            <w:vMerge w:val="continue"/>
            <w:tcBorders>
              <w:tl2br w:val="nil"/>
              <w:tr2bl w:val="nil"/>
            </w:tcBorders>
            <w:vAlign w:val="center"/>
          </w:tcPr>
          <w:p w14:paraId="5E88E2CC">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1167" w:type="dxa"/>
            <w:vMerge w:val="continue"/>
            <w:tcBorders>
              <w:tl2br w:val="nil"/>
              <w:tr2bl w:val="nil"/>
            </w:tcBorders>
            <w:vAlign w:val="center"/>
          </w:tcPr>
          <w:p w14:paraId="065EC217">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2878" w:type="dxa"/>
            <w:tcBorders>
              <w:tl2br w:val="nil"/>
              <w:tr2bl w:val="nil"/>
            </w:tcBorders>
            <w:vAlign w:val="center"/>
          </w:tcPr>
          <w:p w14:paraId="604DEC57">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Times New Roman" w:cs="Times New Roman"/>
                <w:color w:val="FF0000"/>
                <w:sz w:val="13"/>
                <w:szCs w:val="13"/>
                <w:highlight w:val="none"/>
              </w:rPr>
            </w:pPr>
            <w:r>
              <w:rPr>
                <w:rFonts w:hint="default" w:ascii="Times New Roman" w:hAnsi="Times New Roman" w:eastAsia="Times New Roman" w:cs="Times New Roman"/>
                <w:color w:val="FF0000"/>
                <w:sz w:val="21"/>
                <w:szCs w:val="21"/>
                <w:highlight w:val="none"/>
              </w:rPr>
              <w:t>NH</w:t>
            </w:r>
            <w:r>
              <w:rPr>
                <w:rFonts w:hint="default" w:ascii="Times New Roman" w:hAnsi="Times New Roman" w:eastAsia="Times New Roman" w:cs="Times New Roman"/>
                <w:color w:val="FF0000"/>
                <w:spacing w:val="8"/>
                <w:position w:val="-2"/>
                <w:sz w:val="13"/>
                <w:szCs w:val="13"/>
                <w:highlight w:val="none"/>
              </w:rPr>
              <w:t>3</w:t>
            </w:r>
          </w:p>
        </w:tc>
        <w:tc>
          <w:tcPr>
            <w:tcW w:w="1508" w:type="dxa"/>
            <w:vMerge w:val="continue"/>
            <w:tcBorders>
              <w:tl2br w:val="nil"/>
              <w:tr2bl w:val="nil"/>
            </w:tcBorders>
            <w:vAlign w:val="center"/>
          </w:tcPr>
          <w:p w14:paraId="0587CD06">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1944" w:type="dxa"/>
            <w:vMerge w:val="continue"/>
            <w:tcBorders>
              <w:tl2br w:val="nil"/>
              <w:tr2bl w:val="nil"/>
            </w:tcBorders>
            <w:vAlign w:val="center"/>
          </w:tcPr>
          <w:p w14:paraId="59589B01">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835" w:type="dxa"/>
            <w:vMerge w:val="continue"/>
            <w:tcBorders>
              <w:tl2br w:val="nil"/>
              <w:tr2bl w:val="nil"/>
            </w:tcBorders>
            <w:vAlign w:val="center"/>
          </w:tcPr>
          <w:p w14:paraId="5D77886B">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975" w:type="dxa"/>
            <w:vMerge w:val="continue"/>
            <w:tcBorders>
              <w:tl2br w:val="nil"/>
              <w:tr2bl w:val="nil"/>
            </w:tcBorders>
            <w:vAlign w:val="center"/>
          </w:tcPr>
          <w:p w14:paraId="1B05EA09">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2801" w:type="dxa"/>
            <w:vMerge w:val="continue"/>
            <w:tcBorders>
              <w:tl2br w:val="nil"/>
              <w:tr2bl w:val="nil"/>
            </w:tcBorders>
            <w:vAlign w:val="center"/>
          </w:tcPr>
          <w:p w14:paraId="7EC53014">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r>
      <w:tr w14:paraId="6B59B12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968" w:type="dxa"/>
            <w:vMerge w:val="continue"/>
            <w:tcBorders>
              <w:bottom w:val="single" w:color="auto" w:sz="4" w:space="0"/>
              <w:tl2br w:val="nil"/>
              <w:tr2bl w:val="nil"/>
            </w:tcBorders>
            <w:vAlign w:val="center"/>
          </w:tcPr>
          <w:p w14:paraId="469AABA5">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1167" w:type="dxa"/>
            <w:vMerge w:val="continue"/>
            <w:tcBorders>
              <w:bottom w:val="single" w:color="auto" w:sz="4" w:space="0"/>
              <w:tl2br w:val="nil"/>
              <w:tr2bl w:val="nil"/>
            </w:tcBorders>
            <w:vAlign w:val="center"/>
          </w:tcPr>
          <w:p w14:paraId="7815218A">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2878" w:type="dxa"/>
            <w:tcBorders>
              <w:bottom w:val="single" w:color="auto" w:sz="4" w:space="0"/>
              <w:tl2br w:val="nil"/>
              <w:tr2bl w:val="nil"/>
            </w:tcBorders>
            <w:vAlign w:val="center"/>
          </w:tcPr>
          <w:p w14:paraId="7514119D">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臭气浓度</w:t>
            </w:r>
          </w:p>
        </w:tc>
        <w:tc>
          <w:tcPr>
            <w:tcW w:w="1508" w:type="dxa"/>
            <w:vMerge w:val="continue"/>
            <w:tcBorders>
              <w:bottom w:val="single" w:color="auto" w:sz="4" w:space="0"/>
              <w:tl2br w:val="nil"/>
              <w:tr2bl w:val="nil"/>
            </w:tcBorders>
            <w:vAlign w:val="center"/>
          </w:tcPr>
          <w:p w14:paraId="4415A4DD">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1944" w:type="dxa"/>
            <w:vMerge w:val="continue"/>
            <w:tcBorders>
              <w:bottom w:val="single" w:color="auto" w:sz="4" w:space="0"/>
              <w:tl2br w:val="nil"/>
              <w:tr2bl w:val="nil"/>
            </w:tcBorders>
            <w:vAlign w:val="center"/>
          </w:tcPr>
          <w:p w14:paraId="15C2ADA8">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835" w:type="dxa"/>
            <w:vMerge w:val="continue"/>
            <w:tcBorders>
              <w:bottom w:val="single" w:color="auto" w:sz="4" w:space="0"/>
              <w:tl2br w:val="nil"/>
              <w:tr2bl w:val="nil"/>
            </w:tcBorders>
            <w:vAlign w:val="center"/>
          </w:tcPr>
          <w:p w14:paraId="7CF26DB3">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975" w:type="dxa"/>
            <w:vMerge w:val="continue"/>
            <w:tcBorders>
              <w:bottom w:val="single" w:color="auto" w:sz="4" w:space="0"/>
              <w:tl2br w:val="nil"/>
              <w:tr2bl w:val="nil"/>
            </w:tcBorders>
            <w:vAlign w:val="center"/>
          </w:tcPr>
          <w:p w14:paraId="27AC2F06">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2801" w:type="dxa"/>
            <w:vMerge w:val="continue"/>
            <w:tcBorders>
              <w:bottom w:val="single" w:color="auto" w:sz="4" w:space="0"/>
              <w:tl2br w:val="nil"/>
              <w:tr2bl w:val="nil"/>
            </w:tcBorders>
            <w:vAlign w:val="center"/>
          </w:tcPr>
          <w:p w14:paraId="047047CB">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r>
      <w:tr w14:paraId="06E0037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8" w:hRule="atLeast"/>
          <w:jc w:val="center"/>
        </w:trPr>
        <w:tc>
          <w:tcPr>
            <w:tcW w:w="968" w:type="dxa"/>
            <w:vMerge w:val="restart"/>
            <w:tcBorders>
              <w:top w:val="single" w:color="auto" w:sz="4" w:space="0"/>
              <w:tl2br w:val="nil"/>
              <w:tr2bl w:val="nil"/>
            </w:tcBorders>
            <w:vAlign w:val="center"/>
          </w:tcPr>
          <w:p w14:paraId="4D271286">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z w:val="21"/>
                <w:highlight w:val="none"/>
              </w:rPr>
            </w:pPr>
            <w:r>
              <w:rPr>
                <w:rFonts w:hint="eastAsia" w:ascii="Times New Roman" w:hAnsi="Times New Roman" w:eastAsia="宋体" w:cs="Times New Roman"/>
                <w:color w:val="0000FF"/>
                <w:sz w:val="21"/>
                <w:highlight w:val="none"/>
                <w:lang w:val="en-US" w:eastAsia="zh-CN"/>
              </w:rPr>
              <w:t>有组织</w:t>
            </w:r>
            <w:r>
              <w:rPr>
                <w:rFonts w:hint="default" w:ascii="Times New Roman" w:hAnsi="Times New Roman" w:eastAsia="宋体" w:cs="Times New Roman"/>
                <w:color w:val="0000FF"/>
                <w:sz w:val="21"/>
                <w:highlight w:val="none"/>
                <w:lang w:val="en-US" w:eastAsia="zh-CN"/>
              </w:rPr>
              <w:t>废气</w:t>
            </w:r>
          </w:p>
        </w:tc>
        <w:tc>
          <w:tcPr>
            <w:tcW w:w="1167" w:type="dxa"/>
            <w:vMerge w:val="restart"/>
            <w:tcBorders>
              <w:top w:val="single" w:color="auto" w:sz="4" w:space="0"/>
              <w:tl2br w:val="nil"/>
              <w:tr2bl w:val="nil"/>
            </w:tcBorders>
            <w:vAlign w:val="center"/>
          </w:tcPr>
          <w:p w14:paraId="22633FBD">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z w:val="21"/>
                <w:highlight w:val="none"/>
              </w:rPr>
            </w:pPr>
            <w:r>
              <w:rPr>
                <w:rFonts w:hint="default" w:ascii="Times New Roman" w:hAnsi="Times New Roman" w:cs="Times New Roman"/>
                <w:color w:val="0000FF"/>
                <w:spacing w:val="-2"/>
                <w:highlight w:val="none"/>
                <w:lang w:val="en-US" w:eastAsia="zh-CN"/>
              </w:rPr>
              <w:t>粪污储存间</w:t>
            </w:r>
          </w:p>
        </w:tc>
        <w:tc>
          <w:tcPr>
            <w:tcW w:w="2878" w:type="dxa"/>
            <w:tcBorders>
              <w:top w:val="single" w:color="auto" w:sz="4" w:space="0"/>
              <w:bottom w:val="single" w:color="auto" w:sz="4" w:space="0"/>
              <w:tl2br w:val="nil"/>
              <w:tr2bl w:val="nil"/>
            </w:tcBorders>
            <w:vAlign w:val="center"/>
          </w:tcPr>
          <w:p w14:paraId="752BB7CC">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pacing w:val="-2"/>
                <w:highlight w:val="none"/>
              </w:rPr>
            </w:pPr>
            <w:r>
              <w:rPr>
                <w:rFonts w:hint="default" w:ascii="Times New Roman" w:hAnsi="Times New Roman" w:eastAsia="Times New Roman" w:cs="Times New Roman"/>
                <w:color w:val="0000FF"/>
                <w:spacing w:val="1"/>
                <w:sz w:val="21"/>
                <w:szCs w:val="21"/>
                <w:highlight w:val="none"/>
              </w:rPr>
              <w:t>H</w:t>
            </w:r>
            <w:r>
              <w:rPr>
                <w:rFonts w:hint="default" w:ascii="Times New Roman" w:hAnsi="Times New Roman" w:eastAsia="Times New Roman" w:cs="Times New Roman"/>
                <w:color w:val="0000FF"/>
                <w:spacing w:val="1"/>
                <w:position w:val="-2"/>
                <w:sz w:val="13"/>
                <w:szCs w:val="13"/>
                <w:highlight w:val="none"/>
              </w:rPr>
              <w:t>2</w:t>
            </w:r>
            <w:r>
              <w:rPr>
                <w:rFonts w:hint="default" w:ascii="Times New Roman" w:hAnsi="Times New Roman" w:eastAsia="Times New Roman" w:cs="Times New Roman"/>
                <w:color w:val="0000FF"/>
                <w:spacing w:val="1"/>
                <w:sz w:val="21"/>
                <w:szCs w:val="21"/>
                <w:highlight w:val="none"/>
              </w:rPr>
              <w:t>S</w:t>
            </w:r>
          </w:p>
        </w:tc>
        <w:tc>
          <w:tcPr>
            <w:tcW w:w="1508" w:type="dxa"/>
            <w:vMerge w:val="restart"/>
            <w:tcBorders>
              <w:top w:val="single" w:color="auto" w:sz="4" w:space="0"/>
              <w:tl2br w:val="nil"/>
              <w:tr2bl w:val="nil"/>
            </w:tcBorders>
            <w:vAlign w:val="center"/>
          </w:tcPr>
          <w:p w14:paraId="7C4E59E2">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宋体" w:cs="Times New Roman"/>
                <w:color w:val="0000FF"/>
                <w:sz w:val="21"/>
                <w:highlight w:val="none"/>
                <w:lang w:val="en-US" w:eastAsia="zh-CN"/>
              </w:rPr>
            </w:pPr>
            <w:r>
              <w:rPr>
                <w:rFonts w:hint="eastAsia" w:ascii="Times New Roman" w:hAnsi="Times New Roman" w:eastAsia="宋体" w:cs="Times New Roman"/>
                <w:color w:val="0000FF"/>
                <w:sz w:val="21"/>
                <w:highlight w:val="none"/>
                <w:lang w:val="en-US" w:eastAsia="zh-CN"/>
              </w:rPr>
              <w:t>DA001排气筒</w:t>
            </w:r>
          </w:p>
        </w:tc>
        <w:tc>
          <w:tcPr>
            <w:tcW w:w="1944" w:type="dxa"/>
            <w:vMerge w:val="restart"/>
            <w:tcBorders>
              <w:top w:val="single" w:color="auto" w:sz="4" w:space="0"/>
              <w:tl2br w:val="nil"/>
              <w:tr2bl w:val="nil"/>
            </w:tcBorders>
            <w:vAlign w:val="center"/>
          </w:tcPr>
          <w:p w14:paraId="05799266">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z w:val="21"/>
                <w:highlight w:val="none"/>
              </w:rPr>
            </w:pPr>
            <w:r>
              <w:rPr>
                <w:rFonts w:hint="default" w:ascii="Times New Roman" w:hAnsi="Times New Roman" w:cs="Times New Roman"/>
                <w:color w:val="0000FF"/>
                <w:sz w:val="21"/>
                <w:highlight w:val="none"/>
                <w:lang w:val="zh-CN"/>
              </w:rPr>
              <w:t>满足《恶臭污染物排放标准》（GB14554-93）表2中15m高排气筒标准要求。</w:t>
            </w:r>
          </w:p>
        </w:tc>
        <w:tc>
          <w:tcPr>
            <w:tcW w:w="835" w:type="dxa"/>
            <w:vMerge w:val="restart"/>
            <w:tcBorders>
              <w:top w:val="single" w:color="auto" w:sz="4" w:space="0"/>
              <w:tl2br w:val="nil"/>
              <w:tr2bl w:val="nil"/>
            </w:tcBorders>
            <w:vAlign w:val="center"/>
          </w:tcPr>
          <w:p w14:paraId="20B75BD4">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z w:val="21"/>
                <w:highlight w:val="none"/>
              </w:rPr>
            </w:pPr>
            <w:r>
              <w:rPr>
                <w:rFonts w:hint="default" w:ascii="Times New Roman" w:hAnsi="Times New Roman" w:eastAsia="Times New Roman" w:cs="Times New Roman"/>
                <w:color w:val="0000FF"/>
                <w:spacing w:val="-8"/>
                <w:highlight w:val="none"/>
              </w:rPr>
              <w:t>1</w:t>
            </w:r>
            <w:r>
              <w:rPr>
                <w:rFonts w:hint="default" w:ascii="Times New Roman" w:hAnsi="Times New Roman" w:cs="Times New Roman"/>
                <w:color w:val="0000FF"/>
                <w:spacing w:val="-8"/>
                <w:highlight w:val="none"/>
              </w:rPr>
              <w:t>次</w:t>
            </w:r>
            <w:r>
              <w:rPr>
                <w:rFonts w:hint="default" w:ascii="Times New Roman" w:hAnsi="Times New Roman" w:eastAsia="Times New Roman" w:cs="Times New Roman"/>
                <w:color w:val="0000FF"/>
                <w:spacing w:val="-8"/>
                <w:highlight w:val="none"/>
              </w:rPr>
              <w:t>/</w:t>
            </w:r>
            <w:r>
              <w:rPr>
                <w:rFonts w:hint="default" w:ascii="Times New Roman" w:hAnsi="Times New Roman" w:cs="Times New Roman"/>
                <w:color w:val="0000FF"/>
                <w:highlight w:val="none"/>
              </w:rPr>
              <w:t>年</w:t>
            </w:r>
          </w:p>
        </w:tc>
        <w:tc>
          <w:tcPr>
            <w:tcW w:w="975" w:type="dxa"/>
            <w:vMerge w:val="restart"/>
            <w:tcBorders>
              <w:top w:val="single" w:color="auto" w:sz="4" w:space="0"/>
              <w:tl2br w:val="nil"/>
              <w:tr2bl w:val="nil"/>
            </w:tcBorders>
            <w:vAlign w:val="center"/>
          </w:tcPr>
          <w:p w14:paraId="2E2933E7">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z w:val="21"/>
                <w:highlight w:val="none"/>
              </w:rPr>
            </w:pPr>
            <w:r>
              <w:rPr>
                <w:rFonts w:hint="default" w:ascii="Times New Roman" w:hAnsi="Times New Roman" w:cs="Times New Roman"/>
                <w:color w:val="0000FF"/>
                <w:spacing w:val="-2"/>
                <w:highlight w:val="none"/>
              </w:rPr>
              <w:t>手工监测技术</w:t>
            </w:r>
          </w:p>
        </w:tc>
        <w:tc>
          <w:tcPr>
            <w:tcW w:w="2801" w:type="dxa"/>
            <w:vMerge w:val="restart"/>
            <w:tcBorders>
              <w:top w:val="single" w:color="auto" w:sz="4" w:space="0"/>
              <w:tl2br w:val="nil"/>
              <w:tr2bl w:val="nil"/>
            </w:tcBorders>
            <w:vAlign w:val="center"/>
          </w:tcPr>
          <w:p w14:paraId="51FBD38B">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z w:val="21"/>
                <w:highlight w:val="none"/>
              </w:rPr>
            </w:pPr>
            <w:r>
              <w:rPr>
                <w:rFonts w:hint="default" w:ascii="Times New Roman" w:hAnsi="Times New Roman" w:cs="Times New Roman"/>
                <w:color w:val="0000FF"/>
                <w:sz w:val="21"/>
                <w:highlight w:val="none"/>
                <w:lang w:val="zh-CN"/>
              </w:rPr>
              <w:t>参照《恶臭污染物排放标准》(GB14554-93)及GB/T16157、HJ/T397等执行</w:t>
            </w:r>
          </w:p>
        </w:tc>
      </w:tr>
      <w:tr w14:paraId="6133212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85" w:hRule="atLeast"/>
          <w:jc w:val="center"/>
        </w:trPr>
        <w:tc>
          <w:tcPr>
            <w:tcW w:w="968" w:type="dxa"/>
            <w:vMerge w:val="continue"/>
            <w:tcBorders>
              <w:tl2br w:val="nil"/>
              <w:tr2bl w:val="nil"/>
            </w:tcBorders>
            <w:vAlign w:val="center"/>
          </w:tcPr>
          <w:p w14:paraId="46647AB5">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eastAsia" w:ascii="Times New Roman" w:hAnsi="Times New Roman" w:eastAsia="宋体" w:cs="Times New Roman"/>
                <w:color w:val="FF0000"/>
                <w:sz w:val="21"/>
                <w:highlight w:val="none"/>
                <w:lang w:val="en-US" w:eastAsia="zh-CN"/>
              </w:rPr>
            </w:pPr>
          </w:p>
        </w:tc>
        <w:tc>
          <w:tcPr>
            <w:tcW w:w="1167" w:type="dxa"/>
            <w:vMerge w:val="continue"/>
            <w:tcBorders>
              <w:tl2br w:val="nil"/>
              <w:tr2bl w:val="nil"/>
            </w:tcBorders>
            <w:vAlign w:val="center"/>
          </w:tcPr>
          <w:p w14:paraId="443A9261">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lang w:val="en-US" w:eastAsia="zh-CN"/>
              </w:rPr>
            </w:pPr>
          </w:p>
        </w:tc>
        <w:tc>
          <w:tcPr>
            <w:tcW w:w="2878" w:type="dxa"/>
            <w:tcBorders>
              <w:top w:val="single" w:color="auto" w:sz="4" w:space="0"/>
              <w:bottom w:val="single" w:color="auto" w:sz="4" w:space="0"/>
              <w:tl2br w:val="nil"/>
              <w:tr2bl w:val="nil"/>
            </w:tcBorders>
            <w:vAlign w:val="center"/>
          </w:tcPr>
          <w:p w14:paraId="21A8A822">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pacing w:val="-2"/>
                <w:highlight w:val="none"/>
              </w:rPr>
            </w:pPr>
            <w:r>
              <w:rPr>
                <w:rFonts w:hint="default" w:ascii="Times New Roman" w:hAnsi="Times New Roman" w:eastAsia="Times New Roman" w:cs="Times New Roman"/>
                <w:color w:val="0000FF"/>
                <w:sz w:val="21"/>
                <w:szCs w:val="21"/>
                <w:highlight w:val="none"/>
              </w:rPr>
              <w:t>NH</w:t>
            </w:r>
            <w:r>
              <w:rPr>
                <w:rFonts w:hint="default" w:ascii="Times New Roman" w:hAnsi="Times New Roman" w:eastAsia="Times New Roman" w:cs="Times New Roman"/>
                <w:color w:val="0000FF"/>
                <w:spacing w:val="8"/>
                <w:position w:val="-2"/>
                <w:sz w:val="13"/>
                <w:szCs w:val="13"/>
                <w:highlight w:val="none"/>
              </w:rPr>
              <w:t>3</w:t>
            </w:r>
          </w:p>
        </w:tc>
        <w:tc>
          <w:tcPr>
            <w:tcW w:w="1508" w:type="dxa"/>
            <w:vMerge w:val="continue"/>
            <w:tcBorders>
              <w:tl2br w:val="nil"/>
              <w:tr2bl w:val="nil"/>
            </w:tcBorders>
            <w:vAlign w:val="center"/>
          </w:tcPr>
          <w:p w14:paraId="12CF8FF1">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1944" w:type="dxa"/>
            <w:vMerge w:val="continue"/>
            <w:tcBorders>
              <w:tl2br w:val="nil"/>
              <w:tr2bl w:val="nil"/>
            </w:tcBorders>
            <w:vAlign w:val="center"/>
          </w:tcPr>
          <w:p w14:paraId="12EF4576">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835" w:type="dxa"/>
            <w:vMerge w:val="continue"/>
            <w:tcBorders>
              <w:tl2br w:val="nil"/>
              <w:tr2bl w:val="nil"/>
            </w:tcBorders>
            <w:vAlign w:val="center"/>
          </w:tcPr>
          <w:p w14:paraId="391E2E4F">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975" w:type="dxa"/>
            <w:vMerge w:val="continue"/>
            <w:tcBorders>
              <w:tl2br w:val="nil"/>
              <w:tr2bl w:val="nil"/>
            </w:tcBorders>
            <w:vAlign w:val="center"/>
          </w:tcPr>
          <w:p w14:paraId="2AFB16DD">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2801" w:type="dxa"/>
            <w:vMerge w:val="continue"/>
            <w:tcBorders>
              <w:tl2br w:val="nil"/>
              <w:tr2bl w:val="nil"/>
            </w:tcBorders>
            <w:vAlign w:val="center"/>
          </w:tcPr>
          <w:p w14:paraId="5B3ABFF4">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r>
      <w:tr w14:paraId="7EAEA42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68" w:hRule="atLeast"/>
          <w:jc w:val="center"/>
        </w:trPr>
        <w:tc>
          <w:tcPr>
            <w:tcW w:w="968" w:type="dxa"/>
            <w:vMerge w:val="continue"/>
            <w:tcBorders>
              <w:tl2br w:val="nil"/>
              <w:tr2bl w:val="nil"/>
            </w:tcBorders>
            <w:vAlign w:val="center"/>
          </w:tcPr>
          <w:p w14:paraId="25957A06">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eastAsia" w:ascii="Times New Roman" w:hAnsi="Times New Roman" w:eastAsia="宋体" w:cs="Times New Roman"/>
                <w:color w:val="FF0000"/>
                <w:sz w:val="21"/>
                <w:highlight w:val="none"/>
                <w:lang w:val="en-US" w:eastAsia="zh-CN"/>
              </w:rPr>
            </w:pPr>
          </w:p>
        </w:tc>
        <w:tc>
          <w:tcPr>
            <w:tcW w:w="1167" w:type="dxa"/>
            <w:vMerge w:val="continue"/>
            <w:tcBorders>
              <w:tl2br w:val="nil"/>
              <w:tr2bl w:val="nil"/>
            </w:tcBorders>
            <w:vAlign w:val="center"/>
          </w:tcPr>
          <w:p w14:paraId="21CACBD6">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lang w:val="en-US" w:eastAsia="zh-CN"/>
              </w:rPr>
            </w:pPr>
          </w:p>
        </w:tc>
        <w:tc>
          <w:tcPr>
            <w:tcW w:w="2878" w:type="dxa"/>
            <w:tcBorders>
              <w:top w:val="single" w:color="auto" w:sz="4" w:space="0"/>
              <w:tl2br w:val="nil"/>
              <w:tr2bl w:val="nil"/>
            </w:tcBorders>
            <w:vAlign w:val="center"/>
          </w:tcPr>
          <w:p w14:paraId="5D4511C1">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0000FF"/>
                <w:spacing w:val="-2"/>
                <w:highlight w:val="none"/>
              </w:rPr>
            </w:pPr>
            <w:r>
              <w:rPr>
                <w:rFonts w:hint="default" w:ascii="Times New Roman" w:hAnsi="Times New Roman" w:cs="Times New Roman"/>
                <w:color w:val="0000FF"/>
                <w:spacing w:val="-2"/>
                <w:highlight w:val="none"/>
              </w:rPr>
              <w:t>臭气浓度</w:t>
            </w:r>
          </w:p>
        </w:tc>
        <w:tc>
          <w:tcPr>
            <w:tcW w:w="1508" w:type="dxa"/>
            <w:vMerge w:val="continue"/>
            <w:tcBorders>
              <w:tl2br w:val="nil"/>
              <w:tr2bl w:val="nil"/>
            </w:tcBorders>
            <w:vAlign w:val="center"/>
          </w:tcPr>
          <w:p w14:paraId="08E16AD1">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1944" w:type="dxa"/>
            <w:vMerge w:val="continue"/>
            <w:tcBorders>
              <w:tl2br w:val="nil"/>
              <w:tr2bl w:val="nil"/>
            </w:tcBorders>
            <w:vAlign w:val="center"/>
          </w:tcPr>
          <w:p w14:paraId="7032A440">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835" w:type="dxa"/>
            <w:vMerge w:val="continue"/>
            <w:tcBorders>
              <w:tl2br w:val="nil"/>
              <w:tr2bl w:val="nil"/>
            </w:tcBorders>
            <w:vAlign w:val="center"/>
          </w:tcPr>
          <w:p w14:paraId="3C3D97F4">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975" w:type="dxa"/>
            <w:vMerge w:val="continue"/>
            <w:tcBorders>
              <w:tl2br w:val="nil"/>
              <w:tr2bl w:val="nil"/>
            </w:tcBorders>
            <w:vAlign w:val="center"/>
          </w:tcPr>
          <w:p w14:paraId="223F8FA3">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c>
          <w:tcPr>
            <w:tcW w:w="2801" w:type="dxa"/>
            <w:vMerge w:val="continue"/>
            <w:tcBorders>
              <w:tl2br w:val="nil"/>
              <w:tr2bl w:val="nil"/>
            </w:tcBorders>
            <w:vAlign w:val="center"/>
          </w:tcPr>
          <w:p w14:paraId="7DE968DF">
            <w:pPr>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p>
        </w:tc>
      </w:tr>
      <w:tr w14:paraId="26422B1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68" w:type="dxa"/>
            <w:tcBorders>
              <w:tl2br w:val="nil"/>
              <w:tr2bl w:val="nil"/>
            </w:tcBorders>
            <w:vAlign w:val="center"/>
          </w:tcPr>
          <w:p w14:paraId="5BF4D1C7">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lang w:eastAsia="zh-CN"/>
              </w:rPr>
              <w:t>厂界</w:t>
            </w:r>
            <w:r>
              <w:rPr>
                <w:rFonts w:hint="default" w:ascii="Times New Roman" w:hAnsi="Times New Roman" w:cs="Times New Roman"/>
                <w:color w:val="FF0000"/>
                <w:spacing w:val="1"/>
                <w:highlight w:val="none"/>
              </w:rPr>
              <w:t>噪声</w:t>
            </w:r>
          </w:p>
        </w:tc>
        <w:tc>
          <w:tcPr>
            <w:tcW w:w="1167" w:type="dxa"/>
            <w:tcBorders>
              <w:tl2br w:val="nil"/>
              <w:tr2bl w:val="nil"/>
            </w:tcBorders>
            <w:vAlign w:val="center"/>
          </w:tcPr>
          <w:p w14:paraId="7A34C1FE">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宋体" w:cs="Times New Roman"/>
                <w:color w:val="FF0000"/>
                <w:highlight w:val="none"/>
                <w:lang w:eastAsia="zh-CN"/>
              </w:rPr>
            </w:pPr>
            <w:r>
              <w:rPr>
                <w:rFonts w:hint="default" w:ascii="Times New Roman" w:hAnsi="Times New Roman" w:cs="Times New Roman"/>
                <w:color w:val="FF0000"/>
                <w:spacing w:val="-2"/>
                <w:highlight w:val="none"/>
                <w:lang w:eastAsia="zh-CN"/>
              </w:rPr>
              <w:t>厂界</w:t>
            </w:r>
          </w:p>
        </w:tc>
        <w:tc>
          <w:tcPr>
            <w:tcW w:w="2878" w:type="dxa"/>
            <w:tcBorders>
              <w:tl2br w:val="nil"/>
              <w:tr2bl w:val="nil"/>
            </w:tcBorders>
            <w:vAlign w:val="center"/>
          </w:tcPr>
          <w:p w14:paraId="51FF959B">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rPr>
              <w:t>昼夜噪声等</w:t>
            </w:r>
            <w:r>
              <w:rPr>
                <w:rFonts w:hint="default" w:ascii="Times New Roman" w:hAnsi="Times New Roman" w:cs="Times New Roman"/>
                <w:color w:val="FF0000"/>
                <w:spacing w:val="-5"/>
                <w:highlight w:val="none"/>
              </w:rPr>
              <w:t>效</w:t>
            </w:r>
            <w:r>
              <w:rPr>
                <w:rFonts w:hint="default" w:ascii="Times New Roman" w:hAnsi="Times New Roman" w:eastAsia="Times New Roman" w:cs="Times New Roman"/>
                <w:color w:val="FF0000"/>
                <w:spacing w:val="-5"/>
                <w:highlight w:val="none"/>
              </w:rPr>
              <w:t>A</w:t>
            </w:r>
            <w:r>
              <w:rPr>
                <w:rFonts w:hint="default" w:ascii="Times New Roman" w:hAnsi="Times New Roman" w:cs="Times New Roman"/>
                <w:color w:val="FF0000"/>
                <w:spacing w:val="-5"/>
                <w:highlight w:val="none"/>
              </w:rPr>
              <w:t>声级</w:t>
            </w:r>
          </w:p>
        </w:tc>
        <w:tc>
          <w:tcPr>
            <w:tcW w:w="1508" w:type="dxa"/>
            <w:tcBorders>
              <w:tl2br w:val="nil"/>
              <w:tr2bl w:val="nil"/>
            </w:tcBorders>
            <w:vAlign w:val="center"/>
          </w:tcPr>
          <w:p w14:paraId="19244CE4">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highlight w:val="none"/>
                <w:lang w:val="zh-CN"/>
              </w:rPr>
              <w:t>厂界外1m，高度1.2m以上，距任一反射面距离不小于</w:t>
            </w:r>
            <w:r>
              <w:rPr>
                <w:rFonts w:hint="default" w:ascii="Times New Roman" w:hAnsi="Times New Roman" w:cs="Times New Roman"/>
                <w:color w:val="FF0000"/>
                <w:highlight w:val="none"/>
                <w:lang w:val="en-US" w:eastAsia="zh-CN"/>
              </w:rPr>
              <w:t>1m</w:t>
            </w:r>
            <w:r>
              <w:rPr>
                <w:rFonts w:hint="default" w:ascii="Times New Roman" w:hAnsi="Times New Roman" w:cs="Times New Roman"/>
                <w:color w:val="FF0000"/>
                <w:highlight w:val="none"/>
                <w:lang w:val="zh-CN"/>
              </w:rPr>
              <w:t>的位置</w:t>
            </w:r>
          </w:p>
        </w:tc>
        <w:tc>
          <w:tcPr>
            <w:tcW w:w="1944" w:type="dxa"/>
            <w:tcBorders>
              <w:tl2br w:val="nil"/>
              <w:tr2bl w:val="nil"/>
            </w:tcBorders>
            <w:vAlign w:val="center"/>
          </w:tcPr>
          <w:p w14:paraId="4C22E433">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z w:val="21"/>
                <w:highlight w:val="none"/>
              </w:rPr>
            </w:pPr>
            <w:r>
              <w:rPr>
                <w:rFonts w:hint="default" w:ascii="Times New Roman" w:hAnsi="Times New Roman" w:cs="Times New Roman"/>
                <w:color w:val="FF0000"/>
                <w:spacing w:val="-1"/>
                <w:highlight w:val="none"/>
              </w:rPr>
              <w:t>满足《工业企业厂</w:t>
            </w:r>
            <w:r>
              <w:rPr>
                <w:rFonts w:hint="default" w:ascii="Times New Roman" w:hAnsi="Times New Roman" w:cs="Times New Roman"/>
                <w:color w:val="FF0000"/>
                <w:spacing w:val="-2"/>
                <w:highlight w:val="none"/>
              </w:rPr>
              <w:t>界环境噪声排放标</w:t>
            </w:r>
            <w:r>
              <w:rPr>
                <w:rFonts w:hint="default" w:ascii="Times New Roman" w:hAnsi="Times New Roman" w:cs="Times New Roman"/>
                <w:color w:val="FF0000"/>
                <w:spacing w:val="-5"/>
                <w:highlight w:val="none"/>
              </w:rPr>
              <w:t>准》</w:t>
            </w:r>
            <w:r>
              <w:rPr>
                <w:rFonts w:hint="default" w:ascii="Times New Roman" w:hAnsi="Times New Roman" w:cs="Times New Roman"/>
                <w:color w:val="FF0000"/>
                <w:spacing w:val="-1"/>
                <w:highlight w:val="none"/>
              </w:rPr>
              <w:t>（</w:t>
            </w:r>
            <w:r>
              <w:rPr>
                <w:rFonts w:hint="default" w:ascii="Times New Roman" w:hAnsi="Times New Roman" w:eastAsia="Times New Roman" w:cs="Times New Roman"/>
                <w:color w:val="FF0000"/>
                <w:spacing w:val="-1"/>
                <w:highlight w:val="none"/>
              </w:rPr>
              <w:t>GB12348-2008</w:t>
            </w:r>
            <w:r>
              <w:rPr>
                <w:rFonts w:hint="default" w:ascii="Times New Roman" w:hAnsi="Times New Roman" w:cs="Times New Roman"/>
                <w:color w:val="FF0000"/>
                <w:spacing w:val="-1"/>
                <w:highlight w:val="none"/>
              </w:rPr>
              <w:t>）</w:t>
            </w:r>
            <w:r>
              <w:rPr>
                <w:rFonts w:hint="default" w:ascii="Times New Roman" w:hAnsi="Times New Roman" w:cs="Times New Roman"/>
                <w:color w:val="FF0000"/>
                <w:spacing w:val="-7"/>
                <w:highlight w:val="none"/>
              </w:rPr>
              <w:t>表</w:t>
            </w:r>
            <w:r>
              <w:rPr>
                <w:rFonts w:hint="default" w:ascii="Times New Roman" w:hAnsi="Times New Roman" w:eastAsia="Times New Roman" w:cs="Times New Roman"/>
                <w:color w:val="FF0000"/>
                <w:spacing w:val="-7"/>
                <w:highlight w:val="none"/>
              </w:rPr>
              <w:t>1</w:t>
            </w:r>
            <w:r>
              <w:rPr>
                <w:rFonts w:hint="default" w:ascii="Times New Roman" w:hAnsi="Times New Roman" w:cs="Times New Roman"/>
                <w:color w:val="FF0000"/>
                <w:spacing w:val="-7"/>
                <w:highlight w:val="none"/>
              </w:rPr>
              <w:t>中的</w:t>
            </w:r>
            <w:r>
              <w:rPr>
                <w:rFonts w:hint="default" w:ascii="Times New Roman" w:hAnsi="Times New Roman" w:eastAsia="宋体" w:cs="Times New Roman"/>
                <w:color w:val="FF0000"/>
                <w:spacing w:val="-7"/>
                <w:highlight w:val="none"/>
                <w:lang w:val="en-US" w:eastAsia="zh-CN"/>
              </w:rPr>
              <w:t>1</w:t>
            </w:r>
            <w:r>
              <w:rPr>
                <w:rFonts w:hint="default" w:ascii="Times New Roman" w:hAnsi="Times New Roman" w:cs="Times New Roman"/>
                <w:color w:val="FF0000"/>
                <w:spacing w:val="-7"/>
                <w:highlight w:val="none"/>
              </w:rPr>
              <w:t>类标准</w:t>
            </w:r>
          </w:p>
        </w:tc>
        <w:tc>
          <w:tcPr>
            <w:tcW w:w="835" w:type="dxa"/>
            <w:tcBorders>
              <w:tl2br w:val="nil"/>
              <w:tr2bl w:val="nil"/>
            </w:tcBorders>
            <w:vAlign w:val="center"/>
          </w:tcPr>
          <w:p w14:paraId="5A4904CA">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每季</w:t>
            </w:r>
            <w:r>
              <w:rPr>
                <w:rFonts w:hint="default" w:ascii="Times New Roman" w:hAnsi="Times New Roman" w:cs="Times New Roman"/>
                <w:color w:val="FF0000"/>
                <w:spacing w:val="-3"/>
                <w:highlight w:val="none"/>
              </w:rPr>
              <w:t>度一</w:t>
            </w:r>
            <w:r>
              <w:rPr>
                <w:rFonts w:hint="default" w:ascii="Times New Roman" w:hAnsi="Times New Roman" w:cs="Times New Roman"/>
                <w:color w:val="FF0000"/>
                <w:spacing w:val="-8"/>
                <w:highlight w:val="none"/>
              </w:rPr>
              <w:t>次，每</w:t>
            </w:r>
            <w:r>
              <w:rPr>
                <w:rFonts w:hint="default" w:ascii="Times New Roman" w:hAnsi="Times New Roman" w:cs="Times New Roman"/>
                <w:color w:val="FF0000"/>
                <w:spacing w:val="43"/>
                <w:highlight w:val="none"/>
              </w:rPr>
              <w:t>期昼</w:t>
            </w:r>
            <w:r>
              <w:rPr>
                <w:rFonts w:hint="default" w:ascii="Times New Roman" w:hAnsi="Times New Roman" w:cs="Times New Roman"/>
                <w:color w:val="FF0000"/>
                <w:spacing w:val="-3"/>
                <w:highlight w:val="none"/>
              </w:rPr>
              <w:t>夜各</w:t>
            </w:r>
            <w:r>
              <w:rPr>
                <w:rFonts w:hint="default" w:ascii="Times New Roman" w:hAnsi="Times New Roman" w:cs="Times New Roman"/>
                <w:color w:val="FF0000"/>
                <w:spacing w:val="-5"/>
                <w:highlight w:val="none"/>
              </w:rPr>
              <w:t>一次</w:t>
            </w:r>
          </w:p>
        </w:tc>
        <w:tc>
          <w:tcPr>
            <w:tcW w:w="975" w:type="dxa"/>
            <w:tcBorders>
              <w:tl2br w:val="nil"/>
              <w:tr2bl w:val="nil"/>
            </w:tcBorders>
            <w:vAlign w:val="center"/>
          </w:tcPr>
          <w:p w14:paraId="2787F099">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手工监测技术</w:t>
            </w:r>
          </w:p>
        </w:tc>
        <w:tc>
          <w:tcPr>
            <w:tcW w:w="2801" w:type="dxa"/>
            <w:tcBorders>
              <w:tl2br w:val="nil"/>
              <w:tr2bl w:val="nil"/>
            </w:tcBorders>
            <w:vAlign w:val="center"/>
          </w:tcPr>
          <w:p w14:paraId="07483D6F">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1"/>
                <w:highlight w:val="none"/>
              </w:rPr>
              <w:t>参照《工业企业厂界环境噪</w:t>
            </w:r>
          </w:p>
          <w:p w14:paraId="6F2A1B7D">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highlight w:val="none"/>
              </w:rPr>
            </w:pPr>
            <w:r>
              <w:rPr>
                <w:rFonts w:hint="default" w:ascii="Times New Roman" w:hAnsi="Times New Roman" w:cs="Times New Roman"/>
                <w:color w:val="FF0000"/>
                <w:spacing w:val="-2"/>
                <w:highlight w:val="none"/>
              </w:rPr>
              <w:t>声排放标准》</w:t>
            </w:r>
            <w:r>
              <w:rPr>
                <w:rFonts w:hint="default" w:ascii="Times New Roman" w:hAnsi="Times New Roman" w:cs="Times New Roman"/>
                <w:color w:val="FF0000"/>
                <w:spacing w:val="-1"/>
                <w:position w:val="1"/>
                <w:highlight w:val="none"/>
              </w:rPr>
              <w:t>（</w:t>
            </w:r>
            <w:r>
              <w:rPr>
                <w:rFonts w:hint="default" w:ascii="Times New Roman" w:hAnsi="Times New Roman" w:eastAsia="Times New Roman" w:cs="Times New Roman"/>
                <w:color w:val="FF0000"/>
                <w:spacing w:val="-1"/>
                <w:position w:val="1"/>
                <w:highlight w:val="none"/>
              </w:rPr>
              <w:t>GB12348-2008</w:t>
            </w:r>
            <w:r>
              <w:rPr>
                <w:rFonts w:hint="default" w:ascii="Times New Roman" w:hAnsi="Times New Roman" w:cs="Times New Roman"/>
                <w:color w:val="FF0000"/>
                <w:spacing w:val="-1"/>
                <w:position w:val="1"/>
                <w:highlight w:val="none"/>
              </w:rPr>
              <w:t>）</w:t>
            </w:r>
          </w:p>
        </w:tc>
      </w:tr>
      <w:tr w14:paraId="28B9A48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12" w:hRule="atLeast"/>
          <w:jc w:val="center"/>
        </w:trPr>
        <w:tc>
          <w:tcPr>
            <w:tcW w:w="968" w:type="dxa"/>
            <w:vMerge w:val="restart"/>
            <w:tcBorders>
              <w:tl2br w:val="nil"/>
              <w:tr2bl w:val="nil"/>
            </w:tcBorders>
            <w:vAlign w:val="center"/>
          </w:tcPr>
          <w:p w14:paraId="70BCE9A0">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highlight w:val="none"/>
                <w:lang w:val="en-US" w:eastAsia="zh-CN"/>
              </w:rPr>
            </w:pPr>
            <w:r>
              <w:rPr>
                <w:rFonts w:hint="default" w:ascii="Times New Roman" w:hAnsi="Times New Roman" w:cs="Times New Roman"/>
                <w:color w:val="FF0000"/>
                <w:spacing w:val="1"/>
                <w:highlight w:val="none"/>
                <w:lang w:val="en-US" w:eastAsia="zh-CN"/>
              </w:rPr>
              <w:t>地下水</w:t>
            </w:r>
          </w:p>
        </w:tc>
        <w:tc>
          <w:tcPr>
            <w:tcW w:w="1167" w:type="dxa"/>
            <w:vMerge w:val="restart"/>
            <w:tcBorders>
              <w:tl2br w:val="nil"/>
              <w:tr2bl w:val="nil"/>
            </w:tcBorders>
            <w:vAlign w:val="center"/>
          </w:tcPr>
          <w:p w14:paraId="5CC732BD">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lang w:val="en-US" w:eastAsia="zh-CN"/>
              </w:rPr>
            </w:pPr>
            <w:r>
              <w:rPr>
                <w:rFonts w:hint="default" w:ascii="Times New Roman" w:hAnsi="Times New Roman" w:cs="Times New Roman"/>
                <w:color w:val="FF0000"/>
                <w:spacing w:val="-2"/>
                <w:highlight w:val="none"/>
                <w:lang w:val="en-US" w:eastAsia="zh-CN"/>
              </w:rPr>
              <w:t>/</w:t>
            </w:r>
          </w:p>
        </w:tc>
        <w:tc>
          <w:tcPr>
            <w:tcW w:w="2878" w:type="dxa"/>
            <w:vMerge w:val="restart"/>
            <w:tcBorders>
              <w:tl2br w:val="nil"/>
              <w:tr2bl w:val="nil"/>
            </w:tcBorders>
            <w:vAlign w:val="center"/>
          </w:tcPr>
          <w:p w14:paraId="61671605">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宋体" w:cs="Times New Roman"/>
                <w:color w:val="FF0000"/>
                <w:spacing w:val="-1"/>
                <w:highlight w:val="none"/>
                <w:lang w:val="en-US" w:eastAsia="zh-CN"/>
              </w:rPr>
            </w:pPr>
            <w:r>
              <w:rPr>
                <w:rFonts w:hint="default" w:ascii="Times New Roman" w:hAnsi="Times New Roman" w:cs="Times New Roman"/>
                <w:color w:val="FF0000"/>
                <w:sz w:val="21"/>
                <w:szCs w:val="21"/>
              </w:rPr>
              <w:t>pH、氨氮、硝酸盐、亚硝酸盐、总硬度、耗氧量（COD</w:t>
            </w:r>
            <w:r>
              <w:rPr>
                <w:rFonts w:hint="default" w:ascii="Times New Roman" w:hAnsi="Times New Roman" w:cs="Times New Roman"/>
                <w:color w:val="FF0000"/>
                <w:sz w:val="21"/>
                <w:szCs w:val="21"/>
                <w:vertAlign w:val="subscript"/>
              </w:rPr>
              <w:t>Mn</w:t>
            </w:r>
            <w:r>
              <w:rPr>
                <w:rFonts w:hint="default" w:ascii="Times New Roman" w:hAnsi="Times New Roman" w:cs="Times New Roman"/>
                <w:color w:val="FF0000"/>
                <w:sz w:val="21"/>
                <w:szCs w:val="21"/>
              </w:rPr>
              <w:t>法，以</w:t>
            </w:r>
            <w:r>
              <w:rPr>
                <w:rFonts w:hint="default" w:ascii="Times New Roman" w:hAnsi="Times New Roman" w:cs="Times New Roman"/>
                <w:color w:val="FF0000"/>
                <w:sz w:val="21"/>
                <w:szCs w:val="21"/>
                <w:lang w:val="en-US" w:eastAsia="zh-CN"/>
              </w:rPr>
              <w:t>O</w:t>
            </w:r>
            <w:r>
              <w:rPr>
                <w:rFonts w:hint="default" w:ascii="Times New Roman" w:hAnsi="Times New Roman" w:cs="Times New Roman"/>
                <w:color w:val="FF0000"/>
                <w:sz w:val="21"/>
                <w:szCs w:val="21"/>
                <w:vertAlign w:val="subscript"/>
                <w:lang w:val="en-US" w:eastAsia="zh-CN"/>
              </w:rPr>
              <w:t>2</w:t>
            </w:r>
            <w:r>
              <w:rPr>
                <w:rFonts w:hint="default" w:ascii="Times New Roman" w:hAnsi="Times New Roman" w:cs="Times New Roman"/>
                <w:color w:val="FF0000"/>
                <w:sz w:val="21"/>
                <w:szCs w:val="21"/>
              </w:rPr>
              <w:t>计）、溶解性总固体、铁、锰、铅、六价铬、氯化物、硫酸盐、细菌总数、总大肠菌群、挥发性酚类、氰化物、砷、汞、氟、镉</w:t>
            </w:r>
          </w:p>
        </w:tc>
        <w:tc>
          <w:tcPr>
            <w:tcW w:w="1508" w:type="dxa"/>
            <w:vMerge w:val="restart"/>
            <w:tcBorders>
              <w:tl2br w:val="nil"/>
              <w:tr2bl w:val="nil"/>
            </w:tcBorders>
            <w:vAlign w:val="center"/>
          </w:tcPr>
          <w:p w14:paraId="435C47A5">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7"/>
                <w:highlight w:val="none"/>
              </w:rPr>
            </w:pPr>
            <w:r>
              <w:rPr>
                <w:rFonts w:hint="default" w:ascii="Times New Roman" w:hAnsi="Times New Roman" w:eastAsia="宋体" w:cs="Times New Roman"/>
                <w:snapToGrid w:val="0"/>
                <w:color w:val="FF0000"/>
                <w:kern w:val="0"/>
                <w:sz w:val="21"/>
                <w:szCs w:val="21"/>
                <w:highlight w:val="none"/>
              </w:rPr>
              <w:t>跟踪监测井</w:t>
            </w:r>
            <w:r>
              <w:rPr>
                <w:rFonts w:hint="default" w:ascii="Times New Roman" w:hAnsi="Times New Roman" w:eastAsia="宋体" w:cs="Times New Roman"/>
                <w:snapToGrid w:val="0"/>
                <w:color w:val="FF0000"/>
                <w:kern w:val="0"/>
                <w:sz w:val="21"/>
                <w:szCs w:val="21"/>
                <w:highlight w:val="none"/>
                <w:lang w:eastAsia="zh-CN"/>
              </w:rPr>
              <w:t>：</w:t>
            </w:r>
            <w:r>
              <w:rPr>
                <w:rFonts w:hint="default" w:ascii="Times New Roman" w:hAnsi="Times New Roman" w:eastAsia="宋体" w:cs="Times New Roman"/>
                <w:snapToGrid w:val="0"/>
                <w:color w:val="FF0000"/>
                <w:kern w:val="0"/>
                <w:sz w:val="21"/>
                <w:szCs w:val="21"/>
                <w:highlight w:val="none"/>
                <w:lang w:val="en-US" w:eastAsia="zh-CN"/>
              </w:rPr>
              <w:t>位于</w:t>
            </w:r>
            <w:r>
              <w:rPr>
                <w:rFonts w:hint="default" w:ascii="Times New Roman" w:hAnsi="Times New Roman" w:eastAsia="宋体" w:cs="Times New Roman"/>
                <w:snapToGrid w:val="0"/>
                <w:color w:val="FF0000"/>
                <w:kern w:val="2"/>
                <w:sz w:val="21"/>
                <w:szCs w:val="21"/>
                <w:highlight w:val="none"/>
                <w:lang w:val="en-US" w:eastAsia="zh-CN" w:bidi="ar-SA"/>
              </w:rPr>
              <w:t>本项目牛舍区</w:t>
            </w:r>
            <w:r>
              <w:rPr>
                <w:rFonts w:hint="default" w:ascii="Times New Roman" w:hAnsi="Times New Roman" w:cs="Times New Roman"/>
                <w:snapToGrid w:val="0"/>
                <w:color w:val="FF0000"/>
                <w:kern w:val="2"/>
                <w:sz w:val="21"/>
                <w:szCs w:val="21"/>
                <w:highlight w:val="none"/>
                <w:lang w:val="en-US" w:eastAsia="zh-CN" w:bidi="ar-SA"/>
              </w:rPr>
              <w:t>东北侧</w:t>
            </w:r>
            <w:r>
              <w:rPr>
                <w:rFonts w:hint="default" w:ascii="Times New Roman" w:hAnsi="Times New Roman" w:eastAsia="宋体" w:cs="Times New Roman"/>
                <w:snapToGrid w:val="0"/>
                <w:color w:val="FF0000"/>
                <w:kern w:val="2"/>
                <w:sz w:val="21"/>
                <w:szCs w:val="21"/>
                <w:highlight w:val="none"/>
                <w:lang w:val="en-US" w:eastAsia="zh-CN" w:bidi="ar-SA"/>
              </w:rPr>
              <w:t>5</w:t>
            </w:r>
            <w:r>
              <w:rPr>
                <w:rFonts w:hint="default" w:ascii="Times New Roman" w:hAnsi="Times New Roman" w:cs="Times New Roman"/>
                <w:snapToGrid w:val="0"/>
                <w:color w:val="FF0000"/>
                <w:kern w:val="2"/>
                <w:sz w:val="21"/>
                <w:szCs w:val="21"/>
                <w:highlight w:val="none"/>
                <w:lang w:val="en-US" w:eastAsia="zh-CN" w:bidi="ar-SA"/>
              </w:rPr>
              <w:t>0</w:t>
            </w:r>
            <w:r>
              <w:rPr>
                <w:rFonts w:hint="default" w:ascii="Times New Roman" w:hAnsi="Times New Roman" w:eastAsia="宋体" w:cs="Times New Roman"/>
                <w:snapToGrid w:val="0"/>
                <w:color w:val="FF0000"/>
                <w:kern w:val="2"/>
                <w:sz w:val="21"/>
                <w:szCs w:val="21"/>
                <w:highlight w:val="none"/>
                <w:lang w:val="en-US" w:eastAsia="zh-CN" w:bidi="ar-SA"/>
              </w:rPr>
              <w:t>m</w:t>
            </w:r>
          </w:p>
        </w:tc>
        <w:tc>
          <w:tcPr>
            <w:tcW w:w="1944" w:type="dxa"/>
            <w:vMerge w:val="restart"/>
            <w:tcBorders>
              <w:tl2br w:val="nil"/>
              <w:tr2bl w:val="nil"/>
            </w:tcBorders>
            <w:vAlign w:val="center"/>
          </w:tcPr>
          <w:p w14:paraId="7F95CCB9">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highlight w:val="none"/>
              </w:rPr>
            </w:pPr>
            <w:r>
              <w:rPr>
                <w:rFonts w:hint="default" w:ascii="Times New Roman" w:hAnsi="Times New Roman" w:eastAsia="宋体" w:cs="Times New Roman"/>
                <w:snapToGrid w:val="0"/>
                <w:color w:val="FF0000"/>
                <w:sz w:val="21"/>
                <w:szCs w:val="21"/>
              </w:rPr>
              <w:t>《地下水质量标准》（GB/T14848-2017）Ш类标准</w:t>
            </w:r>
          </w:p>
        </w:tc>
        <w:tc>
          <w:tcPr>
            <w:tcW w:w="835" w:type="dxa"/>
            <w:vMerge w:val="restart"/>
            <w:tcBorders>
              <w:tl2br w:val="nil"/>
              <w:tr2bl w:val="nil"/>
            </w:tcBorders>
            <w:vAlign w:val="center"/>
          </w:tcPr>
          <w:p w14:paraId="76211F04">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rPr>
            </w:pPr>
            <w:r>
              <w:rPr>
                <w:rFonts w:hint="default" w:ascii="Times New Roman" w:hAnsi="Times New Roman" w:cs="Times New Roman"/>
                <w:color w:val="FF0000"/>
                <w:spacing w:val="-2"/>
                <w:highlight w:val="none"/>
              </w:rPr>
              <w:t>1次/季度</w:t>
            </w:r>
          </w:p>
        </w:tc>
        <w:tc>
          <w:tcPr>
            <w:tcW w:w="975" w:type="dxa"/>
            <w:vMerge w:val="restart"/>
            <w:tcBorders>
              <w:tl2br w:val="nil"/>
              <w:tr2bl w:val="nil"/>
            </w:tcBorders>
            <w:vAlign w:val="center"/>
          </w:tcPr>
          <w:p w14:paraId="4C0591AC">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rPr>
            </w:pPr>
            <w:r>
              <w:rPr>
                <w:rFonts w:hint="default" w:ascii="Times New Roman" w:hAnsi="Times New Roman" w:cs="Times New Roman"/>
                <w:color w:val="FF0000"/>
                <w:spacing w:val="-2"/>
                <w:highlight w:val="none"/>
              </w:rPr>
              <w:t>手工监测技术</w:t>
            </w:r>
          </w:p>
        </w:tc>
        <w:tc>
          <w:tcPr>
            <w:tcW w:w="2801" w:type="dxa"/>
            <w:vMerge w:val="restart"/>
            <w:tcBorders>
              <w:tl2br w:val="nil"/>
              <w:tr2bl w:val="nil"/>
            </w:tcBorders>
            <w:vAlign w:val="center"/>
          </w:tcPr>
          <w:p w14:paraId="7ABD47D2">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position w:val="1"/>
                <w:highlight w:val="none"/>
              </w:rPr>
            </w:pPr>
            <w:r>
              <w:rPr>
                <w:rFonts w:hint="default" w:ascii="Times New Roman" w:hAnsi="Times New Roman" w:cs="Times New Roman"/>
                <w:color w:val="FF0000"/>
                <w:spacing w:val="-1"/>
                <w:position w:val="1"/>
                <w:highlight w:val="none"/>
              </w:rPr>
              <w:t>参照《生活饮用水标准检验方法》（GB/T5750.5-2006）</w:t>
            </w:r>
          </w:p>
        </w:tc>
      </w:tr>
      <w:tr w14:paraId="400B2F6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12" w:hRule="atLeast"/>
          <w:jc w:val="center"/>
        </w:trPr>
        <w:tc>
          <w:tcPr>
            <w:tcW w:w="968" w:type="dxa"/>
            <w:vMerge w:val="continue"/>
            <w:tcBorders>
              <w:tl2br w:val="nil"/>
              <w:tr2bl w:val="nil"/>
            </w:tcBorders>
            <w:textDirection w:val="tbRlV"/>
            <w:vAlign w:val="center"/>
          </w:tcPr>
          <w:p w14:paraId="077B8D8F">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highlight w:val="none"/>
                <w:lang w:eastAsia="zh-CN"/>
              </w:rPr>
            </w:pPr>
          </w:p>
        </w:tc>
        <w:tc>
          <w:tcPr>
            <w:tcW w:w="1167" w:type="dxa"/>
            <w:vMerge w:val="continue"/>
            <w:tcBorders>
              <w:tl2br w:val="nil"/>
              <w:tr2bl w:val="nil"/>
            </w:tcBorders>
            <w:vAlign w:val="center"/>
          </w:tcPr>
          <w:p w14:paraId="199BF73F">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lang w:eastAsia="zh-CN"/>
              </w:rPr>
            </w:pPr>
          </w:p>
        </w:tc>
        <w:tc>
          <w:tcPr>
            <w:tcW w:w="2878" w:type="dxa"/>
            <w:vMerge w:val="continue"/>
            <w:tcBorders>
              <w:tl2br w:val="nil"/>
              <w:tr2bl w:val="nil"/>
            </w:tcBorders>
            <w:vAlign w:val="center"/>
          </w:tcPr>
          <w:p w14:paraId="7984593A">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hanging="87"/>
              <w:jc w:val="center"/>
              <w:textAlignment w:val="baseline"/>
              <w:rPr>
                <w:rFonts w:hint="default" w:ascii="Times New Roman" w:hAnsi="Times New Roman" w:eastAsia="宋体" w:cs="Times New Roman"/>
                <w:color w:val="FF0000"/>
                <w:spacing w:val="-1"/>
                <w:highlight w:val="none"/>
                <w:lang w:val="en-US" w:eastAsia="zh-CN"/>
              </w:rPr>
            </w:pPr>
          </w:p>
        </w:tc>
        <w:tc>
          <w:tcPr>
            <w:tcW w:w="1508" w:type="dxa"/>
            <w:vMerge w:val="continue"/>
            <w:tcBorders>
              <w:tl2br w:val="nil"/>
              <w:tr2bl w:val="nil"/>
            </w:tcBorders>
            <w:vAlign w:val="center"/>
          </w:tcPr>
          <w:p w14:paraId="43C0BDA8">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7"/>
                <w:highlight w:val="none"/>
              </w:rPr>
            </w:pPr>
          </w:p>
        </w:tc>
        <w:tc>
          <w:tcPr>
            <w:tcW w:w="1944" w:type="dxa"/>
            <w:vMerge w:val="continue"/>
            <w:tcBorders>
              <w:tl2br w:val="nil"/>
              <w:tr2bl w:val="nil"/>
            </w:tcBorders>
            <w:vAlign w:val="center"/>
          </w:tcPr>
          <w:p w14:paraId="2983E116">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highlight w:val="none"/>
              </w:rPr>
            </w:pPr>
          </w:p>
        </w:tc>
        <w:tc>
          <w:tcPr>
            <w:tcW w:w="835" w:type="dxa"/>
            <w:vMerge w:val="continue"/>
            <w:tcBorders>
              <w:tl2br w:val="nil"/>
              <w:tr2bl w:val="nil"/>
            </w:tcBorders>
            <w:vAlign w:val="center"/>
          </w:tcPr>
          <w:p w14:paraId="21407C1F">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rPr>
            </w:pPr>
          </w:p>
        </w:tc>
        <w:tc>
          <w:tcPr>
            <w:tcW w:w="975" w:type="dxa"/>
            <w:vMerge w:val="continue"/>
            <w:tcBorders>
              <w:tl2br w:val="nil"/>
              <w:tr2bl w:val="nil"/>
            </w:tcBorders>
            <w:vAlign w:val="center"/>
          </w:tcPr>
          <w:p w14:paraId="0220CAD0">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rPr>
            </w:pPr>
          </w:p>
        </w:tc>
        <w:tc>
          <w:tcPr>
            <w:tcW w:w="2801" w:type="dxa"/>
            <w:vMerge w:val="continue"/>
            <w:tcBorders>
              <w:tl2br w:val="nil"/>
              <w:tr2bl w:val="nil"/>
            </w:tcBorders>
            <w:vAlign w:val="center"/>
          </w:tcPr>
          <w:p w14:paraId="488F4E5C">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position w:val="1"/>
                <w:highlight w:val="none"/>
              </w:rPr>
            </w:pPr>
          </w:p>
        </w:tc>
      </w:tr>
      <w:tr w14:paraId="1B4E150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68" w:type="dxa"/>
            <w:tcBorders>
              <w:tl2br w:val="nil"/>
              <w:tr2bl w:val="nil"/>
            </w:tcBorders>
            <w:vAlign w:val="center"/>
          </w:tcPr>
          <w:p w14:paraId="092EA543">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highlight w:val="none"/>
                <w:lang w:val="en-US" w:eastAsia="zh-CN"/>
              </w:rPr>
            </w:pPr>
            <w:r>
              <w:rPr>
                <w:rFonts w:hint="default" w:ascii="Times New Roman" w:hAnsi="Times New Roman" w:cs="Times New Roman"/>
                <w:color w:val="FF0000"/>
                <w:spacing w:val="1"/>
                <w:highlight w:val="none"/>
                <w:lang w:val="en-US" w:eastAsia="zh-CN"/>
              </w:rPr>
              <w:t>土壤</w:t>
            </w:r>
          </w:p>
        </w:tc>
        <w:tc>
          <w:tcPr>
            <w:tcW w:w="1167" w:type="dxa"/>
            <w:tcBorders>
              <w:tl2br w:val="nil"/>
              <w:tr2bl w:val="nil"/>
            </w:tcBorders>
            <w:vAlign w:val="center"/>
          </w:tcPr>
          <w:p w14:paraId="4EAE00B1">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lang w:val="en-US" w:eastAsia="zh-CN"/>
              </w:rPr>
            </w:pPr>
            <w:r>
              <w:rPr>
                <w:rFonts w:hint="default" w:ascii="Times New Roman" w:hAnsi="Times New Roman" w:cs="Times New Roman"/>
                <w:color w:val="FF0000"/>
                <w:spacing w:val="-2"/>
                <w:highlight w:val="none"/>
                <w:lang w:val="en-US" w:eastAsia="zh-CN"/>
              </w:rPr>
              <w:t>/</w:t>
            </w:r>
          </w:p>
        </w:tc>
        <w:tc>
          <w:tcPr>
            <w:tcW w:w="2878" w:type="dxa"/>
            <w:tcBorders>
              <w:tl2br w:val="nil"/>
              <w:tr2bl w:val="nil"/>
            </w:tcBorders>
            <w:vAlign w:val="center"/>
          </w:tcPr>
          <w:p w14:paraId="1E1EBA33">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eastAsia="宋体" w:cs="Times New Roman"/>
                <w:color w:val="FF0000"/>
                <w:spacing w:val="-1"/>
                <w:highlight w:val="none"/>
                <w:lang w:val="en-US" w:eastAsia="zh-CN"/>
              </w:rPr>
            </w:pPr>
            <w:r>
              <w:rPr>
                <w:rFonts w:hint="default" w:ascii="Times New Roman" w:hAnsi="Times New Roman" w:cs="Times New Roman"/>
                <w:color w:val="FF0000"/>
                <w:spacing w:val="-7"/>
                <w:highlight w:val="none"/>
                <w:lang w:val="zh-CN"/>
              </w:rPr>
              <w:t>pH值、镉、汞、砷、铜、铅、铬、锌、镍</w:t>
            </w:r>
          </w:p>
        </w:tc>
        <w:tc>
          <w:tcPr>
            <w:tcW w:w="1508" w:type="dxa"/>
            <w:tcBorders>
              <w:tl2br w:val="nil"/>
              <w:tr2bl w:val="nil"/>
            </w:tcBorders>
            <w:vAlign w:val="center"/>
          </w:tcPr>
          <w:p w14:paraId="133E7AE0">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7"/>
                <w:highlight w:val="none"/>
              </w:rPr>
            </w:pPr>
            <w:r>
              <w:rPr>
                <w:rFonts w:hint="default" w:ascii="Times New Roman" w:hAnsi="Times New Roman" w:cs="Times New Roman"/>
                <w:color w:val="FF0000"/>
                <w:spacing w:val="-7"/>
                <w:highlight w:val="none"/>
                <w:lang w:val="zh-CN"/>
              </w:rPr>
              <w:t>项目用地及占地范围外0.05km范围内耕地</w:t>
            </w:r>
          </w:p>
        </w:tc>
        <w:tc>
          <w:tcPr>
            <w:tcW w:w="1944" w:type="dxa"/>
            <w:tcBorders>
              <w:tl2br w:val="nil"/>
              <w:tr2bl w:val="nil"/>
            </w:tcBorders>
            <w:vAlign w:val="center"/>
          </w:tcPr>
          <w:p w14:paraId="3CCE9B52">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highlight w:val="none"/>
              </w:rPr>
            </w:pPr>
            <w:r>
              <w:rPr>
                <w:rFonts w:hint="default" w:ascii="Times New Roman" w:hAnsi="Times New Roman" w:cs="Times New Roman"/>
                <w:color w:val="FF0000"/>
                <w:spacing w:val="-1"/>
                <w:highlight w:val="none"/>
              </w:rPr>
              <w:t>《土壤环境质量 农用地土壤污染风险管控标准（试行）》（GB15618-2018）表1中标准限值</w:t>
            </w:r>
          </w:p>
        </w:tc>
        <w:tc>
          <w:tcPr>
            <w:tcW w:w="835" w:type="dxa"/>
            <w:tcBorders>
              <w:tl2br w:val="nil"/>
              <w:tr2bl w:val="nil"/>
            </w:tcBorders>
            <w:vAlign w:val="center"/>
          </w:tcPr>
          <w:p w14:paraId="747E25BC">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rPr>
            </w:pPr>
            <w:r>
              <w:rPr>
                <w:rFonts w:hint="default" w:ascii="Times New Roman" w:hAnsi="Times New Roman" w:cs="Times New Roman"/>
                <w:color w:val="FF0000"/>
                <w:spacing w:val="-2"/>
                <w:highlight w:val="none"/>
                <w:lang w:val="zh-CN"/>
              </w:rPr>
              <w:t>必要时监测</w:t>
            </w:r>
          </w:p>
        </w:tc>
        <w:tc>
          <w:tcPr>
            <w:tcW w:w="975" w:type="dxa"/>
            <w:tcBorders>
              <w:tl2br w:val="nil"/>
              <w:tr2bl w:val="nil"/>
            </w:tcBorders>
            <w:vAlign w:val="center"/>
          </w:tcPr>
          <w:p w14:paraId="47CFFE54">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2"/>
                <w:highlight w:val="none"/>
              </w:rPr>
            </w:pPr>
            <w:r>
              <w:rPr>
                <w:rFonts w:hint="default" w:ascii="Times New Roman" w:hAnsi="Times New Roman" w:cs="Times New Roman"/>
                <w:color w:val="FF0000"/>
                <w:spacing w:val="-2"/>
                <w:highlight w:val="none"/>
              </w:rPr>
              <w:t>手工监测技术</w:t>
            </w:r>
          </w:p>
        </w:tc>
        <w:tc>
          <w:tcPr>
            <w:tcW w:w="2801" w:type="dxa"/>
            <w:tcBorders>
              <w:tl2br w:val="nil"/>
              <w:tr2bl w:val="nil"/>
            </w:tcBorders>
            <w:vAlign w:val="center"/>
          </w:tcPr>
          <w:p w14:paraId="10C9C0BD">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position w:val="1"/>
                <w:highlight w:val="none"/>
              </w:rPr>
            </w:pPr>
            <w:r>
              <w:rPr>
                <w:rFonts w:hint="default" w:ascii="Times New Roman" w:hAnsi="Times New Roman" w:cs="Times New Roman"/>
                <w:color w:val="FF0000"/>
                <w:spacing w:val="-1"/>
                <w:position w:val="1"/>
                <w:highlight w:val="none"/>
                <w:lang w:val="zh-CN"/>
              </w:rPr>
              <w:t>参照</w:t>
            </w:r>
            <w:r>
              <w:rPr>
                <w:rFonts w:hint="default" w:ascii="Times New Roman" w:hAnsi="Times New Roman" w:cs="Times New Roman"/>
                <w:color w:val="FF0000"/>
                <w:spacing w:val="-1"/>
                <w:position w:val="1"/>
                <w:highlight w:val="none"/>
              </w:rPr>
              <w:t>《土壤环境质量 农用地土壤污染风险管控标准（试行）》（GB 15618-2018）</w:t>
            </w:r>
          </w:p>
        </w:tc>
      </w:tr>
      <w:tr w14:paraId="5794C9A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968" w:type="dxa"/>
            <w:tcBorders>
              <w:tl2br w:val="nil"/>
              <w:tr2bl w:val="nil"/>
            </w:tcBorders>
            <w:vAlign w:val="center"/>
          </w:tcPr>
          <w:p w14:paraId="1AF4DCB3">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highlight w:val="none"/>
                <w:lang w:val="en-US" w:eastAsia="zh-CN"/>
              </w:rPr>
            </w:pPr>
            <w:r>
              <w:rPr>
                <w:rFonts w:hint="default" w:ascii="Times New Roman" w:hAnsi="Times New Roman" w:cs="Times New Roman"/>
                <w:color w:val="FF0000"/>
                <w:spacing w:val="1"/>
                <w:highlight w:val="none"/>
                <w:lang w:val="en-US" w:eastAsia="zh-CN"/>
              </w:rPr>
              <w:t>固体废物</w:t>
            </w:r>
          </w:p>
        </w:tc>
        <w:tc>
          <w:tcPr>
            <w:tcW w:w="12108" w:type="dxa"/>
            <w:gridSpan w:val="7"/>
            <w:tcBorders>
              <w:tl2br w:val="nil"/>
              <w:tr2bl w:val="nil"/>
            </w:tcBorders>
            <w:vAlign w:val="center"/>
          </w:tcPr>
          <w:p w14:paraId="723B1479">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position w:val="1"/>
                <w:highlight w:val="none"/>
                <w:lang w:val="en-US" w:eastAsia="zh-CN"/>
              </w:rPr>
            </w:pPr>
            <w:r>
              <w:rPr>
                <w:rFonts w:hint="default" w:ascii="Times New Roman" w:hAnsi="Times New Roman" w:cs="Times New Roman"/>
                <w:color w:val="FF0000"/>
                <w:spacing w:val="-1"/>
                <w:position w:val="1"/>
                <w:highlight w:val="none"/>
                <w:lang w:val="en-US" w:eastAsia="zh-CN"/>
              </w:rPr>
              <w:t>①发酵床垫收集后外售集贤县远东牧业有限公司、双鸭山市永胜农机合作社制作有机肥；</w:t>
            </w:r>
          </w:p>
          <w:p w14:paraId="7ECC4F86">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position w:val="1"/>
                <w:highlight w:val="none"/>
                <w:lang w:val="en-US" w:eastAsia="zh-CN"/>
              </w:rPr>
            </w:pPr>
            <w:r>
              <w:rPr>
                <w:rFonts w:hint="default" w:ascii="Times New Roman" w:hAnsi="Times New Roman" w:cs="Times New Roman"/>
                <w:color w:val="FF0000"/>
                <w:spacing w:val="-1"/>
                <w:position w:val="1"/>
                <w:highlight w:val="none"/>
                <w:lang w:val="en-US" w:eastAsia="zh-CN"/>
              </w:rPr>
              <w:t>②病死牛于分娩废物</w:t>
            </w:r>
            <w:r>
              <w:rPr>
                <w:rFonts w:hint="eastAsia" w:ascii="Times New Roman" w:hAnsi="Times New Roman" w:cs="Times New Roman"/>
                <w:color w:val="FF0000"/>
                <w:spacing w:val="-1"/>
                <w:position w:val="1"/>
                <w:highlight w:val="none"/>
                <w:lang w:val="en-US" w:eastAsia="zh-CN"/>
              </w:rPr>
              <w:t>委托</w:t>
            </w:r>
            <w:r>
              <w:rPr>
                <w:rFonts w:hint="default" w:ascii="Times New Roman" w:hAnsi="Times New Roman" w:cs="Times New Roman"/>
                <w:color w:val="FF0000"/>
                <w:spacing w:val="-1"/>
                <w:position w:val="1"/>
                <w:highlight w:val="none"/>
                <w:lang w:val="en-US" w:eastAsia="zh-CN"/>
              </w:rPr>
              <w:t>双鸭山百奥迈斯生物科技有限公司处置；</w:t>
            </w:r>
          </w:p>
          <w:p w14:paraId="709880A7">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position w:val="1"/>
                <w:highlight w:val="none"/>
                <w:lang w:val="en-US" w:eastAsia="zh-CN"/>
              </w:rPr>
            </w:pPr>
            <w:r>
              <w:rPr>
                <w:rFonts w:hint="default" w:ascii="Times New Roman" w:hAnsi="Times New Roman" w:cs="Times New Roman"/>
                <w:color w:val="FF0000"/>
                <w:spacing w:val="-1"/>
                <w:position w:val="1"/>
                <w:highlight w:val="none"/>
                <w:lang w:val="en-US" w:eastAsia="zh-CN"/>
              </w:rPr>
              <w:t>③医疗废物</w:t>
            </w:r>
            <w:r>
              <w:rPr>
                <w:rFonts w:hint="eastAsia" w:ascii="Times New Roman" w:hAnsi="Times New Roman" w:cs="Times New Roman"/>
                <w:color w:val="FF0000"/>
                <w:spacing w:val="-1"/>
                <w:position w:val="1"/>
                <w:highlight w:val="none"/>
                <w:lang w:val="en-US" w:eastAsia="zh-CN"/>
              </w:rPr>
              <w:t>委托</w:t>
            </w:r>
            <w:r>
              <w:rPr>
                <w:rFonts w:hint="default" w:ascii="Times New Roman" w:hAnsi="Times New Roman" w:cs="Times New Roman"/>
                <w:color w:val="FF0000"/>
                <w:spacing w:val="-1"/>
                <w:position w:val="1"/>
                <w:highlight w:val="none"/>
                <w:lang w:val="en-US" w:eastAsia="zh-CN"/>
              </w:rPr>
              <w:t>双鸭山翁氏环保有限公司处置</w:t>
            </w:r>
          </w:p>
          <w:p w14:paraId="673F6EB3">
            <w:pPr>
              <w:pStyle w:val="35"/>
              <w:keepNext w:val="0"/>
              <w:keepLines w:val="0"/>
              <w:pageBreakBefore w:val="0"/>
              <w:widowControl/>
              <w:kinsoku w:val="0"/>
              <w:wordWrap w:val="0"/>
              <w:overflowPunct w:val="0"/>
              <w:topLinePunct w:val="0"/>
              <w:autoSpaceDE w:val="0"/>
              <w:autoSpaceDN w:val="0"/>
              <w:bidi w:val="0"/>
              <w:adjustRightInd w:val="0"/>
              <w:snapToGrid w:val="0"/>
              <w:spacing w:line="240" w:lineRule="auto"/>
              <w:ind w:left="0" w:right="0"/>
              <w:jc w:val="center"/>
              <w:textAlignment w:val="baseline"/>
              <w:rPr>
                <w:rFonts w:hint="default" w:ascii="Times New Roman" w:hAnsi="Times New Roman" w:cs="Times New Roman"/>
                <w:color w:val="FF0000"/>
                <w:spacing w:val="-1"/>
                <w:position w:val="1"/>
                <w:highlight w:val="none"/>
                <w:lang w:val="en-US" w:eastAsia="zh-CN"/>
              </w:rPr>
            </w:pPr>
            <w:r>
              <w:rPr>
                <w:rFonts w:hint="default" w:ascii="Times New Roman" w:hAnsi="Times New Roman" w:cs="Times New Roman"/>
                <w:color w:val="FF0000"/>
                <w:spacing w:val="-1"/>
                <w:position w:val="1"/>
                <w:highlight w:val="none"/>
                <w:lang w:val="en-US" w:eastAsia="zh-CN"/>
              </w:rPr>
              <w:t>④生活垃圾交由环卫部门处置</w:t>
            </w:r>
          </w:p>
        </w:tc>
      </w:tr>
    </w:tbl>
    <w:p w14:paraId="694F82FA">
      <w:pPr>
        <w:pStyle w:val="11"/>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pPr>
    </w:p>
    <w:p w14:paraId="7EB49C68">
      <w:pPr>
        <w:keepNext w:val="0"/>
        <w:keepLines w:val="0"/>
        <w:pageBreakBefore w:val="0"/>
        <w:kinsoku/>
        <w:wordWrap w:val="0"/>
        <w:overflowPunct/>
        <w:topLinePunct/>
        <w:autoSpaceDE/>
        <w:autoSpaceDN/>
        <w:bidi w:val="0"/>
        <w:adjustRightInd w:val="0"/>
        <w:snapToGrid w:val="0"/>
        <w:textAlignment w:val="baseline"/>
        <w:rPr>
          <w:rFonts w:hint="default" w:ascii="Times New Roman" w:hAnsi="Times New Roman" w:cs="Times New Roman"/>
          <w:color w:val="auto"/>
          <w:highlight w:val="none"/>
        </w:rPr>
        <w:sectPr>
          <w:headerReference r:id="rId44" w:type="default"/>
          <w:footerReference r:id="rId45"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3EBD4CE2">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（2）信息报告</w:t>
      </w:r>
    </w:p>
    <w:p w14:paraId="7F3B5356">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排污单位应编写自行监测年度报告，年度报告至少应包含以下内容：</w:t>
      </w:r>
    </w:p>
    <w:p w14:paraId="21F91742">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a）监测方案的调整变化情况及变更原因；</w:t>
      </w:r>
    </w:p>
    <w:p w14:paraId="6BFE131E">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b）企业及各主要生产设施（至少涵盖废气主要污染源相关生产设施）全年运行天数，</w:t>
      </w:r>
    </w:p>
    <w:p w14:paraId="0D30656E">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各监测点、各监测指标全年监测次数、超标情况、浓度分布情况；</w:t>
      </w:r>
    </w:p>
    <w:p w14:paraId="14AFE66F">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c）按要求开展的周边环境质量影响状况监测结果；</w:t>
      </w:r>
    </w:p>
    <w:p w14:paraId="3B27F004">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d）自行监测开展的其他情况说明；</w:t>
      </w:r>
    </w:p>
    <w:p w14:paraId="062F8C11">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e）排污单位实现达标排放所采取的主要措施。</w:t>
      </w:r>
    </w:p>
    <w:p w14:paraId="691D2E02">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（3）应急报告</w:t>
      </w:r>
    </w:p>
    <w:p w14:paraId="1F7AE7A8">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监测结果出现超标的，排污单位应加密监测，并检查超标原因。短期内无法实现稳定达标排放的，应向环境保护主管部门提交事故分析报告，说明事故发生的原因，采取减轻或防止污染的措施，以及今后的预防及改进措施等；若因发生事故或者其他突发事件，排放的污水可能危及城镇排水与污水处理设施安全运行的，应当立即采取措施消除危害，并及时向城镇排水主管部门和环境保护主管部门等有关部门报告。</w:t>
      </w:r>
    </w:p>
    <w:p w14:paraId="4915E535">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（4）信息公开</w:t>
      </w:r>
    </w:p>
    <w:p w14:paraId="6806FF8A">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排污单位自行监测信息公开内容及方式按照《企业事业单位环境信息公开办法》（环境保护部令第31号）及《国家重点监控企业自行监测及信息公开办法（试行）》（环发[2013]81号）执行。非重点排污单位的信息公开要求由地方环境保护主管部门确定。</w:t>
      </w:r>
    </w:p>
    <w:p w14:paraId="6F863070">
      <w:pPr>
        <w:pStyle w:val="43"/>
        <w:keepNext w:val="0"/>
        <w:keepLines w:val="0"/>
        <w:pageBreakBefore w:val="0"/>
        <w:widowControl/>
        <w:kinsoku/>
        <w:wordWrap w:val="0"/>
        <w:overflowPunct/>
        <w:topLinePunct/>
        <w:autoSpaceDE/>
        <w:autoSpaceDN/>
        <w:bidi w:val="0"/>
        <w:adjustRightInd/>
        <w:snapToGrid/>
        <w:spacing w:line="360" w:lineRule="auto"/>
        <w:textAlignment w:val="baseline"/>
        <w:outlineLvl w:val="2"/>
        <w:rPr>
          <w:rFonts w:hint="default" w:ascii="Times New Roman" w:hAnsi="Times New Roman" w:eastAsia="宋体" w:cs="Times New Roman"/>
          <w:b/>
          <w:bCs/>
          <w:color w:val="auto"/>
          <w:sz w:val="24"/>
          <w:szCs w:val="24"/>
          <w:highlight w:val="none"/>
        </w:rPr>
      </w:pPr>
      <w:bookmarkStart w:id="268" w:name="_Toc169251870"/>
      <w:bookmarkStart w:id="269" w:name="_Toc26877897"/>
      <w:bookmarkStart w:id="270" w:name="_Toc29857"/>
      <w:r>
        <w:rPr>
          <w:rFonts w:hint="default" w:ascii="Times New Roman" w:hAnsi="Times New Roman" w:eastAsia="宋体" w:cs="Times New Roman"/>
          <w:b/>
          <w:bCs/>
          <w:color w:val="auto"/>
          <w:sz w:val="24"/>
          <w:szCs w:val="24"/>
          <w:highlight w:val="none"/>
        </w:rPr>
        <w:t>8.</w:t>
      </w:r>
      <w:r>
        <w:rPr>
          <w:rFonts w:hint="default" w:ascii="Times New Roman" w:hAnsi="Times New Roman" w:eastAsia="宋体" w:cs="Times New Roman"/>
          <w:b/>
          <w:bCs/>
          <w:color w:val="auto"/>
          <w:sz w:val="24"/>
          <w:szCs w:val="24"/>
          <w:highlight w:val="none"/>
          <w:lang w:val="en-US" w:eastAsia="zh-CN"/>
        </w:rPr>
        <w:t>2.5环</w:t>
      </w:r>
      <w:r>
        <w:rPr>
          <w:rFonts w:hint="default" w:ascii="Times New Roman" w:hAnsi="Times New Roman" w:eastAsia="宋体" w:cs="Times New Roman"/>
          <w:b/>
          <w:bCs/>
          <w:color w:val="auto"/>
          <w:sz w:val="24"/>
          <w:szCs w:val="24"/>
          <w:highlight w:val="none"/>
        </w:rPr>
        <w:t>境保护验收</w:t>
      </w:r>
      <w:bookmarkEnd w:id="268"/>
      <w:bookmarkEnd w:id="269"/>
      <w:bookmarkEnd w:id="270"/>
    </w:p>
    <w:p w14:paraId="09FD3AB1">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中的污染防治措施必须与主体工程同时设计、同时施工、同时投产使用。防治污染的设施必须经原审批环境影响报告书的环境保护行政主管部门验收合格后，项目方可投入生产和使用。环境保护验收是环境影响评价制度的延伸。</w:t>
      </w:r>
    </w:p>
    <w:p w14:paraId="52C15178">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auto"/>
          <w:sz w:val="24"/>
          <w:szCs w:val="24"/>
          <w:highlight w:val="none"/>
          <w:lang w:val="en-US" w:eastAsia="zh-CN"/>
        </w:rPr>
        <w:sectPr>
          <w:headerReference r:id="rId46" w:type="default"/>
          <w:footerReference r:id="rId47" w:type="default"/>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type="linesAndChars" w:linePitch="326" w:charSpace="0"/>
        </w:sectPr>
      </w:pPr>
      <w:r>
        <w:rPr>
          <w:rFonts w:hint="default" w:ascii="Times New Roman" w:hAnsi="Times New Roman" w:eastAsia="宋体" w:cs="Times New Roman"/>
          <w:color w:val="auto"/>
          <w:sz w:val="24"/>
          <w:szCs w:val="24"/>
          <w:highlight w:val="none"/>
        </w:rPr>
        <w:t>项目环境保护验收内容详见</w:t>
      </w:r>
      <w:r>
        <w:rPr>
          <w:rFonts w:hint="default" w:ascii="Times New Roman" w:hAnsi="Times New Roman" w:eastAsia="宋体" w:cs="Times New Roman"/>
          <w:color w:val="auto"/>
          <w:sz w:val="24"/>
          <w:szCs w:val="24"/>
          <w:highlight w:val="none"/>
          <w:lang w:val="en-US" w:eastAsia="zh-CN"/>
        </w:rPr>
        <w:t>下表</w:t>
      </w:r>
    </w:p>
    <w:p w14:paraId="5D5F5922">
      <w:pPr>
        <w:pStyle w:val="44"/>
        <w:rPr>
          <w:rFonts w:hint="default" w:ascii="Times New Roman" w:hAnsi="Times New Roman" w:eastAsia="宋体" w:cs="Times New Roman"/>
          <w:b/>
          <w:bCs/>
          <w:color w:val="FF0000"/>
          <w:sz w:val="24"/>
          <w:szCs w:val="24"/>
          <w:highlight w:val="none"/>
        </w:rPr>
      </w:pPr>
      <w:r>
        <w:rPr>
          <w:rFonts w:hint="default" w:ascii="Times New Roman" w:hAnsi="Times New Roman" w:eastAsia="宋体" w:cs="Times New Roman"/>
          <w:b/>
          <w:bCs/>
          <w:color w:val="FF0000"/>
          <w:sz w:val="24"/>
          <w:szCs w:val="24"/>
          <w:highlight w:val="none"/>
        </w:rPr>
        <w:t>表8-</w:t>
      </w:r>
      <w:r>
        <w:rPr>
          <w:rFonts w:hint="default" w:ascii="Times New Roman" w:hAnsi="Times New Roman" w:eastAsia="宋体" w:cs="Times New Roman"/>
          <w:b/>
          <w:bCs/>
          <w:color w:val="FF0000"/>
          <w:sz w:val="24"/>
          <w:szCs w:val="24"/>
          <w:highlight w:val="none"/>
          <w:lang w:val="en-US" w:eastAsia="zh-CN"/>
        </w:rPr>
        <w:t>2</w:t>
      </w:r>
      <w:r>
        <w:rPr>
          <w:rFonts w:hint="default" w:ascii="Times New Roman" w:hAnsi="Times New Roman" w:eastAsia="宋体" w:cs="Times New Roman"/>
          <w:b/>
          <w:bCs/>
          <w:color w:val="FF0000"/>
          <w:sz w:val="24"/>
          <w:szCs w:val="24"/>
          <w:highlight w:val="none"/>
        </w:rPr>
        <w:t>-</w:t>
      </w:r>
      <w:r>
        <w:rPr>
          <w:rFonts w:hint="default" w:ascii="Times New Roman" w:hAnsi="Times New Roman" w:eastAsia="宋体" w:cs="Times New Roman"/>
          <w:b/>
          <w:bCs/>
          <w:color w:val="FF0000"/>
          <w:sz w:val="24"/>
          <w:szCs w:val="24"/>
          <w:highlight w:val="none"/>
          <w:lang w:val="en-US" w:eastAsia="zh-CN"/>
        </w:rPr>
        <w:t>3</w:t>
      </w:r>
      <w:r>
        <w:rPr>
          <w:rFonts w:hint="default" w:ascii="Times New Roman" w:hAnsi="Times New Roman" w:eastAsia="宋体" w:cs="Times New Roman"/>
          <w:b/>
          <w:bCs/>
          <w:color w:val="FF0000"/>
          <w:sz w:val="24"/>
          <w:szCs w:val="24"/>
          <w:highlight w:val="none"/>
        </w:rPr>
        <w:t>建设项目竣工环境保护验收一览表</w:t>
      </w:r>
    </w:p>
    <w:tbl>
      <w:tblPr>
        <w:tblStyle w:val="26"/>
        <w:tblW w:w="1400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77"/>
        <w:gridCol w:w="1023"/>
        <w:gridCol w:w="2141"/>
        <w:gridCol w:w="2139"/>
        <w:gridCol w:w="4420"/>
        <w:gridCol w:w="3203"/>
      </w:tblGrid>
      <w:tr w14:paraId="1ADE40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shd w:val="clear" w:color="auto" w:fill="auto"/>
            <w:vAlign w:val="center"/>
          </w:tcPr>
          <w:p w14:paraId="2DEB66D0">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类型</w:t>
            </w:r>
          </w:p>
        </w:tc>
        <w:tc>
          <w:tcPr>
            <w:tcW w:w="1023" w:type="dxa"/>
            <w:shd w:val="clear" w:color="auto" w:fill="auto"/>
            <w:vAlign w:val="center"/>
          </w:tcPr>
          <w:p w14:paraId="3AD3FDE6">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类别</w:t>
            </w:r>
          </w:p>
        </w:tc>
        <w:tc>
          <w:tcPr>
            <w:tcW w:w="2141" w:type="dxa"/>
            <w:shd w:val="clear" w:color="auto" w:fill="auto"/>
            <w:vAlign w:val="center"/>
          </w:tcPr>
          <w:p w14:paraId="71C02D34">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污染源</w:t>
            </w:r>
          </w:p>
        </w:tc>
        <w:tc>
          <w:tcPr>
            <w:tcW w:w="2139" w:type="dxa"/>
            <w:shd w:val="clear" w:color="auto" w:fill="auto"/>
            <w:vAlign w:val="center"/>
          </w:tcPr>
          <w:p w14:paraId="74931D1F">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污染物</w:t>
            </w:r>
          </w:p>
        </w:tc>
        <w:tc>
          <w:tcPr>
            <w:tcW w:w="4420" w:type="dxa"/>
            <w:shd w:val="clear" w:color="auto" w:fill="auto"/>
            <w:vAlign w:val="center"/>
          </w:tcPr>
          <w:p w14:paraId="4AD12A91">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建设内容</w:t>
            </w:r>
          </w:p>
        </w:tc>
        <w:tc>
          <w:tcPr>
            <w:tcW w:w="3203" w:type="dxa"/>
            <w:shd w:val="clear" w:color="auto" w:fill="auto"/>
            <w:vAlign w:val="center"/>
          </w:tcPr>
          <w:p w14:paraId="555AE3B4">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验收标准</w:t>
            </w:r>
          </w:p>
        </w:tc>
      </w:tr>
      <w:tr w14:paraId="0675F2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restart"/>
            <w:shd w:val="clear" w:color="auto" w:fill="auto"/>
            <w:vAlign w:val="center"/>
          </w:tcPr>
          <w:p w14:paraId="6BFC1BAA">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废水</w:t>
            </w:r>
          </w:p>
        </w:tc>
        <w:tc>
          <w:tcPr>
            <w:tcW w:w="1023" w:type="dxa"/>
            <w:shd w:val="clear" w:color="auto" w:fill="auto"/>
            <w:vAlign w:val="center"/>
          </w:tcPr>
          <w:p w14:paraId="41BE38ED">
            <w:pPr>
              <w:pStyle w:val="38"/>
              <w:rPr>
                <w:rFonts w:hint="default" w:ascii="Times New Roman" w:hAnsi="Times New Roman" w:eastAsia="宋体" w:cs="Times New Roman"/>
                <w:snapToGrid w:val="0"/>
                <w:color w:val="FF0000"/>
                <w:sz w:val="21"/>
                <w:szCs w:val="21"/>
                <w:highlight w:val="none"/>
                <w:lang w:eastAsia="zh-CN"/>
              </w:rPr>
            </w:pPr>
            <w:r>
              <w:rPr>
                <w:rFonts w:hint="eastAsia" w:ascii="Times New Roman" w:hAnsi="Times New Roman" w:eastAsia="宋体" w:cs="Times New Roman"/>
                <w:snapToGrid w:val="0"/>
                <w:color w:val="FF0000"/>
                <w:sz w:val="21"/>
                <w:szCs w:val="21"/>
                <w:highlight w:val="none"/>
                <w:lang w:val="en-US" w:eastAsia="zh-CN"/>
              </w:rPr>
              <w:t>厂区</w:t>
            </w:r>
            <w:r>
              <w:rPr>
                <w:rFonts w:hint="default" w:ascii="Times New Roman" w:hAnsi="Times New Roman" w:eastAsia="宋体" w:cs="Times New Roman"/>
                <w:snapToGrid w:val="0"/>
                <w:color w:val="FF0000"/>
                <w:sz w:val="21"/>
                <w:szCs w:val="21"/>
                <w:highlight w:val="none"/>
                <w:lang w:eastAsia="zh-CN"/>
              </w:rPr>
              <w:t>雨水</w:t>
            </w:r>
          </w:p>
        </w:tc>
        <w:tc>
          <w:tcPr>
            <w:tcW w:w="2141" w:type="dxa"/>
            <w:shd w:val="clear" w:color="auto" w:fill="auto"/>
            <w:vAlign w:val="center"/>
          </w:tcPr>
          <w:p w14:paraId="399AB2CA">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eastAsia="zh-CN"/>
              </w:rPr>
              <w:t>雨水</w:t>
            </w:r>
          </w:p>
        </w:tc>
        <w:tc>
          <w:tcPr>
            <w:tcW w:w="2139" w:type="dxa"/>
            <w:shd w:val="clear" w:color="auto" w:fill="auto"/>
            <w:vAlign w:val="center"/>
          </w:tcPr>
          <w:p w14:paraId="7EC9CF4A">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COD</w:t>
            </w:r>
          </w:p>
        </w:tc>
        <w:tc>
          <w:tcPr>
            <w:tcW w:w="4420" w:type="dxa"/>
            <w:shd w:val="clear" w:color="auto" w:fill="auto"/>
            <w:vAlign w:val="center"/>
          </w:tcPr>
          <w:p w14:paraId="1D93F10B">
            <w:pPr>
              <w:keepNext w:val="0"/>
              <w:keepLines w:val="0"/>
              <w:widowControl/>
              <w:suppressLineNumbers w:val="0"/>
              <w:jc w:val="left"/>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green"/>
                <w:lang w:val="en-US" w:eastAsia="zh-CN"/>
              </w:rPr>
              <w:t>厂区实行雨污分流，</w:t>
            </w:r>
            <w:r>
              <w:rPr>
                <w:rFonts w:hint="default" w:ascii="Times New Roman" w:hAnsi="Times New Roman" w:eastAsia="宋体" w:cs="Times New Roman"/>
                <w:snapToGrid w:val="0"/>
                <w:color w:val="FF0000"/>
                <w:sz w:val="21"/>
                <w:szCs w:val="21"/>
                <w:highlight w:val="green"/>
              </w:rPr>
              <w:t>初期雨水经厂区排水沟汇入厂区一座</w:t>
            </w:r>
            <w:r>
              <w:rPr>
                <w:rFonts w:hint="default" w:ascii="Times New Roman" w:hAnsi="Times New Roman" w:eastAsia="宋体" w:cs="Times New Roman"/>
                <w:snapToGrid w:val="0"/>
                <w:color w:val="FF0000"/>
                <w:sz w:val="21"/>
                <w:szCs w:val="21"/>
                <w:highlight w:val="green"/>
                <w:lang w:val="en-US" w:eastAsia="zh-CN"/>
              </w:rPr>
              <w:t>50</w:t>
            </w:r>
            <w:r>
              <w:rPr>
                <w:rFonts w:hint="default" w:ascii="Times New Roman" w:hAnsi="Times New Roman" w:eastAsia="宋体" w:cs="Times New Roman"/>
                <w:snapToGrid w:val="0"/>
                <w:color w:val="FF0000"/>
                <w:sz w:val="21"/>
                <w:szCs w:val="21"/>
                <w:highlight w:val="green"/>
              </w:rPr>
              <w:t>0m</w:t>
            </w:r>
            <w:r>
              <w:rPr>
                <w:rFonts w:hint="default" w:ascii="Times New Roman" w:hAnsi="Times New Roman" w:eastAsia="宋体" w:cs="Times New Roman"/>
                <w:snapToGrid w:val="0"/>
                <w:color w:val="FF0000"/>
                <w:sz w:val="21"/>
                <w:szCs w:val="21"/>
                <w:highlight w:val="green"/>
                <w:vertAlign w:val="superscript"/>
              </w:rPr>
              <w:t>3</w:t>
            </w:r>
            <w:r>
              <w:rPr>
                <w:rFonts w:hint="default" w:ascii="Times New Roman" w:hAnsi="Times New Roman" w:eastAsia="宋体" w:cs="Times New Roman"/>
                <w:snapToGrid w:val="0"/>
                <w:color w:val="FF0000"/>
                <w:sz w:val="21"/>
                <w:szCs w:val="21"/>
                <w:highlight w:val="green"/>
              </w:rPr>
              <w:t>初期雨水收集池内，</w:t>
            </w:r>
            <w:r>
              <w:rPr>
                <w:rFonts w:hint="default" w:ascii="Times New Roman" w:hAnsi="Times New Roman" w:eastAsia="宋体" w:cs="Times New Roman"/>
                <w:snapToGrid w:val="0"/>
                <w:color w:val="FF0000"/>
                <w:sz w:val="21"/>
                <w:szCs w:val="21"/>
                <w:highlight w:val="green"/>
                <w:lang w:val="en-US" w:eastAsia="zh-CN"/>
              </w:rPr>
              <w:t>雨水收集后拉运至集贤县碧蓝新环境治理有限责任公司进行处理</w:t>
            </w:r>
            <w:r>
              <w:rPr>
                <w:rFonts w:hint="eastAsia" w:ascii="Times New Roman" w:hAnsi="Times New Roman" w:eastAsia="宋体" w:cs="Times New Roman"/>
                <w:snapToGrid w:val="0"/>
                <w:color w:val="FF0000"/>
                <w:sz w:val="21"/>
                <w:szCs w:val="21"/>
                <w:highlight w:val="green"/>
                <w:lang w:val="en-US" w:eastAsia="zh-CN"/>
              </w:rPr>
              <w:t>，运动场周围设置围堰，围堰高度40cm，运动场上面设置挡雨棚，牛舍与运动场四周设置雨水导流沟，收集的雨水排入雨水管网</w:t>
            </w:r>
          </w:p>
        </w:tc>
        <w:tc>
          <w:tcPr>
            <w:tcW w:w="3203" w:type="dxa"/>
            <w:shd w:val="clear" w:color="auto" w:fill="auto"/>
            <w:vAlign w:val="center"/>
          </w:tcPr>
          <w:p w14:paraId="7EA120D8">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val="en-US" w:eastAsia="zh-CN"/>
              </w:rPr>
              <w:t>500</w:t>
            </w:r>
            <w:r>
              <w:rPr>
                <w:rFonts w:hint="default" w:ascii="Times New Roman" w:hAnsi="Times New Roman" w:eastAsia="宋体" w:cs="Times New Roman"/>
                <w:snapToGrid w:val="0"/>
                <w:color w:val="FF0000"/>
                <w:sz w:val="21"/>
                <w:szCs w:val="21"/>
                <w:highlight w:val="none"/>
                <w:lang w:eastAsia="zh-CN"/>
              </w:rPr>
              <w:t>m</w:t>
            </w:r>
            <w:r>
              <w:rPr>
                <w:rFonts w:hint="default" w:ascii="Times New Roman" w:hAnsi="Times New Roman" w:eastAsia="宋体" w:cs="Times New Roman"/>
                <w:snapToGrid w:val="0"/>
                <w:color w:val="FF0000"/>
                <w:sz w:val="21"/>
                <w:szCs w:val="21"/>
                <w:highlight w:val="none"/>
                <w:vertAlign w:val="superscript"/>
                <w:lang w:eastAsia="zh-CN"/>
              </w:rPr>
              <w:t>3</w:t>
            </w:r>
            <w:r>
              <w:rPr>
                <w:rFonts w:hint="default" w:ascii="Times New Roman" w:hAnsi="Times New Roman" w:eastAsia="宋体" w:cs="Times New Roman"/>
                <w:snapToGrid w:val="0"/>
                <w:color w:val="FF0000"/>
                <w:sz w:val="21"/>
                <w:szCs w:val="21"/>
                <w:highlight w:val="none"/>
                <w:lang w:eastAsia="zh-CN"/>
              </w:rPr>
              <w:t>初期雨水收集池</w:t>
            </w:r>
          </w:p>
        </w:tc>
      </w:tr>
      <w:tr w14:paraId="61803C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continue"/>
            <w:shd w:val="clear" w:color="auto" w:fill="auto"/>
            <w:vAlign w:val="center"/>
          </w:tcPr>
          <w:p w14:paraId="6A9FE182">
            <w:pPr>
              <w:pStyle w:val="38"/>
              <w:rPr>
                <w:rFonts w:hint="default" w:ascii="Times New Roman" w:hAnsi="Times New Roman" w:eastAsia="宋体" w:cs="Times New Roman"/>
                <w:snapToGrid w:val="0"/>
                <w:color w:val="FF0000"/>
                <w:sz w:val="21"/>
                <w:szCs w:val="21"/>
                <w:highlight w:val="none"/>
              </w:rPr>
            </w:pPr>
          </w:p>
        </w:tc>
        <w:tc>
          <w:tcPr>
            <w:tcW w:w="1023" w:type="dxa"/>
            <w:vMerge w:val="restart"/>
            <w:shd w:val="clear" w:color="auto" w:fill="auto"/>
            <w:vAlign w:val="center"/>
          </w:tcPr>
          <w:p w14:paraId="129B21CE">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地下水污染防治</w:t>
            </w:r>
          </w:p>
        </w:tc>
        <w:tc>
          <w:tcPr>
            <w:tcW w:w="2141" w:type="dxa"/>
            <w:shd w:val="clear" w:color="auto" w:fill="auto"/>
            <w:vAlign w:val="center"/>
          </w:tcPr>
          <w:p w14:paraId="646C8CB0">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val="en-US" w:eastAsia="zh-CN"/>
              </w:rPr>
              <w:t>养殖区、粪污储存间</w:t>
            </w:r>
            <w:r>
              <w:rPr>
                <w:rFonts w:hint="default" w:ascii="Times New Roman" w:hAnsi="Times New Roman" w:eastAsia="宋体" w:cs="Times New Roman"/>
                <w:snapToGrid w:val="0"/>
                <w:color w:val="FF0000"/>
                <w:sz w:val="21"/>
                <w:szCs w:val="21"/>
                <w:highlight w:val="none"/>
                <w:lang w:eastAsia="zh-CN"/>
              </w:rPr>
              <w:t>、</w:t>
            </w:r>
            <w:r>
              <w:rPr>
                <w:rFonts w:hint="default" w:ascii="Times New Roman" w:hAnsi="Times New Roman" w:eastAsia="宋体" w:cs="Times New Roman"/>
                <w:snapToGrid w:val="0"/>
                <w:color w:val="FF0000"/>
                <w:sz w:val="21"/>
                <w:szCs w:val="21"/>
                <w:highlight w:val="none"/>
              </w:rPr>
              <w:t>场区建筑地面等</w:t>
            </w:r>
          </w:p>
        </w:tc>
        <w:tc>
          <w:tcPr>
            <w:tcW w:w="2139" w:type="dxa"/>
            <w:shd w:val="clear" w:color="auto" w:fill="auto"/>
            <w:vAlign w:val="center"/>
          </w:tcPr>
          <w:p w14:paraId="335E2643">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COD</w:t>
            </w:r>
          </w:p>
          <w:p w14:paraId="45D1EE3E">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氨氮</w:t>
            </w:r>
          </w:p>
          <w:p w14:paraId="76371641">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总磷</w:t>
            </w:r>
          </w:p>
          <w:p w14:paraId="3DEEA883">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总氮</w:t>
            </w:r>
          </w:p>
        </w:tc>
        <w:tc>
          <w:tcPr>
            <w:tcW w:w="4420" w:type="dxa"/>
            <w:shd w:val="clear" w:color="auto" w:fill="auto"/>
            <w:vAlign w:val="center"/>
          </w:tcPr>
          <w:p w14:paraId="50DC69CC">
            <w:pPr>
              <w:pStyle w:val="38"/>
              <w:jc w:val="both"/>
              <w:rPr>
                <w:rFonts w:hint="default" w:ascii="Times New Roman" w:hAnsi="Times New Roman" w:eastAsia="宋体" w:cs="Times New Roman"/>
                <w:color w:val="FF0000"/>
                <w:sz w:val="21"/>
                <w:szCs w:val="21"/>
                <w:highlight w:val="none"/>
                <w:lang w:val="en-GB"/>
              </w:rPr>
            </w:pPr>
            <w:r>
              <w:rPr>
                <w:rFonts w:hint="default" w:ascii="Times New Roman" w:hAnsi="Times New Roman" w:eastAsia="宋体" w:cs="Times New Roman"/>
                <w:color w:val="FF0000"/>
                <w:sz w:val="21"/>
                <w:szCs w:val="21"/>
                <w:highlight w:val="none"/>
                <w:lang w:val="en-GB"/>
              </w:rPr>
              <w:fldChar w:fldCharType="begin"/>
            </w:r>
            <w:r>
              <w:rPr>
                <w:rFonts w:hint="default" w:ascii="Times New Roman" w:hAnsi="Times New Roman" w:eastAsia="宋体" w:cs="Times New Roman"/>
                <w:color w:val="FF0000"/>
                <w:sz w:val="21"/>
                <w:szCs w:val="21"/>
                <w:highlight w:val="none"/>
                <w:lang w:val="en-GB" w:eastAsia="zh-CN"/>
              </w:rPr>
              <w:instrText xml:space="preserve"> = 1 \* GB3 </w:instrText>
            </w:r>
            <w:r>
              <w:rPr>
                <w:rFonts w:hint="default" w:ascii="Times New Roman" w:hAnsi="Times New Roman" w:eastAsia="宋体" w:cs="Times New Roman"/>
                <w:color w:val="FF0000"/>
                <w:sz w:val="21"/>
                <w:szCs w:val="21"/>
                <w:highlight w:val="none"/>
                <w:lang w:val="en-GB"/>
              </w:rPr>
              <w:fldChar w:fldCharType="separate"/>
            </w:r>
            <w:r>
              <w:rPr>
                <w:rFonts w:hint="default" w:ascii="Times New Roman" w:hAnsi="Times New Roman" w:eastAsia="宋体" w:cs="Times New Roman"/>
                <w:color w:val="FF0000"/>
                <w:sz w:val="21"/>
                <w:szCs w:val="21"/>
                <w:highlight w:val="none"/>
                <w:lang w:val="en-GB" w:eastAsia="zh-CN"/>
              </w:rPr>
              <w:t>①</w:t>
            </w:r>
            <w:r>
              <w:rPr>
                <w:rFonts w:hint="default" w:ascii="Times New Roman" w:hAnsi="Times New Roman" w:eastAsia="宋体" w:cs="Times New Roman"/>
                <w:color w:val="FF0000"/>
                <w:sz w:val="21"/>
                <w:szCs w:val="21"/>
                <w:highlight w:val="none"/>
                <w:lang w:val="en-GB"/>
              </w:rPr>
              <w:fldChar w:fldCharType="end"/>
            </w:r>
            <w:r>
              <w:rPr>
                <w:rFonts w:hint="default" w:ascii="Times New Roman" w:hAnsi="Times New Roman" w:eastAsia="宋体" w:cs="Times New Roman"/>
                <w:color w:val="FF0000"/>
                <w:sz w:val="21"/>
                <w:szCs w:val="21"/>
                <w:highlight w:val="none"/>
                <w:lang w:val="en-GB"/>
              </w:rPr>
              <w:t>重点防渗区：</w:t>
            </w:r>
            <w:r>
              <w:rPr>
                <w:rFonts w:hint="default" w:ascii="Times New Roman" w:hAnsi="Times New Roman" w:eastAsia="宋体" w:cs="Times New Roman"/>
                <w:color w:val="FF0000"/>
                <w:sz w:val="21"/>
                <w:szCs w:val="21"/>
                <w:highlight w:val="none"/>
                <w:lang w:val="en-GB" w:eastAsia="zh-CN"/>
              </w:rPr>
              <w:t>医疗废物暂存间采用重点防渗。效粘土层</w:t>
            </w:r>
            <w:r>
              <w:rPr>
                <w:rFonts w:hint="default" w:ascii="Times New Roman" w:hAnsi="Times New Roman" w:eastAsia="宋体" w:cs="Times New Roman"/>
                <w:color w:val="FF0000"/>
                <w:sz w:val="21"/>
                <w:szCs w:val="21"/>
                <w:highlight w:val="none"/>
                <w:lang w:val="en-US" w:eastAsia="zh-CN"/>
              </w:rPr>
              <w:t>厚度要≥6.0m，满足渗透系数K≤1.0×10</w:t>
            </w:r>
            <w:r>
              <w:rPr>
                <w:rFonts w:hint="default" w:ascii="Times New Roman" w:hAnsi="Times New Roman" w:eastAsia="宋体" w:cs="Times New Roman"/>
                <w:color w:val="FF0000"/>
                <w:sz w:val="21"/>
                <w:szCs w:val="21"/>
                <w:highlight w:val="none"/>
                <w:vertAlign w:val="superscript"/>
                <w:lang w:val="en-US" w:eastAsia="zh-CN"/>
              </w:rPr>
              <w:t>-7</w:t>
            </w:r>
            <w:r>
              <w:rPr>
                <w:rFonts w:hint="default" w:ascii="Times New Roman" w:hAnsi="Times New Roman" w:eastAsia="宋体" w:cs="Times New Roman"/>
                <w:color w:val="FF0000"/>
                <w:sz w:val="21"/>
                <w:szCs w:val="21"/>
                <w:highlight w:val="none"/>
                <w:lang w:val="en-US" w:eastAsia="zh-CN"/>
              </w:rPr>
              <w:t>cm/s；防渗粘土层（至少1m厚）上部及侧面铺设1.0mm高密度聚乙烯（HDPE）防渗膜（渗透系数K≤10</w:t>
            </w:r>
            <w:r>
              <w:rPr>
                <w:rFonts w:hint="default" w:ascii="Times New Roman" w:hAnsi="Times New Roman" w:eastAsia="宋体" w:cs="Times New Roman"/>
                <w:color w:val="FF0000"/>
                <w:sz w:val="21"/>
                <w:szCs w:val="21"/>
                <w:highlight w:val="none"/>
                <w:vertAlign w:val="superscript"/>
                <w:lang w:val="en-US" w:eastAsia="zh-CN"/>
              </w:rPr>
              <w:t>-12</w:t>
            </w:r>
            <w:r>
              <w:rPr>
                <w:rFonts w:hint="default" w:ascii="Times New Roman" w:hAnsi="Times New Roman" w:eastAsia="宋体" w:cs="Times New Roman"/>
                <w:color w:val="FF0000"/>
                <w:sz w:val="21"/>
                <w:szCs w:val="21"/>
                <w:highlight w:val="none"/>
                <w:lang w:val="en-US" w:eastAsia="zh-CN"/>
              </w:rPr>
              <w:t>cm/s），在做好基层防渗的基础上进行水泥硬化；医疗废物暂存间基础防渗层为至少1m厚粘土层（渗透系数K≤10</w:t>
            </w:r>
            <w:r>
              <w:rPr>
                <w:rFonts w:hint="default" w:ascii="Times New Roman" w:hAnsi="Times New Roman" w:eastAsia="宋体" w:cs="Times New Roman"/>
                <w:color w:val="FF0000"/>
                <w:sz w:val="21"/>
                <w:szCs w:val="21"/>
                <w:highlight w:val="none"/>
                <w:vertAlign w:val="superscript"/>
                <w:lang w:val="en-US" w:eastAsia="zh-CN"/>
              </w:rPr>
              <w:t>-7</w:t>
            </w:r>
            <w:r>
              <w:rPr>
                <w:rFonts w:hint="default" w:ascii="Times New Roman" w:hAnsi="Times New Roman" w:eastAsia="宋体" w:cs="Times New Roman"/>
                <w:color w:val="FF0000"/>
                <w:sz w:val="21"/>
                <w:szCs w:val="21"/>
                <w:highlight w:val="none"/>
                <w:lang w:val="en-US" w:eastAsia="zh-CN"/>
              </w:rPr>
              <w:t>cm/s）或2mm厚高密度聚乙烯等人工防渗材料（渗透系数K≤10</w:t>
            </w:r>
            <w:r>
              <w:rPr>
                <w:rFonts w:hint="default" w:ascii="Times New Roman" w:hAnsi="Times New Roman" w:eastAsia="宋体" w:cs="Times New Roman"/>
                <w:color w:val="FF0000"/>
                <w:sz w:val="21"/>
                <w:szCs w:val="21"/>
                <w:highlight w:val="none"/>
                <w:vertAlign w:val="superscript"/>
                <w:lang w:val="en-US" w:eastAsia="zh-CN"/>
              </w:rPr>
              <w:t>-10</w:t>
            </w:r>
            <w:r>
              <w:rPr>
                <w:rFonts w:hint="default" w:ascii="Times New Roman" w:hAnsi="Times New Roman" w:eastAsia="宋体" w:cs="Times New Roman"/>
                <w:color w:val="FF0000"/>
                <w:sz w:val="21"/>
                <w:szCs w:val="21"/>
                <w:highlight w:val="none"/>
                <w:lang w:val="en-US" w:eastAsia="zh-CN"/>
              </w:rPr>
              <w:t>cm/s）；</w:t>
            </w:r>
          </w:p>
          <w:p w14:paraId="32D3A7A7">
            <w:pPr>
              <w:pStyle w:val="38"/>
              <w:jc w:val="both"/>
              <w:rPr>
                <w:rFonts w:hint="default" w:ascii="Times New Roman" w:hAnsi="Times New Roman" w:eastAsia="宋体" w:cs="Times New Roman"/>
                <w:color w:val="FF0000"/>
                <w:sz w:val="21"/>
                <w:szCs w:val="21"/>
                <w:highlight w:val="none"/>
                <w:lang w:val="en-GB"/>
              </w:rPr>
            </w:pPr>
            <w:r>
              <w:rPr>
                <w:rFonts w:hint="default" w:ascii="Times New Roman" w:hAnsi="Times New Roman" w:eastAsia="宋体" w:cs="Times New Roman"/>
                <w:color w:val="FF0000"/>
                <w:sz w:val="21"/>
                <w:szCs w:val="21"/>
                <w:highlight w:val="none"/>
                <w:lang w:val="en-GB"/>
              </w:rPr>
              <w:fldChar w:fldCharType="begin"/>
            </w:r>
            <w:r>
              <w:rPr>
                <w:rFonts w:hint="default" w:ascii="Times New Roman" w:hAnsi="Times New Roman" w:eastAsia="宋体" w:cs="Times New Roman"/>
                <w:color w:val="FF0000"/>
                <w:sz w:val="21"/>
                <w:szCs w:val="21"/>
                <w:highlight w:val="none"/>
                <w:lang w:val="en-GB" w:eastAsia="zh-CN"/>
              </w:rPr>
              <w:instrText xml:space="preserve"> = 2 \* GB3 </w:instrText>
            </w:r>
            <w:r>
              <w:rPr>
                <w:rFonts w:hint="default" w:ascii="Times New Roman" w:hAnsi="Times New Roman" w:eastAsia="宋体" w:cs="Times New Roman"/>
                <w:color w:val="FF0000"/>
                <w:sz w:val="21"/>
                <w:szCs w:val="21"/>
                <w:highlight w:val="none"/>
                <w:lang w:val="en-GB"/>
              </w:rPr>
              <w:fldChar w:fldCharType="separate"/>
            </w:r>
            <w:r>
              <w:rPr>
                <w:rFonts w:hint="default" w:ascii="Times New Roman" w:hAnsi="Times New Roman" w:eastAsia="宋体" w:cs="Times New Roman"/>
                <w:color w:val="FF0000"/>
                <w:sz w:val="21"/>
                <w:szCs w:val="21"/>
                <w:highlight w:val="none"/>
                <w:lang w:val="en-GB" w:eastAsia="zh-CN"/>
              </w:rPr>
              <w:t>②</w:t>
            </w:r>
            <w:r>
              <w:rPr>
                <w:rFonts w:hint="default" w:ascii="Times New Roman" w:hAnsi="Times New Roman" w:eastAsia="宋体" w:cs="Times New Roman"/>
                <w:color w:val="FF0000"/>
                <w:sz w:val="21"/>
                <w:szCs w:val="21"/>
                <w:highlight w:val="none"/>
                <w:lang w:val="en-GB"/>
              </w:rPr>
              <w:fldChar w:fldCharType="end"/>
            </w:r>
            <w:r>
              <w:rPr>
                <w:rFonts w:hint="default" w:ascii="Times New Roman" w:hAnsi="Times New Roman" w:eastAsia="宋体" w:cs="Times New Roman"/>
                <w:color w:val="FF0000"/>
                <w:sz w:val="21"/>
                <w:szCs w:val="21"/>
                <w:highlight w:val="none"/>
                <w:lang w:val="en-US" w:eastAsia="zh-CN"/>
              </w:rPr>
              <w:t>牛舍、运动场</w:t>
            </w:r>
            <w:r>
              <w:rPr>
                <w:rFonts w:hint="eastAsia" w:ascii="Times New Roman" w:hAnsi="Times New Roman" w:eastAsia="宋体" w:cs="Times New Roman"/>
                <w:color w:val="FF0000"/>
                <w:sz w:val="21"/>
                <w:szCs w:val="21"/>
                <w:highlight w:val="none"/>
                <w:lang w:val="en-US" w:eastAsia="zh-CN"/>
              </w:rPr>
              <w:t>、</w:t>
            </w:r>
            <w:r>
              <w:rPr>
                <w:rFonts w:hint="default" w:ascii="Times New Roman" w:hAnsi="Times New Roman" w:eastAsia="宋体" w:cs="Times New Roman"/>
                <w:color w:val="FF0000"/>
                <w:sz w:val="21"/>
                <w:szCs w:val="21"/>
                <w:highlight w:val="none"/>
                <w:lang w:val="en-US" w:eastAsia="zh-CN"/>
              </w:rPr>
              <w:t>青储窖、化粪池、粪污储存间</w:t>
            </w:r>
            <w:r>
              <w:rPr>
                <w:rFonts w:hint="default" w:ascii="Times New Roman" w:hAnsi="Times New Roman" w:eastAsia="宋体" w:cs="Times New Roman"/>
                <w:color w:val="FF0000"/>
                <w:sz w:val="21"/>
                <w:szCs w:val="21"/>
                <w:highlight w:val="none"/>
                <w:lang w:val="en-GB" w:eastAsia="zh-CN"/>
              </w:rPr>
              <w:t>采取一般防渗措施</w:t>
            </w:r>
            <w:r>
              <w:rPr>
                <w:rFonts w:hint="default" w:ascii="Times New Roman" w:hAnsi="Times New Roman" w:eastAsia="宋体" w:cs="Times New Roman"/>
                <w:color w:val="FF0000"/>
                <w:sz w:val="21"/>
                <w:szCs w:val="21"/>
                <w:highlight w:val="none"/>
                <w:lang w:val="en-GB"/>
              </w:rPr>
              <w:t>。地面基础防渗，防渗层为至少1m厚粘土层或2mm厚高密度聚乙烯，需满足等效黏土防渗层Mb≥1.5m，K≤1×10</w:t>
            </w:r>
            <w:r>
              <w:rPr>
                <w:rFonts w:hint="default" w:ascii="Times New Roman" w:hAnsi="Times New Roman" w:eastAsia="宋体" w:cs="Times New Roman"/>
                <w:color w:val="FF0000"/>
                <w:sz w:val="21"/>
                <w:szCs w:val="21"/>
                <w:highlight w:val="none"/>
                <w:vertAlign w:val="superscript"/>
                <w:lang w:val="en-GB"/>
              </w:rPr>
              <w:t>-7</w:t>
            </w:r>
            <w:r>
              <w:rPr>
                <w:rFonts w:hint="default" w:ascii="Times New Roman" w:hAnsi="Times New Roman" w:eastAsia="宋体" w:cs="Times New Roman"/>
                <w:color w:val="FF0000"/>
                <w:sz w:val="21"/>
                <w:szCs w:val="21"/>
                <w:highlight w:val="none"/>
                <w:lang w:val="en-GB"/>
              </w:rPr>
              <w:t>cm/s的要求；</w:t>
            </w:r>
          </w:p>
          <w:p w14:paraId="07C39112">
            <w:pPr>
              <w:pStyle w:val="38"/>
              <w:jc w:val="both"/>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color w:val="FF0000"/>
                <w:sz w:val="21"/>
                <w:szCs w:val="21"/>
                <w:highlight w:val="none"/>
                <w:lang w:val="en-GB" w:eastAsia="zh-CN"/>
              </w:rPr>
              <w:fldChar w:fldCharType="begin"/>
            </w:r>
            <w:r>
              <w:rPr>
                <w:rFonts w:hint="default" w:ascii="Times New Roman" w:hAnsi="Times New Roman" w:eastAsia="宋体" w:cs="Times New Roman"/>
                <w:color w:val="FF0000"/>
                <w:sz w:val="21"/>
                <w:szCs w:val="21"/>
                <w:highlight w:val="none"/>
                <w:lang w:val="en-GB" w:eastAsia="zh-CN"/>
              </w:rPr>
              <w:instrText xml:space="preserve"> = 3 \* GB3 </w:instrText>
            </w:r>
            <w:r>
              <w:rPr>
                <w:rFonts w:hint="default" w:ascii="Times New Roman" w:hAnsi="Times New Roman" w:eastAsia="宋体" w:cs="Times New Roman"/>
                <w:color w:val="FF0000"/>
                <w:sz w:val="21"/>
                <w:szCs w:val="21"/>
                <w:highlight w:val="none"/>
                <w:lang w:val="en-GB" w:eastAsia="zh-CN"/>
              </w:rPr>
              <w:fldChar w:fldCharType="separate"/>
            </w:r>
            <w:r>
              <w:rPr>
                <w:rFonts w:hint="default" w:ascii="Times New Roman" w:hAnsi="Times New Roman" w:eastAsia="宋体" w:cs="Times New Roman"/>
                <w:color w:val="FF0000"/>
                <w:sz w:val="21"/>
                <w:szCs w:val="21"/>
                <w:highlight w:val="none"/>
                <w:lang w:val="en-GB" w:eastAsia="zh-CN"/>
              </w:rPr>
              <w:t>③</w:t>
            </w:r>
            <w:r>
              <w:rPr>
                <w:rFonts w:hint="default" w:ascii="Times New Roman" w:hAnsi="Times New Roman" w:eastAsia="宋体" w:cs="Times New Roman"/>
                <w:color w:val="FF0000"/>
                <w:sz w:val="21"/>
                <w:szCs w:val="21"/>
                <w:highlight w:val="none"/>
                <w:lang w:val="en-GB" w:eastAsia="zh-CN"/>
              </w:rPr>
              <w:fldChar w:fldCharType="end"/>
            </w:r>
            <w:r>
              <w:rPr>
                <w:rFonts w:hint="default" w:ascii="Times New Roman" w:hAnsi="Times New Roman" w:eastAsia="宋体" w:cs="Times New Roman"/>
                <w:color w:val="FF0000"/>
                <w:sz w:val="21"/>
                <w:szCs w:val="21"/>
                <w:highlight w:val="none"/>
                <w:lang w:val="en-US" w:eastAsia="zh-CN"/>
              </w:rPr>
              <w:t>办公室、</w:t>
            </w:r>
            <w:r>
              <w:rPr>
                <w:rFonts w:hint="default" w:ascii="Times New Roman" w:hAnsi="Times New Roman" w:eastAsia="宋体" w:cs="Times New Roman"/>
                <w:color w:val="FF0000"/>
                <w:sz w:val="21"/>
                <w:szCs w:val="21"/>
                <w:highlight w:val="none"/>
              </w:rPr>
              <w:t>道路进行简单防渗处理</w:t>
            </w:r>
            <w:r>
              <w:rPr>
                <w:rFonts w:hint="default" w:ascii="Times New Roman" w:hAnsi="Times New Roman" w:eastAsia="宋体" w:cs="Times New Roman"/>
                <w:color w:val="FF0000"/>
                <w:sz w:val="21"/>
                <w:szCs w:val="21"/>
                <w:highlight w:val="none"/>
                <w:lang w:eastAsia="zh-CN"/>
              </w:rPr>
              <w:t>，</w:t>
            </w:r>
            <w:r>
              <w:rPr>
                <w:rFonts w:hint="default" w:ascii="Times New Roman" w:hAnsi="Times New Roman" w:eastAsia="宋体" w:cs="Times New Roman"/>
                <w:color w:val="FF0000"/>
                <w:sz w:val="21"/>
                <w:szCs w:val="21"/>
                <w:highlight w:val="none"/>
                <w:lang w:val="en-GB"/>
              </w:rPr>
              <w:t>均用水泥进行硬化</w:t>
            </w:r>
          </w:p>
        </w:tc>
        <w:tc>
          <w:tcPr>
            <w:tcW w:w="3203" w:type="dxa"/>
            <w:shd w:val="clear" w:color="auto" w:fill="auto"/>
            <w:vAlign w:val="center"/>
          </w:tcPr>
          <w:p w14:paraId="74A10D18">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eastAsia="zh-CN"/>
              </w:rPr>
              <w:t>各分区达到防渗要求</w:t>
            </w:r>
          </w:p>
        </w:tc>
      </w:tr>
      <w:tr w14:paraId="0CB64D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continue"/>
            <w:shd w:val="clear" w:color="auto" w:fill="auto"/>
            <w:vAlign w:val="center"/>
          </w:tcPr>
          <w:p w14:paraId="735F0B96">
            <w:pPr>
              <w:pStyle w:val="38"/>
              <w:rPr>
                <w:rFonts w:hint="default" w:ascii="Times New Roman" w:hAnsi="Times New Roman" w:eastAsia="宋体" w:cs="Times New Roman"/>
                <w:snapToGrid w:val="0"/>
                <w:color w:val="FF0000"/>
                <w:sz w:val="21"/>
                <w:szCs w:val="21"/>
                <w:highlight w:val="none"/>
              </w:rPr>
            </w:pPr>
          </w:p>
        </w:tc>
        <w:tc>
          <w:tcPr>
            <w:tcW w:w="1023" w:type="dxa"/>
            <w:vMerge w:val="continue"/>
            <w:shd w:val="clear" w:color="auto" w:fill="auto"/>
            <w:vAlign w:val="center"/>
          </w:tcPr>
          <w:p w14:paraId="14B4E05A">
            <w:pPr>
              <w:pStyle w:val="38"/>
              <w:rPr>
                <w:rFonts w:hint="default" w:ascii="Times New Roman" w:hAnsi="Times New Roman" w:eastAsia="宋体" w:cs="Times New Roman"/>
                <w:snapToGrid w:val="0"/>
                <w:color w:val="FF0000"/>
                <w:sz w:val="21"/>
                <w:szCs w:val="21"/>
                <w:highlight w:val="none"/>
              </w:rPr>
            </w:pPr>
          </w:p>
        </w:tc>
        <w:tc>
          <w:tcPr>
            <w:tcW w:w="2141" w:type="dxa"/>
            <w:shd w:val="clear" w:color="auto" w:fill="auto"/>
            <w:vAlign w:val="center"/>
          </w:tcPr>
          <w:p w14:paraId="162E2A5E">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生活污水</w:t>
            </w:r>
          </w:p>
        </w:tc>
        <w:tc>
          <w:tcPr>
            <w:tcW w:w="2139" w:type="dxa"/>
            <w:shd w:val="clear" w:color="auto" w:fill="auto"/>
            <w:vAlign w:val="center"/>
          </w:tcPr>
          <w:p w14:paraId="5911DCB5">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COD、氨氮</w:t>
            </w:r>
          </w:p>
          <w:p w14:paraId="5354C22F">
            <w:pPr>
              <w:pStyle w:val="38"/>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lang w:eastAsia="zh-CN"/>
              </w:rPr>
              <w:t>总磷、总氮</w:t>
            </w:r>
          </w:p>
        </w:tc>
        <w:tc>
          <w:tcPr>
            <w:tcW w:w="4420" w:type="dxa"/>
            <w:shd w:val="clear" w:color="auto" w:fill="auto"/>
            <w:vAlign w:val="center"/>
          </w:tcPr>
          <w:p w14:paraId="037A40AE">
            <w:pPr>
              <w:pStyle w:val="38"/>
              <w:jc w:val="center"/>
              <w:rPr>
                <w:rFonts w:hint="default" w:ascii="Times New Roman" w:hAnsi="Times New Roman" w:eastAsia="宋体" w:cs="Times New Roman"/>
                <w:color w:val="FF0000"/>
                <w:sz w:val="21"/>
                <w:szCs w:val="21"/>
                <w:highlight w:val="none"/>
                <w:lang w:val="en-US" w:eastAsia="zh-CN"/>
              </w:rPr>
            </w:pPr>
            <w:r>
              <w:rPr>
                <w:rFonts w:hint="default" w:ascii="Times New Roman" w:hAnsi="Times New Roman" w:eastAsia="宋体" w:cs="Times New Roman"/>
                <w:color w:val="FF0000"/>
                <w:sz w:val="21"/>
                <w:szCs w:val="21"/>
                <w:highlight w:val="none"/>
                <w:lang w:val="en-US" w:eastAsia="zh-CN"/>
              </w:rPr>
              <w:t>生活污水排入化粪池定期清掏，不外排</w:t>
            </w:r>
          </w:p>
        </w:tc>
        <w:tc>
          <w:tcPr>
            <w:tcW w:w="3203" w:type="dxa"/>
            <w:shd w:val="clear" w:color="auto" w:fill="auto"/>
            <w:vAlign w:val="center"/>
          </w:tcPr>
          <w:p w14:paraId="71DD347E">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化粪池</w:t>
            </w:r>
          </w:p>
        </w:tc>
      </w:tr>
      <w:tr w14:paraId="3E30F0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continue"/>
            <w:shd w:val="clear" w:color="auto" w:fill="auto"/>
            <w:vAlign w:val="center"/>
          </w:tcPr>
          <w:p w14:paraId="6ED41952">
            <w:pPr>
              <w:pStyle w:val="38"/>
              <w:rPr>
                <w:rFonts w:hint="default" w:ascii="Times New Roman" w:hAnsi="Times New Roman" w:eastAsia="宋体" w:cs="Times New Roman"/>
                <w:snapToGrid w:val="0"/>
                <w:color w:val="FF0000"/>
                <w:sz w:val="21"/>
                <w:szCs w:val="21"/>
                <w:highlight w:val="none"/>
              </w:rPr>
            </w:pPr>
          </w:p>
        </w:tc>
        <w:tc>
          <w:tcPr>
            <w:tcW w:w="1023" w:type="dxa"/>
            <w:vMerge w:val="continue"/>
            <w:shd w:val="clear" w:color="auto" w:fill="auto"/>
            <w:vAlign w:val="center"/>
          </w:tcPr>
          <w:p w14:paraId="4BEFDA88">
            <w:pPr>
              <w:pStyle w:val="38"/>
              <w:rPr>
                <w:rFonts w:hint="default" w:ascii="Times New Roman" w:hAnsi="Times New Roman" w:eastAsia="宋体" w:cs="Times New Roman"/>
                <w:snapToGrid w:val="0"/>
                <w:color w:val="FF0000"/>
                <w:sz w:val="21"/>
                <w:szCs w:val="21"/>
                <w:highlight w:val="none"/>
              </w:rPr>
            </w:pPr>
          </w:p>
        </w:tc>
        <w:tc>
          <w:tcPr>
            <w:tcW w:w="2141" w:type="dxa"/>
            <w:shd w:val="clear" w:color="auto" w:fill="auto"/>
            <w:vAlign w:val="center"/>
          </w:tcPr>
          <w:p w14:paraId="4B9F64B4">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地下水监测井</w:t>
            </w:r>
          </w:p>
        </w:tc>
        <w:tc>
          <w:tcPr>
            <w:tcW w:w="2139" w:type="dxa"/>
            <w:shd w:val="clear" w:color="auto" w:fill="auto"/>
            <w:vAlign w:val="center"/>
          </w:tcPr>
          <w:p w14:paraId="3CE72A4D">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eastAsia="zh-CN"/>
              </w:rPr>
              <w:t>COD、</w:t>
            </w:r>
            <w:r>
              <w:rPr>
                <w:rFonts w:hint="default" w:ascii="Times New Roman" w:hAnsi="Times New Roman" w:eastAsia="宋体" w:cs="Times New Roman"/>
                <w:snapToGrid w:val="0"/>
                <w:color w:val="FF0000"/>
                <w:sz w:val="21"/>
                <w:szCs w:val="21"/>
                <w:highlight w:val="none"/>
              </w:rPr>
              <w:t>氨氮</w:t>
            </w:r>
            <w:r>
              <w:rPr>
                <w:rFonts w:hint="default" w:ascii="Times New Roman" w:hAnsi="Times New Roman" w:eastAsia="宋体" w:cs="Times New Roman"/>
                <w:snapToGrid w:val="0"/>
                <w:color w:val="FF0000"/>
                <w:sz w:val="21"/>
                <w:szCs w:val="21"/>
                <w:highlight w:val="none"/>
                <w:lang w:eastAsia="zh-CN"/>
              </w:rPr>
              <w:t>等</w:t>
            </w:r>
          </w:p>
        </w:tc>
        <w:tc>
          <w:tcPr>
            <w:tcW w:w="4420" w:type="dxa"/>
            <w:shd w:val="clear" w:color="auto" w:fill="auto"/>
            <w:vAlign w:val="center"/>
          </w:tcPr>
          <w:p w14:paraId="0B4EAECE">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建设地下水跟踪监测井，场区</w:t>
            </w:r>
            <w:r>
              <w:rPr>
                <w:rFonts w:hint="default" w:ascii="Times New Roman" w:hAnsi="Times New Roman" w:eastAsia="宋体" w:cs="Times New Roman"/>
                <w:snapToGrid w:val="0"/>
                <w:color w:val="FF0000"/>
                <w:sz w:val="21"/>
                <w:szCs w:val="21"/>
                <w:highlight w:val="none"/>
                <w:lang w:eastAsia="zh-CN"/>
              </w:rPr>
              <w:t>厂界</w:t>
            </w:r>
            <w:r>
              <w:rPr>
                <w:rFonts w:hint="default" w:ascii="Times New Roman" w:hAnsi="Times New Roman" w:eastAsia="宋体" w:cs="Times New Roman"/>
                <w:snapToGrid w:val="0"/>
                <w:color w:val="FF0000"/>
                <w:sz w:val="21"/>
                <w:szCs w:val="21"/>
                <w:highlight w:val="none"/>
              </w:rPr>
              <w:t>内的</w:t>
            </w:r>
            <w:r>
              <w:rPr>
                <w:rFonts w:hint="default" w:ascii="Times New Roman" w:hAnsi="Times New Roman" w:eastAsia="宋体" w:cs="Times New Roman"/>
                <w:snapToGrid w:val="0"/>
                <w:color w:val="FF0000"/>
                <w:sz w:val="21"/>
                <w:szCs w:val="21"/>
                <w:highlight w:val="none"/>
                <w:lang w:val="en-US" w:eastAsia="zh-CN"/>
              </w:rPr>
              <w:t>东北侧50m处设立1口监测井</w:t>
            </w:r>
          </w:p>
        </w:tc>
        <w:tc>
          <w:tcPr>
            <w:tcW w:w="3203" w:type="dxa"/>
            <w:shd w:val="clear" w:color="auto" w:fill="auto"/>
            <w:vAlign w:val="center"/>
          </w:tcPr>
          <w:p w14:paraId="6494DEB7">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eastAsia="zh-CN"/>
              </w:rPr>
              <w:t>定期</w:t>
            </w:r>
            <w:r>
              <w:rPr>
                <w:rFonts w:hint="default" w:ascii="Times New Roman" w:hAnsi="Times New Roman" w:eastAsia="宋体" w:cs="Times New Roman"/>
                <w:snapToGrid w:val="0"/>
                <w:color w:val="FF0000"/>
                <w:sz w:val="21"/>
                <w:szCs w:val="21"/>
                <w:highlight w:val="none"/>
              </w:rPr>
              <w:t>编写监测报告向社会公开</w:t>
            </w:r>
          </w:p>
        </w:tc>
      </w:tr>
      <w:tr w14:paraId="3B5B18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restart"/>
            <w:shd w:val="clear" w:color="auto" w:fill="auto"/>
            <w:vAlign w:val="center"/>
          </w:tcPr>
          <w:p w14:paraId="767690FE">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废气</w:t>
            </w:r>
          </w:p>
        </w:tc>
        <w:tc>
          <w:tcPr>
            <w:tcW w:w="1023" w:type="dxa"/>
            <w:vMerge w:val="restart"/>
            <w:shd w:val="clear" w:color="auto" w:fill="auto"/>
            <w:vAlign w:val="center"/>
          </w:tcPr>
          <w:p w14:paraId="3DA551CA">
            <w:pPr>
              <w:pStyle w:val="38"/>
              <w:rPr>
                <w:rFonts w:hint="eastAsia" w:ascii="Times New Roman" w:hAnsi="Times New Roman" w:eastAsia="宋体" w:cs="Times New Roman"/>
                <w:snapToGrid w:val="0"/>
                <w:color w:val="FF0000"/>
                <w:sz w:val="21"/>
                <w:szCs w:val="21"/>
                <w:highlight w:val="none"/>
                <w:lang w:eastAsia="zh-CN"/>
              </w:rPr>
            </w:pPr>
            <w:r>
              <w:rPr>
                <w:rFonts w:hint="eastAsia" w:ascii="Times New Roman" w:hAnsi="Times New Roman" w:eastAsia="宋体" w:cs="Times New Roman"/>
                <w:snapToGrid w:val="0"/>
                <w:color w:val="FF0000"/>
                <w:sz w:val="21"/>
                <w:szCs w:val="21"/>
                <w:highlight w:val="none"/>
                <w:lang w:val="en-US" w:eastAsia="zh-CN"/>
              </w:rPr>
              <w:t>无组织废气</w:t>
            </w:r>
          </w:p>
        </w:tc>
        <w:tc>
          <w:tcPr>
            <w:tcW w:w="2141" w:type="dxa"/>
            <w:shd w:val="clear" w:color="auto" w:fill="auto"/>
            <w:vAlign w:val="center"/>
          </w:tcPr>
          <w:p w14:paraId="0A3F936B">
            <w:pPr>
              <w:pStyle w:val="38"/>
              <w:rPr>
                <w:rFonts w:hint="eastAsia" w:ascii="Times New Roman" w:hAnsi="Times New Roman" w:eastAsia="宋体" w:cs="Times New Roman"/>
                <w:snapToGrid w:val="0"/>
                <w:color w:val="FF0000"/>
                <w:sz w:val="21"/>
                <w:szCs w:val="21"/>
                <w:highlight w:val="none"/>
                <w:lang w:val="en-US" w:eastAsia="zh-CN"/>
              </w:rPr>
            </w:pPr>
            <w:r>
              <w:rPr>
                <w:rFonts w:hint="eastAsia" w:ascii="Times New Roman" w:hAnsi="Times New Roman" w:eastAsia="宋体" w:cs="Times New Roman"/>
                <w:snapToGrid w:val="0"/>
                <w:color w:val="FF0000"/>
                <w:sz w:val="21"/>
                <w:szCs w:val="21"/>
                <w:highlight w:val="none"/>
                <w:lang w:val="en-US" w:eastAsia="zh-CN"/>
              </w:rPr>
              <w:t>养殖场</w:t>
            </w:r>
          </w:p>
        </w:tc>
        <w:tc>
          <w:tcPr>
            <w:tcW w:w="2139" w:type="dxa"/>
            <w:shd w:val="clear" w:color="auto" w:fill="auto"/>
            <w:vAlign w:val="center"/>
          </w:tcPr>
          <w:p w14:paraId="44072BF7">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H</w:t>
            </w:r>
            <w:r>
              <w:rPr>
                <w:rFonts w:hint="default" w:ascii="Times New Roman" w:hAnsi="Times New Roman" w:eastAsia="宋体" w:cs="Times New Roman"/>
                <w:snapToGrid w:val="0"/>
                <w:color w:val="FF0000"/>
                <w:sz w:val="21"/>
                <w:szCs w:val="21"/>
                <w:highlight w:val="none"/>
                <w:vertAlign w:val="subscript"/>
              </w:rPr>
              <w:t>2</w:t>
            </w:r>
            <w:r>
              <w:rPr>
                <w:rFonts w:hint="default" w:ascii="Times New Roman" w:hAnsi="Times New Roman" w:eastAsia="宋体" w:cs="Times New Roman"/>
                <w:snapToGrid w:val="0"/>
                <w:color w:val="FF0000"/>
                <w:sz w:val="21"/>
                <w:szCs w:val="21"/>
                <w:highlight w:val="none"/>
              </w:rPr>
              <w:t>S</w:t>
            </w:r>
          </w:p>
          <w:p w14:paraId="622E7021">
            <w:pPr>
              <w:pStyle w:val="38"/>
              <w:rPr>
                <w:rFonts w:hint="default" w:ascii="Times New Roman" w:hAnsi="Times New Roman" w:eastAsia="宋体" w:cs="Times New Roman"/>
                <w:snapToGrid w:val="0"/>
                <w:color w:val="FF0000"/>
                <w:sz w:val="21"/>
                <w:szCs w:val="21"/>
                <w:highlight w:val="none"/>
                <w:vertAlign w:val="subscript"/>
              </w:rPr>
            </w:pPr>
            <w:r>
              <w:rPr>
                <w:rFonts w:hint="default" w:ascii="Times New Roman" w:hAnsi="Times New Roman" w:eastAsia="宋体" w:cs="Times New Roman"/>
                <w:snapToGrid w:val="0"/>
                <w:color w:val="FF0000"/>
                <w:sz w:val="21"/>
                <w:szCs w:val="21"/>
                <w:highlight w:val="none"/>
              </w:rPr>
              <w:t>NH</w:t>
            </w:r>
            <w:r>
              <w:rPr>
                <w:rFonts w:hint="default" w:ascii="Times New Roman" w:hAnsi="Times New Roman" w:eastAsia="宋体" w:cs="Times New Roman"/>
                <w:snapToGrid w:val="0"/>
                <w:color w:val="FF0000"/>
                <w:sz w:val="21"/>
                <w:szCs w:val="21"/>
                <w:highlight w:val="none"/>
                <w:vertAlign w:val="subscript"/>
              </w:rPr>
              <w:t>3</w:t>
            </w:r>
          </w:p>
          <w:p w14:paraId="2A90942E">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臭气浓度</w:t>
            </w:r>
          </w:p>
        </w:tc>
        <w:tc>
          <w:tcPr>
            <w:tcW w:w="4420" w:type="dxa"/>
            <w:shd w:val="clear" w:color="auto" w:fill="auto"/>
            <w:vAlign w:val="center"/>
          </w:tcPr>
          <w:p w14:paraId="07917BA9">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牛舍加强通风，定期喷洒</w:t>
            </w:r>
            <w:r>
              <w:rPr>
                <w:rFonts w:hint="eastAsia" w:ascii="Times New Roman" w:hAnsi="Times New Roman" w:eastAsia="宋体" w:cs="Times New Roman"/>
                <w:snapToGrid w:val="0"/>
                <w:color w:val="FF0000"/>
                <w:sz w:val="21"/>
                <w:szCs w:val="21"/>
                <w:highlight w:val="none"/>
                <w:lang w:eastAsia="zh-CN"/>
              </w:rPr>
              <w:t>微生物除臭剂</w:t>
            </w:r>
            <w:r>
              <w:rPr>
                <w:rFonts w:hint="default" w:ascii="Times New Roman" w:hAnsi="Times New Roman" w:eastAsia="宋体" w:cs="Times New Roman"/>
                <w:snapToGrid w:val="0"/>
                <w:color w:val="FF0000"/>
                <w:sz w:val="21"/>
                <w:szCs w:val="21"/>
                <w:highlight w:val="none"/>
              </w:rPr>
              <w:t>，日粮中添加EM菌，加强场区绿化</w:t>
            </w:r>
          </w:p>
        </w:tc>
        <w:tc>
          <w:tcPr>
            <w:tcW w:w="3203" w:type="dxa"/>
            <w:vMerge w:val="restart"/>
            <w:shd w:val="clear" w:color="auto" w:fill="auto"/>
            <w:vAlign w:val="center"/>
          </w:tcPr>
          <w:p w14:paraId="7341B8CA">
            <w:pPr>
              <w:pStyle w:val="38"/>
              <w:jc w:val="both"/>
              <w:rPr>
                <w:rFonts w:hint="default"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green"/>
                <w:lang w:val="zh-CN" w:eastAsia="en-US"/>
              </w:rPr>
              <w:t>臭气浓度</w:t>
            </w:r>
            <w:r>
              <w:rPr>
                <w:rFonts w:hint="eastAsia" w:ascii="Times New Roman" w:hAnsi="Times New Roman" w:eastAsia="宋体" w:cs="Times New Roman"/>
                <w:snapToGrid w:val="0"/>
                <w:color w:val="FF0000"/>
                <w:sz w:val="21"/>
                <w:szCs w:val="21"/>
                <w:highlight w:val="green"/>
                <w:lang w:val="zh-CN" w:eastAsia="en-US"/>
              </w:rPr>
              <w:t>、</w:t>
            </w:r>
            <w:r>
              <w:rPr>
                <w:rFonts w:hint="default" w:ascii="Times New Roman" w:hAnsi="Times New Roman" w:eastAsia="宋体" w:cs="Times New Roman"/>
                <w:snapToGrid w:val="0"/>
                <w:color w:val="FF0000"/>
                <w:sz w:val="21"/>
                <w:szCs w:val="21"/>
                <w:highlight w:val="none"/>
              </w:rPr>
              <w:t>硫化氢、氨在</w:t>
            </w:r>
            <w:r>
              <w:rPr>
                <w:rFonts w:hint="default" w:ascii="Times New Roman" w:hAnsi="Times New Roman" w:eastAsia="宋体" w:cs="Times New Roman"/>
                <w:snapToGrid w:val="0"/>
                <w:color w:val="FF0000"/>
                <w:sz w:val="21"/>
                <w:szCs w:val="21"/>
                <w:highlight w:val="none"/>
                <w:lang w:eastAsia="zh-CN"/>
              </w:rPr>
              <w:t>厂界</w:t>
            </w:r>
            <w:r>
              <w:rPr>
                <w:rFonts w:hint="default" w:ascii="Times New Roman" w:hAnsi="Times New Roman" w:eastAsia="宋体" w:cs="Times New Roman"/>
                <w:snapToGrid w:val="0"/>
                <w:color w:val="FF0000"/>
                <w:sz w:val="21"/>
                <w:szCs w:val="21"/>
                <w:highlight w:val="none"/>
              </w:rPr>
              <w:t>浓度满足《恶臭污染物排放标准》（GB14554-93）表1中二级新扩改建</w:t>
            </w:r>
            <w:r>
              <w:rPr>
                <w:rFonts w:hint="default" w:ascii="Times New Roman" w:hAnsi="Times New Roman" w:eastAsia="宋体" w:cs="Times New Roman"/>
                <w:snapToGrid w:val="0"/>
                <w:color w:val="FF0000"/>
                <w:sz w:val="21"/>
                <w:szCs w:val="21"/>
                <w:highlight w:val="none"/>
                <w:lang w:eastAsia="zh-CN"/>
              </w:rPr>
              <w:t>标准</w:t>
            </w:r>
          </w:p>
        </w:tc>
      </w:tr>
      <w:tr w14:paraId="31E721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77" w:type="dxa"/>
            <w:vMerge w:val="continue"/>
            <w:shd w:val="clear" w:color="auto" w:fill="auto"/>
            <w:vAlign w:val="center"/>
          </w:tcPr>
          <w:p w14:paraId="740D1351">
            <w:pPr>
              <w:pStyle w:val="38"/>
              <w:rPr>
                <w:rFonts w:hint="default" w:ascii="Times New Roman" w:hAnsi="Times New Roman" w:eastAsia="宋体" w:cs="Times New Roman"/>
                <w:snapToGrid w:val="0"/>
                <w:color w:val="FF0000"/>
                <w:sz w:val="21"/>
                <w:szCs w:val="21"/>
                <w:highlight w:val="none"/>
              </w:rPr>
            </w:pPr>
          </w:p>
        </w:tc>
        <w:tc>
          <w:tcPr>
            <w:tcW w:w="1023" w:type="dxa"/>
            <w:vMerge w:val="continue"/>
            <w:shd w:val="clear" w:color="auto" w:fill="auto"/>
            <w:vAlign w:val="center"/>
          </w:tcPr>
          <w:p w14:paraId="34AB0E60">
            <w:pPr>
              <w:pStyle w:val="38"/>
              <w:rPr>
                <w:rFonts w:hint="default" w:ascii="Times New Roman" w:hAnsi="Times New Roman" w:eastAsia="宋体" w:cs="Times New Roman"/>
                <w:snapToGrid w:val="0"/>
                <w:color w:val="FF0000"/>
                <w:sz w:val="21"/>
                <w:szCs w:val="21"/>
                <w:highlight w:val="none"/>
              </w:rPr>
            </w:pPr>
          </w:p>
        </w:tc>
        <w:tc>
          <w:tcPr>
            <w:tcW w:w="2141" w:type="dxa"/>
            <w:shd w:val="clear" w:color="auto" w:fill="auto"/>
            <w:vAlign w:val="center"/>
          </w:tcPr>
          <w:p w14:paraId="21534DC5">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val="en-US" w:eastAsia="zh-CN"/>
              </w:rPr>
              <w:t>粪污储存间</w:t>
            </w:r>
          </w:p>
        </w:tc>
        <w:tc>
          <w:tcPr>
            <w:tcW w:w="2139" w:type="dxa"/>
            <w:shd w:val="clear" w:color="auto" w:fill="auto"/>
            <w:vAlign w:val="center"/>
          </w:tcPr>
          <w:p w14:paraId="13DB50B1">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H</w:t>
            </w:r>
            <w:r>
              <w:rPr>
                <w:rFonts w:hint="default" w:ascii="Times New Roman" w:hAnsi="Times New Roman" w:eastAsia="宋体" w:cs="Times New Roman"/>
                <w:snapToGrid w:val="0"/>
                <w:color w:val="FF0000"/>
                <w:sz w:val="21"/>
                <w:szCs w:val="21"/>
                <w:highlight w:val="none"/>
                <w:vertAlign w:val="subscript"/>
              </w:rPr>
              <w:t>2</w:t>
            </w:r>
            <w:r>
              <w:rPr>
                <w:rFonts w:hint="default" w:ascii="Times New Roman" w:hAnsi="Times New Roman" w:eastAsia="宋体" w:cs="Times New Roman"/>
                <w:snapToGrid w:val="0"/>
                <w:color w:val="FF0000"/>
                <w:sz w:val="21"/>
                <w:szCs w:val="21"/>
                <w:highlight w:val="none"/>
              </w:rPr>
              <w:t>S</w:t>
            </w:r>
          </w:p>
          <w:p w14:paraId="5FB34CC6">
            <w:pPr>
              <w:pStyle w:val="38"/>
              <w:rPr>
                <w:rFonts w:hint="default" w:ascii="Times New Roman" w:hAnsi="Times New Roman" w:eastAsia="宋体" w:cs="Times New Roman"/>
                <w:snapToGrid w:val="0"/>
                <w:color w:val="FF0000"/>
                <w:sz w:val="21"/>
                <w:szCs w:val="21"/>
                <w:highlight w:val="none"/>
                <w:vertAlign w:val="subscript"/>
              </w:rPr>
            </w:pPr>
            <w:r>
              <w:rPr>
                <w:rFonts w:hint="default" w:ascii="Times New Roman" w:hAnsi="Times New Roman" w:eastAsia="宋体" w:cs="Times New Roman"/>
                <w:snapToGrid w:val="0"/>
                <w:color w:val="FF0000"/>
                <w:sz w:val="21"/>
                <w:szCs w:val="21"/>
                <w:highlight w:val="none"/>
              </w:rPr>
              <w:t>NH</w:t>
            </w:r>
            <w:r>
              <w:rPr>
                <w:rFonts w:hint="default" w:ascii="Times New Roman" w:hAnsi="Times New Roman" w:eastAsia="宋体" w:cs="Times New Roman"/>
                <w:snapToGrid w:val="0"/>
                <w:color w:val="FF0000"/>
                <w:sz w:val="21"/>
                <w:szCs w:val="21"/>
                <w:highlight w:val="none"/>
                <w:vertAlign w:val="subscript"/>
              </w:rPr>
              <w:t>3</w:t>
            </w:r>
          </w:p>
          <w:p w14:paraId="7C9523CA">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臭气浓度</w:t>
            </w:r>
          </w:p>
        </w:tc>
        <w:tc>
          <w:tcPr>
            <w:tcW w:w="4420" w:type="dxa"/>
            <w:shd w:val="clear" w:color="auto" w:fill="auto"/>
            <w:vAlign w:val="center"/>
          </w:tcPr>
          <w:p w14:paraId="008AF0C0">
            <w:pPr>
              <w:pStyle w:val="38"/>
              <w:rPr>
                <w:rFonts w:hint="eastAsia" w:ascii="Times New Roman" w:hAnsi="Times New Roman" w:eastAsia="宋体" w:cs="Times New Roman"/>
                <w:snapToGrid w:val="0"/>
                <w:color w:val="FF0000"/>
                <w:sz w:val="21"/>
                <w:szCs w:val="21"/>
                <w:highlight w:val="none"/>
                <w:lang w:eastAsia="zh-CN"/>
              </w:rPr>
            </w:pPr>
            <w:r>
              <w:rPr>
                <w:rFonts w:hint="default" w:ascii="Times New Roman" w:hAnsi="Times New Roman" w:eastAsia="宋体" w:cs="Times New Roman"/>
                <w:snapToGrid w:val="0"/>
                <w:color w:val="FF0000"/>
                <w:sz w:val="21"/>
                <w:szCs w:val="21"/>
                <w:highlight w:val="none"/>
              </w:rPr>
              <w:t>加强通风，定期喷洒</w:t>
            </w:r>
            <w:r>
              <w:rPr>
                <w:rFonts w:hint="eastAsia" w:ascii="Times New Roman" w:hAnsi="Times New Roman" w:eastAsia="宋体" w:cs="Times New Roman"/>
                <w:snapToGrid w:val="0"/>
                <w:color w:val="FF0000"/>
                <w:sz w:val="21"/>
                <w:szCs w:val="21"/>
                <w:highlight w:val="none"/>
                <w:lang w:eastAsia="zh-CN"/>
              </w:rPr>
              <w:t>微生物除臭剂</w:t>
            </w:r>
          </w:p>
        </w:tc>
        <w:tc>
          <w:tcPr>
            <w:tcW w:w="3203" w:type="dxa"/>
            <w:vMerge w:val="continue"/>
            <w:shd w:val="clear" w:color="auto" w:fill="auto"/>
            <w:vAlign w:val="center"/>
          </w:tcPr>
          <w:p w14:paraId="6D42ACAC">
            <w:pPr>
              <w:pStyle w:val="38"/>
              <w:rPr>
                <w:rFonts w:hint="default" w:ascii="Times New Roman" w:hAnsi="Times New Roman" w:eastAsia="宋体" w:cs="Times New Roman"/>
                <w:snapToGrid w:val="0"/>
                <w:color w:val="FF0000"/>
                <w:sz w:val="21"/>
                <w:szCs w:val="21"/>
                <w:highlight w:val="none"/>
              </w:rPr>
            </w:pPr>
          </w:p>
        </w:tc>
      </w:tr>
      <w:tr w14:paraId="78A91A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077" w:type="dxa"/>
            <w:vMerge w:val="continue"/>
            <w:shd w:val="clear" w:color="auto" w:fill="auto"/>
            <w:vAlign w:val="center"/>
          </w:tcPr>
          <w:p w14:paraId="410BE9EC">
            <w:pPr>
              <w:pStyle w:val="38"/>
              <w:rPr>
                <w:rFonts w:hint="default" w:ascii="Times New Roman" w:hAnsi="Times New Roman" w:eastAsia="宋体" w:cs="Times New Roman"/>
                <w:snapToGrid w:val="0"/>
                <w:color w:val="FF0000"/>
                <w:sz w:val="21"/>
                <w:szCs w:val="21"/>
                <w:highlight w:val="none"/>
              </w:rPr>
            </w:pPr>
          </w:p>
        </w:tc>
        <w:tc>
          <w:tcPr>
            <w:tcW w:w="1023" w:type="dxa"/>
            <w:shd w:val="clear" w:color="auto" w:fill="auto"/>
            <w:vAlign w:val="center"/>
          </w:tcPr>
          <w:p w14:paraId="04C98794">
            <w:pPr>
              <w:pStyle w:val="38"/>
              <w:rPr>
                <w:rFonts w:hint="default" w:ascii="Times New Roman" w:hAnsi="Times New Roman" w:eastAsia="宋体" w:cs="Times New Roman"/>
                <w:snapToGrid w:val="0"/>
                <w:color w:val="FF0000"/>
                <w:sz w:val="21"/>
                <w:szCs w:val="21"/>
                <w:highlight w:val="green"/>
                <w:lang w:val="en-US" w:eastAsia="zh-CN"/>
              </w:rPr>
            </w:pPr>
            <w:r>
              <w:rPr>
                <w:rFonts w:hint="eastAsia" w:ascii="Times New Roman" w:hAnsi="Times New Roman" w:eastAsia="宋体" w:cs="Times New Roman"/>
                <w:snapToGrid w:val="0"/>
                <w:color w:val="FF0000"/>
                <w:sz w:val="21"/>
                <w:szCs w:val="21"/>
                <w:highlight w:val="green"/>
                <w:lang w:val="en-US" w:eastAsia="zh-CN"/>
              </w:rPr>
              <w:t>有组织废气</w:t>
            </w:r>
          </w:p>
        </w:tc>
        <w:tc>
          <w:tcPr>
            <w:tcW w:w="2141" w:type="dxa"/>
            <w:shd w:val="clear" w:color="auto" w:fill="auto"/>
            <w:vAlign w:val="center"/>
          </w:tcPr>
          <w:p w14:paraId="300D325C">
            <w:pPr>
              <w:pStyle w:val="38"/>
              <w:rPr>
                <w:rFonts w:hint="default" w:ascii="Times New Roman" w:hAnsi="Times New Roman" w:eastAsia="宋体" w:cs="Times New Roman"/>
                <w:snapToGrid w:val="0"/>
                <w:color w:val="FF0000"/>
                <w:sz w:val="21"/>
                <w:szCs w:val="21"/>
                <w:highlight w:val="green"/>
                <w:lang w:val="en-US" w:eastAsia="zh-CN"/>
              </w:rPr>
            </w:pPr>
            <w:r>
              <w:rPr>
                <w:rFonts w:hint="default" w:ascii="Times New Roman" w:hAnsi="Times New Roman" w:eastAsia="宋体" w:cs="Times New Roman"/>
                <w:snapToGrid w:val="0"/>
                <w:color w:val="FF0000"/>
                <w:sz w:val="21"/>
                <w:szCs w:val="21"/>
                <w:highlight w:val="green"/>
                <w:lang w:val="en-US" w:eastAsia="zh-CN"/>
              </w:rPr>
              <w:t>粪污储存间</w:t>
            </w:r>
          </w:p>
        </w:tc>
        <w:tc>
          <w:tcPr>
            <w:tcW w:w="2139" w:type="dxa"/>
            <w:shd w:val="clear" w:color="auto" w:fill="auto"/>
            <w:vAlign w:val="center"/>
          </w:tcPr>
          <w:p w14:paraId="3054C361">
            <w:pPr>
              <w:pStyle w:val="38"/>
              <w:rPr>
                <w:rFonts w:hint="default" w:ascii="Times New Roman" w:hAnsi="Times New Roman" w:eastAsia="宋体" w:cs="Times New Roman"/>
                <w:snapToGrid w:val="0"/>
                <w:color w:val="FF0000"/>
                <w:sz w:val="21"/>
                <w:szCs w:val="21"/>
                <w:highlight w:val="green"/>
              </w:rPr>
            </w:pPr>
            <w:r>
              <w:rPr>
                <w:rFonts w:hint="default" w:ascii="Times New Roman" w:hAnsi="Times New Roman" w:eastAsia="宋体" w:cs="Times New Roman"/>
                <w:snapToGrid w:val="0"/>
                <w:color w:val="FF0000"/>
                <w:sz w:val="21"/>
                <w:szCs w:val="21"/>
                <w:highlight w:val="green"/>
              </w:rPr>
              <w:t>H</w:t>
            </w:r>
            <w:r>
              <w:rPr>
                <w:rFonts w:hint="default" w:ascii="Times New Roman" w:hAnsi="Times New Roman" w:eastAsia="宋体" w:cs="Times New Roman"/>
                <w:snapToGrid w:val="0"/>
                <w:color w:val="FF0000"/>
                <w:sz w:val="21"/>
                <w:szCs w:val="21"/>
                <w:highlight w:val="green"/>
                <w:vertAlign w:val="subscript"/>
              </w:rPr>
              <w:t>2</w:t>
            </w:r>
            <w:r>
              <w:rPr>
                <w:rFonts w:hint="default" w:ascii="Times New Roman" w:hAnsi="Times New Roman" w:eastAsia="宋体" w:cs="Times New Roman"/>
                <w:snapToGrid w:val="0"/>
                <w:color w:val="FF0000"/>
                <w:sz w:val="21"/>
                <w:szCs w:val="21"/>
                <w:highlight w:val="green"/>
              </w:rPr>
              <w:t>S</w:t>
            </w:r>
          </w:p>
          <w:p w14:paraId="3153F837">
            <w:pPr>
              <w:pStyle w:val="38"/>
              <w:rPr>
                <w:rFonts w:hint="default" w:ascii="Times New Roman" w:hAnsi="Times New Roman" w:eastAsia="宋体" w:cs="Times New Roman"/>
                <w:snapToGrid w:val="0"/>
                <w:color w:val="FF0000"/>
                <w:sz w:val="21"/>
                <w:szCs w:val="21"/>
                <w:highlight w:val="green"/>
                <w:vertAlign w:val="subscript"/>
              </w:rPr>
            </w:pPr>
            <w:r>
              <w:rPr>
                <w:rFonts w:hint="default" w:ascii="Times New Roman" w:hAnsi="Times New Roman" w:eastAsia="宋体" w:cs="Times New Roman"/>
                <w:snapToGrid w:val="0"/>
                <w:color w:val="FF0000"/>
                <w:sz w:val="21"/>
                <w:szCs w:val="21"/>
                <w:highlight w:val="green"/>
              </w:rPr>
              <w:t>NH</w:t>
            </w:r>
            <w:r>
              <w:rPr>
                <w:rFonts w:hint="default" w:ascii="Times New Roman" w:hAnsi="Times New Roman" w:eastAsia="宋体" w:cs="Times New Roman"/>
                <w:snapToGrid w:val="0"/>
                <w:color w:val="FF0000"/>
                <w:sz w:val="21"/>
                <w:szCs w:val="21"/>
                <w:highlight w:val="green"/>
                <w:vertAlign w:val="subscript"/>
              </w:rPr>
              <w:t>3</w:t>
            </w:r>
          </w:p>
          <w:p w14:paraId="346CC955">
            <w:pPr>
              <w:pStyle w:val="38"/>
              <w:rPr>
                <w:rFonts w:hint="default" w:ascii="Times New Roman" w:hAnsi="Times New Roman" w:eastAsia="宋体" w:cs="Times New Roman"/>
                <w:snapToGrid w:val="0"/>
                <w:color w:val="FF0000"/>
                <w:sz w:val="21"/>
                <w:szCs w:val="21"/>
                <w:highlight w:val="green"/>
              </w:rPr>
            </w:pPr>
            <w:r>
              <w:rPr>
                <w:rFonts w:hint="default" w:ascii="Times New Roman" w:hAnsi="Times New Roman" w:eastAsia="宋体" w:cs="Times New Roman"/>
                <w:snapToGrid w:val="0"/>
                <w:color w:val="FF0000"/>
                <w:sz w:val="21"/>
                <w:szCs w:val="21"/>
                <w:highlight w:val="green"/>
              </w:rPr>
              <w:t>臭气浓度</w:t>
            </w:r>
          </w:p>
        </w:tc>
        <w:tc>
          <w:tcPr>
            <w:tcW w:w="4420" w:type="dxa"/>
            <w:shd w:val="clear" w:color="auto" w:fill="auto"/>
            <w:vAlign w:val="center"/>
          </w:tcPr>
          <w:p w14:paraId="6566A7D8">
            <w:pPr>
              <w:pStyle w:val="38"/>
              <w:rPr>
                <w:rFonts w:hint="default" w:ascii="Times New Roman" w:hAnsi="Times New Roman" w:eastAsia="宋体" w:cs="Times New Roman"/>
                <w:snapToGrid w:val="0"/>
                <w:color w:val="FF0000"/>
                <w:sz w:val="21"/>
                <w:szCs w:val="21"/>
                <w:highlight w:val="green"/>
              </w:rPr>
            </w:pPr>
            <w:r>
              <w:rPr>
                <w:rFonts w:hint="default" w:ascii="Times New Roman" w:hAnsi="Times New Roman" w:eastAsia="宋体" w:cs="Times New Roman"/>
                <w:snapToGrid w:val="0"/>
                <w:color w:val="FF0000"/>
                <w:sz w:val="21"/>
                <w:szCs w:val="21"/>
                <w:highlight w:val="green"/>
                <w:lang w:val="en-US" w:eastAsia="zh-CN"/>
              </w:rPr>
              <w:t>粪污储存间</w:t>
            </w:r>
            <w:r>
              <w:rPr>
                <w:rFonts w:hint="default" w:ascii="Times New Roman" w:hAnsi="Times New Roman" w:eastAsia="宋体" w:cs="Times New Roman"/>
                <w:snapToGrid w:val="0"/>
                <w:color w:val="FF0000"/>
                <w:sz w:val="21"/>
                <w:szCs w:val="21"/>
                <w:highlight w:val="green"/>
              </w:rPr>
              <w:t>密闭形式，</w:t>
            </w:r>
            <w:r>
              <w:rPr>
                <w:rFonts w:hint="default" w:ascii="Times New Roman" w:hAnsi="Times New Roman" w:eastAsia="宋体" w:cs="Times New Roman"/>
                <w:snapToGrid w:val="0"/>
                <w:color w:val="FF0000"/>
                <w:sz w:val="21"/>
                <w:szCs w:val="21"/>
                <w:highlight w:val="green"/>
                <w:lang w:eastAsia="zh-CN"/>
              </w:rPr>
              <w:t>恶臭</w:t>
            </w:r>
            <w:r>
              <w:rPr>
                <w:rFonts w:hint="default" w:ascii="Times New Roman" w:hAnsi="Times New Roman" w:eastAsia="宋体" w:cs="Times New Roman"/>
                <w:snapToGrid w:val="0"/>
                <w:color w:val="FF0000"/>
                <w:sz w:val="21"/>
                <w:szCs w:val="21"/>
                <w:highlight w:val="green"/>
                <w:lang w:val="en-US" w:eastAsia="zh-CN"/>
              </w:rPr>
              <w:t>气体经集气罩收集后经活性炭吸附经15m高排气</w:t>
            </w:r>
            <w:r>
              <w:rPr>
                <w:rFonts w:hint="eastAsia" w:ascii="Times New Roman" w:hAnsi="Times New Roman" w:eastAsia="宋体" w:cs="Times New Roman"/>
                <w:snapToGrid w:val="0"/>
                <w:color w:val="FF0000"/>
                <w:sz w:val="21"/>
                <w:szCs w:val="21"/>
                <w:highlight w:val="green"/>
                <w:lang w:val="en-US" w:eastAsia="zh-CN"/>
              </w:rPr>
              <w:t>筒</w:t>
            </w:r>
            <w:r>
              <w:rPr>
                <w:rFonts w:hint="default" w:ascii="Times New Roman" w:hAnsi="Times New Roman" w:eastAsia="宋体" w:cs="Times New Roman"/>
                <w:snapToGrid w:val="0"/>
                <w:color w:val="FF0000"/>
                <w:sz w:val="21"/>
                <w:szCs w:val="21"/>
                <w:highlight w:val="green"/>
                <w:lang w:val="en-US" w:eastAsia="zh-CN"/>
              </w:rPr>
              <w:t>有组织排放，集气罩收集效率为80%，活性炭吸附恶臭气体的设计去除效率为80%，设计风机量为1000m</w:t>
            </w:r>
            <w:r>
              <w:rPr>
                <w:rFonts w:hint="default" w:ascii="Times New Roman" w:hAnsi="Times New Roman" w:eastAsia="宋体" w:cs="Times New Roman"/>
                <w:snapToGrid w:val="0"/>
                <w:color w:val="FF0000"/>
                <w:sz w:val="21"/>
                <w:szCs w:val="21"/>
                <w:highlight w:val="green"/>
                <w:vertAlign w:val="superscript"/>
                <w:lang w:val="en-US" w:eastAsia="zh-CN"/>
              </w:rPr>
              <w:t>3</w:t>
            </w:r>
            <w:r>
              <w:rPr>
                <w:rFonts w:hint="default" w:ascii="Times New Roman" w:hAnsi="Times New Roman" w:eastAsia="宋体" w:cs="Times New Roman"/>
                <w:snapToGrid w:val="0"/>
                <w:color w:val="FF0000"/>
                <w:sz w:val="21"/>
                <w:szCs w:val="21"/>
                <w:highlight w:val="green"/>
                <w:lang w:val="en-US" w:eastAsia="zh-CN"/>
              </w:rPr>
              <w:t>/h，</w:t>
            </w:r>
          </w:p>
        </w:tc>
        <w:tc>
          <w:tcPr>
            <w:tcW w:w="3203" w:type="dxa"/>
            <w:shd w:val="clear" w:color="auto" w:fill="auto"/>
            <w:vAlign w:val="center"/>
          </w:tcPr>
          <w:p w14:paraId="1FFACB8F">
            <w:pPr>
              <w:pStyle w:val="38"/>
              <w:rPr>
                <w:rFonts w:hint="default" w:ascii="Times New Roman" w:hAnsi="Times New Roman" w:eastAsia="宋体" w:cs="Times New Roman"/>
                <w:snapToGrid w:val="0"/>
                <w:color w:val="FF0000"/>
                <w:sz w:val="21"/>
                <w:szCs w:val="21"/>
                <w:highlight w:val="green"/>
              </w:rPr>
            </w:pPr>
            <w:r>
              <w:rPr>
                <w:rFonts w:hint="eastAsia" w:ascii="Times New Roman" w:hAnsi="Times New Roman" w:eastAsia="宋体" w:cs="Times New Roman"/>
                <w:snapToGrid w:val="0"/>
                <w:color w:val="FF0000"/>
                <w:sz w:val="21"/>
                <w:szCs w:val="21"/>
                <w:highlight w:val="green"/>
                <w:lang w:val="en-US" w:eastAsia="en-US"/>
              </w:rPr>
              <w:t>硫化氢、氨排放速率执行《恶臭污染物排放标准》（GB14554-93）表2中15m高排气筒标准要求、臭气浓度执行《恶臭污染物排放标准》（GB14554-93）表2中15m高排气筒标准要求。</w:t>
            </w:r>
          </w:p>
        </w:tc>
      </w:tr>
      <w:tr w14:paraId="0F31CF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shd w:val="clear" w:color="auto" w:fill="auto"/>
            <w:vAlign w:val="center"/>
          </w:tcPr>
          <w:p w14:paraId="75419F5D">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噪声</w:t>
            </w:r>
          </w:p>
        </w:tc>
        <w:tc>
          <w:tcPr>
            <w:tcW w:w="1023" w:type="dxa"/>
            <w:shd w:val="clear" w:color="auto" w:fill="auto"/>
            <w:vAlign w:val="center"/>
          </w:tcPr>
          <w:p w14:paraId="718B9730">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厂界噪声</w:t>
            </w:r>
          </w:p>
        </w:tc>
        <w:tc>
          <w:tcPr>
            <w:tcW w:w="2141" w:type="dxa"/>
            <w:shd w:val="clear" w:color="auto" w:fill="auto"/>
            <w:vAlign w:val="center"/>
          </w:tcPr>
          <w:p w14:paraId="1333F591">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设备噪声、牛叫等</w:t>
            </w:r>
          </w:p>
        </w:tc>
        <w:tc>
          <w:tcPr>
            <w:tcW w:w="2139" w:type="dxa"/>
            <w:shd w:val="clear" w:color="auto" w:fill="auto"/>
            <w:vAlign w:val="center"/>
          </w:tcPr>
          <w:p w14:paraId="4B606928">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噪声</w:t>
            </w:r>
          </w:p>
        </w:tc>
        <w:tc>
          <w:tcPr>
            <w:tcW w:w="4420" w:type="dxa"/>
            <w:shd w:val="clear" w:color="auto" w:fill="auto"/>
            <w:vAlign w:val="center"/>
          </w:tcPr>
          <w:p w14:paraId="4CAF072F">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隔声、减振，并加强场区绿化</w:t>
            </w:r>
          </w:p>
        </w:tc>
        <w:tc>
          <w:tcPr>
            <w:tcW w:w="3203" w:type="dxa"/>
            <w:shd w:val="clear" w:color="auto" w:fill="auto"/>
            <w:vAlign w:val="center"/>
          </w:tcPr>
          <w:p w14:paraId="71B3863D">
            <w:pPr>
              <w:pStyle w:val="38"/>
              <w:jc w:val="both"/>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eastAsia="zh-CN"/>
              </w:rPr>
              <w:t>厂界</w:t>
            </w:r>
            <w:r>
              <w:rPr>
                <w:rFonts w:hint="default" w:ascii="Times New Roman" w:hAnsi="Times New Roman" w:eastAsia="宋体" w:cs="Times New Roman"/>
                <w:snapToGrid w:val="0"/>
                <w:color w:val="FF0000"/>
                <w:sz w:val="21"/>
                <w:szCs w:val="21"/>
                <w:highlight w:val="none"/>
              </w:rPr>
              <w:t>执行《工业企业厂界环境噪声排放标准》表1中</w:t>
            </w:r>
            <w:r>
              <w:rPr>
                <w:rFonts w:hint="default" w:ascii="Times New Roman" w:hAnsi="Times New Roman" w:eastAsia="宋体" w:cs="Times New Roman"/>
                <w:snapToGrid w:val="0"/>
                <w:color w:val="FF0000"/>
                <w:sz w:val="21"/>
                <w:szCs w:val="21"/>
                <w:highlight w:val="none"/>
                <w:lang w:val="en-US" w:eastAsia="zh-CN"/>
              </w:rPr>
              <w:t>1</w:t>
            </w:r>
            <w:r>
              <w:rPr>
                <w:rFonts w:hint="default" w:ascii="Times New Roman" w:hAnsi="Times New Roman" w:eastAsia="宋体" w:cs="Times New Roman"/>
                <w:snapToGrid w:val="0"/>
                <w:color w:val="FF0000"/>
                <w:sz w:val="21"/>
                <w:szCs w:val="21"/>
                <w:highlight w:val="none"/>
              </w:rPr>
              <w:t>类标准</w:t>
            </w:r>
          </w:p>
        </w:tc>
      </w:tr>
      <w:tr w14:paraId="70CF16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restart"/>
            <w:shd w:val="clear" w:color="auto" w:fill="auto"/>
            <w:vAlign w:val="center"/>
          </w:tcPr>
          <w:p w14:paraId="04E47106">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固废</w:t>
            </w:r>
          </w:p>
        </w:tc>
        <w:tc>
          <w:tcPr>
            <w:tcW w:w="1023" w:type="dxa"/>
            <w:shd w:val="clear" w:color="auto" w:fill="auto"/>
            <w:vAlign w:val="center"/>
          </w:tcPr>
          <w:p w14:paraId="4AD09798">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养殖区</w:t>
            </w:r>
          </w:p>
        </w:tc>
        <w:tc>
          <w:tcPr>
            <w:tcW w:w="2141" w:type="dxa"/>
            <w:shd w:val="clear" w:color="auto" w:fill="auto"/>
            <w:vAlign w:val="center"/>
          </w:tcPr>
          <w:p w14:paraId="3F5486B3">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牛舍</w:t>
            </w:r>
          </w:p>
        </w:tc>
        <w:tc>
          <w:tcPr>
            <w:tcW w:w="2139" w:type="dxa"/>
            <w:shd w:val="clear" w:color="auto" w:fill="auto"/>
            <w:vAlign w:val="center"/>
          </w:tcPr>
          <w:p w14:paraId="28C04AC2">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病死牛</w:t>
            </w:r>
            <w:r>
              <w:rPr>
                <w:rFonts w:hint="default" w:ascii="Times New Roman" w:hAnsi="Times New Roman" w:eastAsia="宋体" w:cs="Times New Roman"/>
                <w:snapToGrid w:val="0"/>
                <w:color w:val="FF0000"/>
                <w:sz w:val="21"/>
                <w:szCs w:val="21"/>
                <w:highlight w:val="none"/>
                <w:lang w:eastAsia="zh-CN"/>
              </w:rPr>
              <w:t>、</w:t>
            </w:r>
            <w:r>
              <w:rPr>
                <w:rFonts w:hint="default" w:ascii="Times New Roman" w:hAnsi="Times New Roman" w:eastAsia="宋体" w:cs="Times New Roman"/>
                <w:snapToGrid w:val="0"/>
                <w:color w:val="FF0000"/>
                <w:sz w:val="21"/>
                <w:szCs w:val="21"/>
                <w:highlight w:val="none"/>
                <w:lang w:val="en-US" w:eastAsia="zh-CN"/>
              </w:rPr>
              <w:t>分娩废物</w:t>
            </w:r>
          </w:p>
        </w:tc>
        <w:tc>
          <w:tcPr>
            <w:tcW w:w="4420" w:type="dxa"/>
            <w:shd w:val="clear" w:color="auto" w:fill="auto"/>
            <w:vAlign w:val="center"/>
          </w:tcPr>
          <w:p w14:paraId="7400C41F">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不得随意处置，外运有资质单位统一处理</w:t>
            </w:r>
          </w:p>
        </w:tc>
        <w:tc>
          <w:tcPr>
            <w:tcW w:w="3203" w:type="dxa"/>
            <w:shd w:val="clear" w:color="auto" w:fill="auto"/>
            <w:vAlign w:val="center"/>
          </w:tcPr>
          <w:p w14:paraId="5C70DCAF">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不外排，</w:t>
            </w:r>
            <w:r>
              <w:rPr>
                <w:rFonts w:hint="default" w:ascii="Times New Roman" w:hAnsi="Times New Roman" w:eastAsia="宋体" w:cs="Times New Roman"/>
                <w:snapToGrid w:val="0"/>
                <w:color w:val="FF0000"/>
                <w:sz w:val="21"/>
                <w:szCs w:val="21"/>
                <w:highlight w:val="none"/>
                <w:lang w:eastAsia="zh-CN"/>
              </w:rPr>
              <w:t>处置</w:t>
            </w:r>
            <w:r>
              <w:rPr>
                <w:rFonts w:hint="default" w:ascii="Times New Roman" w:hAnsi="Times New Roman" w:eastAsia="宋体" w:cs="Times New Roman"/>
                <w:snapToGrid w:val="0"/>
                <w:color w:val="FF0000"/>
                <w:sz w:val="21"/>
                <w:szCs w:val="21"/>
                <w:highlight w:val="none"/>
              </w:rPr>
              <w:t>率达100%</w:t>
            </w:r>
          </w:p>
        </w:tc>
      </w:tr>
      <w:tr w14:paraId="60681C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continue"/>
            <w:shd w:val="clear" w:color="auto" w:fill="auto"/>
            <w:vAlign w:val="center"/>
          </w:tcPr>
          <w:p w14:paraId="6F85AFFF">
            <w:pPr>
              <w:pStyle w:val="38"/>
              <w:rPr>
                <w:rFonts w:hint="default" w:ascii="Times New Roman" w:hAnsi="Times New Roman" w:eastAsia="宋体" w:cs="Times New Roman"/>
                <w:snapToGrid w:val="0"/>
                <w:color w:val="FF0000"/>
                <w:sz w:val="21"/>
                <w:szCs w:val="21"/>
                <w:highlight w:val="none"/>
              </w:rPr>
            </w:pPr>
          </w:p>
        </w:tc>
        <w:tc>
          <w:tcPr>
            <w:tcW w:w="1023" w:type="dxa"/>
            <w:shd w:val="clear" w:color="auto" w:fill="auto"/>
            <w:vAlign w:val="center"/>
          </w:tcPr>
          <w:p w14:paraId="76BDC198">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生活区</w:t>
            </w:r>
          </w:p>
        </w:tc>
        <w:tc>
          <w:tcPr>
            <w:tcW w:w="2141" w:type="dxa"/>
            <w:shd w:val="clear" w:color="auto" w:fill="auto"/>
            <w:vAlign w:val="center"/>
          </w:tcPr>
          <w:p w14:paraId="68B8DD13">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办公室</w:t>
            </w:r>
          </w:p>
        </w:tc>
        <w:tc>
          <w:tcPr>
            <w:tcW w:w="2139" w:type="dxa"/>
            <w:shd w:val="clear" w:color="auto" w:fill="auto"/>
            <w:vAlign w:val="center"/>
          </w:tcPr>
          <w:p w14:paraId="170621A8">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生活垃圾</w:t>
            </w:r>
          </w:p>
        </w:tc>
        <w:tc>
          <w:tcPr>
            <w:tcW w:w="4420" w:type="dxa"/>
            <w:shd w:val="clear" w:color="auto" w:fill="auto"/>
            <w:vAlign w:val="center"/>
          </w:tcPr>
          <w:p w14:paraId="6145F841">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垃圾箱收集</w:t>
            </w:r>
          </w:p>
        </w:tc>
        <w:tc>
          <w:tcPr>
            <w:tcW w:w="3203" w:type="dxa"/>
            <w:shd w:val="clear" w:color="auto" w:fill="auto"/>
            <w:vAlign w:val="center"/>
          </w:tcPr>
          <w:p w14:paraId="5451C7BA">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由市政环卫部门统一处理</w:t>
            </w:r>
          </w:p>
        </w:tc>
      </w:tr>
      <w:tr w14:paraId="30258F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continue"/>
            <w:shd w:val="clear" w:color="auto" w:fill="auto"/>
            <w:vAlign w:val="center"/>
          </w:tcPr>
          <w:p w14:paraId="2CC21212">
            <w:pPr>
              <w:pStyle w:val="38"/>
              <w:rPr>
                <w:rFonts w:hint="default" w:ascii="Times New Roman" w:hAnsi="Times New Roman" w:eastAsia="宋体" w:cs="Times New Roman"/>
                <w:snapToGrid w:val="0"/>
                <w:color w:val="FF0000"/>
                <w:sz w:val="21"/>
                <w:szCs w:val="21"/>
                <w:highlight w:val="none"/>
              </w:rPr>
            </w:pPr>
          </w:p>
        </w:tc>
        <w:tc>
          <w:tcPr>
            <w:tcW w:w="1023" w:type="dxa"/>
            <w:shd w:val="clear" w:color="auto" w:fill="auto"/>
            <w:vAlign w:val="center"/>
          </w:tcPr>
          <w:p w14:paraId="2C3BFB55">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粪污处理区</w:t>
            </w:r>
          </w:p>
        </w:tc>
        <w:tc>
          <w:tcPr>
            <w:tcW w:w="2141" w:type="dxa"/>
            <w:shd w:val="clear" w:color="auto" w:fill="auto"/>
            <w:vAlign w:val="center"/>
          </w:tcPr>
          <w:p w14:paraId="1425A79A">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存放使用过的发酵床</w:t>
            </w:r>
          </w:p>
        </w:tc>
        <w:tc>
          <w:tcPr>
            <w:tcW w:w="2139" w:type="dxa"/>
            <w:shd w:val="clear" w:color="auto" w:fill="auto"/>
            <w:vAlign w:val="center"/>
          </w:tcPr>
          <w:p w14:paraId="039B6982">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val="en-US" w:eastAsia="zh-CN"/>
              </w:rPr>
              <w:t>发酵床</w:t>
            </w:r>
            <w:r>
              <w:rPr>
                <w:rFonts w:hint="default" w:ascii="Times New Roman" w:hAnsi="Times New Roman" w:eastAsia="宋体" w:cs="Times New Roman"/>
                <w:snapToGrid w:val="0"/>
                <w:color w:val="FF0000"/>
                <w:sz w:val="21"/>
                <w:szCs w:val="21"/>
                <w:highlight w:val="none"/>
              </w:rPr>
              <w:t>牛粪</w:t>
            </w:r>
          </w:p>
        </w:tc>
        <w:tc>
          <w:tcPr>
            <w:tcW w:w="4420" w:type="dxa"/>
            <w:shd w:val="clear" w:color="auto" w:fill="auto"/>
            <w:vAlign w:val="center"/>
          </w:tcPr>
          <w:p w14:paraId="7C2B5A4B">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外运</w:t>
            </w:r>
            <w:r>
              <w:rPr>
                <w:rFonts w:hint="default" w:ascii="Times New Roman" w:hAnsi="Times New Roman" w:eastAsia="宋体" w:cs="Times New Roman"/>
                <w:snapToGrid w:val="0"/>
                <w:color w:val="FF0000"/>
                <w:sz w:val="21"/>
                <w:szCs w:val="21"/>
                <w:highlight w:val="none"/>
                <w:lang w:val="en-US" w:eastAsia="zh-CN"/>
              </w:rPr>
              <w:t>集贤县远东牧业有限公司、双鸭山市永胜农机合作社</w:t>
            </w:r>
            <w:r>
              <w:rPr>
                <w:rFonts w:hint="default" w:ascii="Times New Roman" w:hAnsi="Times New Roman" w:eastAsia="宋体" w:cs="Times New Roman"/>
                <w:snapToGrid w:val="0"/>
                <w:color w:val="FF0000"/>
                <w:sz w:val="21"/>
                <w:szCs w:val="21"/>
                <w:highlight w:val="none"/>
              </w:rPr>
              <w:t>生产有机肥</w:t>
            </w:r>
          </w:p>
        </w:tc>
        <w:tc>
          <w:tcPr>
            <w:tcW w:w="3203" w:type="dxa"/>
            <w:vMerge w:val="restart"/>
            <w:shd w:val="clear" w:color="auto" w:fill="auto"/>
            <w:vAlign w:val="center"/>
          </w:tcPr>
          <w:p w14:paraId="2633E6AF">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不外排，</w:t>
            </w:r>
            <w:r>
              <w:rPr>
                <w:rFonts w:hint="default" w:ascii="Times New Roman" w:hAnsi="Times New Roman" w:eastAsia="宋体" w:cs="Times New Roman"/>
                <w:snapToGrid w:val="0"/>
                <w:color w:val="FF0000"/>
                <w:sz w:val="21"/>
                <w:szCs w:val="21"/>
                <w:highlight w:val="none"/>
                <w:lang w:eastAsia="zh-CN"/>
              </w:rPr>
              <w:t>处置</w:t>
            </w:r>
            <w:r>
              <w:rPr>
                <w:rFonts w:hint="default" w:ascii="Times New Roman" w:hAnsi="Times New Roman" w:eastAsia="宋体" w:cs="Times New Roman"/>
                <w:snapToGrid w:val="0"/>
                <w:color w:val="FF0000"/>
                <w:sz w:val="21"/>
                <w:szCs w:val="21"/>
                <w:highlight w:val="none"/>
              </w:rPr>
              <w:t>率达100%</w:t>
            </w:r>
          </w:p>
        </w:tc>
      </w:tr>
      <w:tr w14:paraId="5DD571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vMerge w:val="continue"/>
            <w:shd w:val="clear" w:color="auto" w:fill="auto"/>
            <w:vAlign w:val="center"/>
          </w:tcPr>
          <w:p w14:paraId="068A954A">
            <w:pPr>
              <w:pStyle w:val="38"/>
              <w:rPr>
                <w:rFonts w:hint="default" w:ascii="Times New Roman" w:hAnsi="Times New Roman" w:eastAsia="宋体" w:cs="Times New Roman"/>
                <w:snapToGrid w:val="0"/>
                <w:color w:val="FF0000"/>
                <w:sz w:val="21"/>
                <w:szCs w:val="21"/>
                <w:highlight w:val="none"/>
              </w:rPr>
            </w:pPr>
          </w:p>
        </w:tc>
        <w:tc>
          <w:tcPr>
            <w:tcW w:w="1023" w:type="dxa"/>
            <w:shd w:val="clear" w:color="auto" w:fill="auto"/>
            <w:vAlign w:val="center"/>
          </w:tcPr>
          <w:p w14:paraId="0D8DF720">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兽医室</w:t>
            </w:r>
          </w:p>
        </w:tc>
        <w:tc>
          <w:tcPr>
            <w:tcW w:w="2141" w:type="dxa"/>
            <w:shd w:val="clear" w:color="auto" w:fill="auto"/>
            <w:vAlign w:val="center"/>
          </w:tcPr>
          <w:p w14:paraId="1A4E45CB">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医疗</w:t>
            </w:r>
            <w:r>
              <w:rPr>
                <w:rFonts w:hint="default" w:ascii="Times New Roman" w:hAnsi="Times New Roman" w:eastAsia="宋体" w:cs="Times New Roman"/>
                <w:snapToGrid w:val="0"/>
                <w:color w:val="FF0000"/>
                <w:sz w:val="21"/>
                <w:szCs w:val="21"/>
                <w:highlight w:val="none"/>
                <w:lang w:eastAsia="zh-CN"/>
              </w:rPr>
              <w:t>过程</w:t>
            </w:r>
          </w:p>
        </w:tc>
        <w:tc>
          <w:tcPr>
            <w:tcW w:w="2139" w:type="dxa"/>
            <w:shd w:val="clear" w:color="auto" w:fill="auto"/>
            <w:vAlign w:val="center"/>
          </w:tcPr>
          <w:p w14:paraId="47D834F1">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医疗废物</w:t>
            </w:r>
          </w:p>
        </w:tc>
        <w:tc>
          <w:tcPr>
            <w:tcW w:w="4420" w:type="dxa"/>
            <w:shd w:val="clear" w:color="auto" w:fill="auto"/>
            <w:vAlign w:val="center"/>
          </w:tcPr>
          <w:p w14:paraId="4C73E43B">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val="en-US" w:eastAsia="zh-CN"/>
              </w:rPr>
              <w:t>医疗废物</w:t>
            </w:r>
            <w:r>
              <w:rPr>
                <w:rFonts w:hint="default" w:ascii="Times New Roman" w:hAnsi="Times New Roman" w:eastAsia="宋体" w:cs="Times New Roman"/>
                <w:snapToGrid w:val="0"/>
                <w:color w:val="FF0000"/>
                <w:sz w:val="21"/>
                <w:szCs w:val="21"/>
                <w:highlight w:val="none"/>
              </w:rPr>
              <w:t>暂存间存放，交由有资质单位处置</w:t>
            </w:r>
          </w:p>
        </w:tc>
        <w:tc>
          <w:tcPr>
            <w:tcW w:w="3203" w:type="dxa"/>
            <w:vMerge w:val="continue"/>
            <w:shd w:val="clear" w:color="auto" w:fill="auto"/>
            <w:vAlign w:val="center"/>
          </w:tcPr>
          <w:p w14:paraId="15078DBE">
            <w:pPr>
              <w:pStyle w:val="38"/>
              <w:rPr>
                <w:rFonts w:hint="default" w:ascii="Times New Roman" w:hAnsi="Times New Roman" w:eastAsia="宋体" w:cs="Times New Roman"/>
                <w:snapToGrid w:val="0"/>
                <w:color w:val="FF0000"/>
                <w:sz w:val="21"/>
                <w:szCs w:val="21"/>
                <w:highlight w:val="none"/>
              </w:rPr>
            </w:pPr>
          </w:p>
        </w:tc>
      </w:tr>
      <w:tr w14:paraId="109014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shd w:val="clear" w:color="auto" w:fill="auto"/>
            <w:vAlign w:val="center"/>
          </w:tcPr>
          <w:p w14:paraId="606F9C7A">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其它</w:t>
            </w:r>
          </w:p>
        </w:tc>
        <w:tc>
          <w:tcPr>
            <w:tcW w:w="1023" w:type="dxa"/>
            <w:shd w:val="clear" w:color="auto" w:fill="auto"/>
            <w:vAlign w:val="center"/>
          </w:tcPr>
          <w:p w14:paraId="34D2ECE2">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eastAsia="zh-CN"/>
              </w:rPr>
              <w:t>厂界</w:t>
            </w:r>
            <w:r>
              <w:rPr>
                <w:rFonts w:hint="default" w:ascii="Times New Roman" w:hAnsi="Times New Roman" w:eastAsia="宋体" w:cs="Times New Roman"/>
                <w:snapToGrid w:val="0"/>
                <w:color w:val="FF0000"/>
                <w:sz w:val="21"/>
                <w:szCs w:val="21"/>
                <w:highlight w:val="none"/>
              </w:rPr>
              <w:t>、场区绿化</w:t>
            </w:r>
          </w:p>
        </w:tc>
        <w:tc>
          <w:tcPr>
            <w:tcW w:w="2141" w:type="dxa"/>
            <w:shd w:val="clear" w:color="auto" w:fill="auto"/>
            <w:vAlign w:val="center"/>
          </w:tcPr>
          <w:p w14:paraId="1AD6578C">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eastAsia="zh-CN"/>
              </w:rPr>
              <w:t>厂界</w:t>
            </w:r>
            <w:r>
              <w:rPr>
                <w:rFonts w:hint="default" w:ascii="Times New Roman" w:hAnsi="Times New Roman" w:eastAsia="宋体" w:cs="Times New Roman"/>
                <w:snapToGrid w:val="0"/>
                <w:color w:val="FF0000"/>
                <w:sz w:val="21"/>
                <w:szCs w:val="21"/>
                <w:highlight w:val="none"/>
              </w:rPr>
              <w:t>四周，各功能区间</w:t>
            </w:r>
          </w:p>
        </w:tc>
        <w:tc>
          <w:tcPr>
            <w:tcW w:w="2139" w:type="dxa"/>
            <w:shd w:val="clear" w:color="auto" w:fill="auto"/>
            <w:vAlign w:val="center"/>
          </w:tcPr>
          <w:p w14:paraId="2BE9473D">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w:t>
            </w:r>
          </w:p>
        </w:tc>
        <w:tc>
          <w:tcPr>
            <w:tcW w:w="4420" w:type="dxa"/>
            <w:shd w:val="clear" w:color="auto" w:fill="auto"/>
            <w:vAlign w:val="center"/>
          </w:tcPr>
          <w:p w14:paraId="2F5EBD89">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lang w:eastAsia="zh-CN"/>
              </w:rPr>
              <w:t>厂界</w:t>
            </w:r>
            <w:r>
              <w:rPr>
                <w:rFonts w:hint="default" w:ascii="Times New Roman" w:hAnsi="Times New Roman" w:eastAsia="宋体" w:cs="Times New Roman"/>
                <w:snapToGrid w:val="0"/>
                <w:color w:val="FF0000"/>
                <w:sz w:val="21"/>
                <w:szCs w:val="21"/>
                <w:highlight w:val="none"/>
              </w:rPr>
              <w:t>四周、场区各功能区之间、场区道路乔、灌、草结合绿化</w:t>
            </w:r>
          </w:p>
        </w:tc>
        <w:tc>
          <w:tcPr>
            <w:tcW w:w="3203" w:type="dxa"/>
            <w:shd w:val="clear" w:color="auto" w:fill="auto"/>
            <w:vAlign w:val="center"/>
          </w:tcPr>
          <w:p w14:paraId="609A0A75">
            <w:pPr>
              <w:pStyle w:val="38"/>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sz w:val="21"/>
                <w:szCs w:val="21"/>
                <w:highlight w:val="none"/>
              </w:rPr>
              <w:t>改善场区对外、对内环境，绿化率不低于30%</w:t>
            </w:r>
          </w:p>
        </w:tc>
      </w:tr>
      <w:tr w14:paraId="330C46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shd w:val="clear" w:color="auto" w:fill="auto"/>
            <w:vAlign w:val="center"/>
          </w:tcPr>
          <w:p w14:paraId="7EB24E71">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防渗</w:t>
            </w:r>
          </w:p>
        </w:tc>
        <w:tc>
          <w:tcPr>
            <w:tcW w:w="3164" w:type="dxa"/>
            <w:gridSpan w:val="2"/>
            <w:shd w:val="clear" w:color="auto" w:fill="auto"/>
            <w:vAlign w:val="center"/>
          </w:tcPr>
          <w:p w14:paraId="1EA1C984">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牛棚、运动场、粪污储存间、化粪池、青贮窖、办公室、医疗废物暂存间</w:t>
            </w:r>
          </w:p>
        </w:tc>
        <w:tc>
          <w:tcPr>
            <w:tcW w:w="9762" w:type="dxa"/>
            <w:gridSpan w:val="3"/>
            <w:shd w:val="clear" w:color="auto" w:fill="auto"/>
            <w:vAlign w:val="center"/>
          </w:tcPr>
          <w:p w14:paraId="63B91635">
            <w:pPr>
              <w:pageBreakBefore w:val="0"/>
              <w:kinsoku/>
              <w:wordWrap w:val="0"/>
              <w:overflowPunct/>
              <w:topLinePunct/>
              <w:autoSpaceDE/>
              <w:autoSpaceDN/>
              <w:bidi w:val="0"/>
              <w:rPr>
                <w:rFonts w:hint="default" w:ascii="Times New Roman" w:hAnsi="Times New Roman" w:eastAsia="宋体" w:cs="Times New Roman"/>
                <w:color w:val="FF0000"/>
                <w:sz w:val="21"/>
                <w:szCs w:val="21"/>
                <w:highlight w:val="none"/>
              </w:rPr>
            </w:pPr>
            <w:r>
              <w:rPr>
                <w:rFonts w:hint="default" w:ascii="Times New Roman" w:hAnsi="Times New Roman" w:eastAsia="宋体" w:cs="Times New Roman"/>
                <w:color w:val="FF0000"/>
                <w:sz w:val="21"/>
                <w:szCs w:val="21"/>
                <w:highlight w:val="none"/>
              </w:rPr>
              <w:t>①重点防渗区：</w:t>
            </w:r>
            <w:r>
              <w:rPr>
                <w:rFonts w:hint="default" w:ascii="Times New Roman" w:hAnsi="Times New Roman" w:eastAsia="宋体" w:cs="Times New Roman"/>
                <w:color w:val="FF0000"/>
                <w:sz w:val="21"/>
                <w:szCs w:val="21"/>
                <w:highlight w:val="none"/>
                <w:lang w:val="en-US" w:eastAsia="zh-CN"/>
              </w:rPr>
              <w:t>医疗</w:t>
            </w:r>
            <w:r>
              <w:rPr>
                <w:rFonts w:hint="default" w:ascii="Times New Roman" w:hAnsi="Times New Roman" w:eastAsia="宋体" w:cs="Times New Roman"/>
                <w:color w:val="FF0000"/>
                <w:sz w:val="21"/>
                <w:szCs w:val="21"/>
                <w:highlight w:val="none"/>
              </w:rPr>
              <w:t>废物暂存间进行重点防渗处理防渗等级应达到等效黏土防渗层Mb≥6.0m，K≤1×10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cm/s，或参照GB18598执行；</w:t>
            </w:r>
            <w:r>
              <w:rPr>
                <w:rFonts w:hint="default" w:ascii="Times New Roman" w:hAnsi="Times New Roman" w:eastAsia="宋体" w:cs="Times New Roman"/>
                <w:color w:val="FF0000"/>
                <w:sz w:val="21"/>
                <w:szCs w:val="21"/>
                <w:highlight w:val="none"/>
                <w:lang w:val="en-US" w:eastAsia="zh-CN"/>
              </w:rPr>
              <w:t>医疗</w:t>
            </w:r>
            <w:r>
              <w:rPr>
                <w:rFonts w:hint="default" w:ascii="Times New Roman" w:hAnsi="Times New Roman" w:eastAsia="宋体" w:cs="Times New Roman"/>
                <w:color w:val="FF0000"/>
                <w:sz w:val="21"/>
                <w:szCs w:val="21"/>
                <w:highlight w:val="none"/>
              </w:rPr>
              <w:t>废物暂存间按照《危险废物贮存污染控制标准》</w:t>
            </w:r>
            <w:r>
              <w:rPr>
                <w:rFonts w:hint="default" w:ascii="Times New Roman" w:hAnsi="Times New Roman" w:eastAsia="宋体" w:cs="Times New Roman"/>
                <w:color w:val="FF0000"/>
                <w:sz w:val="21"/>
                <w:szCs w:val="21"/>
                <w:highlight w:val="none"/>
                <w:lang w:val="en-US" w:eastAsia="zh-CN"/>
              </w:rPr>
              <w:t>（GB18597-2023）</w:t>
            </w:r>
            <w:r>
              <w:rPr>
                <w:rFonts w:hint="default" w:ascii="Times New Roman" w:hAnsi="Times New Roman" w:eastAsia="宋体" w:cs="Times New Roman"/>
                <w:color w:val="FF0000"/>
                <w:sz w:val="21"/>
                <w:szCs w:val="21"/>
                <w:highlight w:val="none"/>
              </w:rPr>
              <w:t>中相关要求采取防渗措施，基础必须防渗，防渗层为至少1m厚粘土层（渗透系数≤10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cm/s），或2mm厚高密度聚乙烯，或至少2mm厚的其他人工材料，渗透系数≤10</w:t>
            </w:r>
            <w:r>
              <w:rPr>
                <w:rFonts w:hint="default" w:ascii="Times New Roman" w:hAnsi="Times New Roman" w:eastAsia="宋体" w:cs="Times New Roman"/>
                <w:color w:val="FF0000"/>
                <w:sz w:val="21"/>
                <w:szCs w:val="21"/>
                <w:highlight w:val="none"/>
                <w:vertAlign w:val="superscript"/>
              </w:rPr>
              <w:t>-10</w:t>
            </w:r>
            <w:r>
              <w:rPr>
                <w:rFonts w:hint="default" w:ascii="Times New Roman" w:hAnsi="Times New Roman" w:eastAsia="宋体" w:cs="Times New Roman"/>
                <w:color w:val="FF0000"/>
                <w:sz w:val="21"/>
                <w:szCs w:val="21"/>
                <w:highlight w:val="none"/>
              </w:rPr>
              <w:t>cm/s</w:t>
            </w:r>
          </w:p>
          <w:p w14:paraId="5385B8FB">
            <w:pPr>
              <w:pageBreakBefore w:val="0"/>
              <w:kinsoku/>
              <w:wordWrap w:val="0"/>
              <w:overflowPunct/>
              <w:topLinePunct/>
              <w:autoSpaceDE/>
              <w:autoSpaceDN/>
              <w:bidi w:val="0"/>
              <w:rPr>
                <w:rFonts w:hint="default" w:ascii="Times New Roman" w:hAnsi="Times New Roman" w:eastAsia="宋体" w:cs="Times New Roman"/>
                <w:color w:val="FF0000"/>
                <w:sz w:val="21"/>
                <w:szCs w:val="21"/>
                <w:highlight w:val="none"/>
                <w:lang w:eastAsia="zh-CN"/>
              </w:rPr>
            </w:pPr>
            <w:r>
              <w:rPr>
                <w:rFonts w:hint="default" w:ascii="Times New Roman" w:hAnsi="Times New Roman" w:eastAsia="宋体" w:cs="Times New Roman"/>
                <w:color w:val="FF0000"/>
                <w:sz w:val="21"/>
                <w:szCs w:val="21"/>
                <w:highlight w:val="none"/>
              </w:rPr>
              <w:t>②一般防渗区：</w:t>
            </w:r>
            <w:r>
              <w:rPr>
                <w:rFonts w:hint="default" w:ascii="Times New Roman" w:hAnsi="Times New Roman" w:eastAsia="宋体" w:cs="Times New Roman"/>
                <w:color w:val="FF0000"/>
                <w:sz w:val="21"/>
                <w:szCs w:val="21"/>
                <w:highlight w:val="none"/>
                <w:lang w:val="en-US" w:eastAsia="zh-CN"/>
              </w:rPr>
              <w:t>各牛舍、运动场</w:t>
            </w:r>
            <w:r>
              <w:rPr>
                <w:rFonts w:hint="eastAsia" w:ascii="Times New Roman" w:hAnsi="Times New Roman" w:eastAsia="宋体" w:cs="Times New Roman"/>
                <w:color w:val="FF0000"/>
                <w:sz w:val="21"/>
                <w:szCs w:val="21"/>
                <w:highlight w:val="none"/>
                <w:lang w:val="en-US" w:eastAsia="zh-CN"/>
              </w:rPr>
              <w:t>、</w:t>
            </w:r>
            <w:r>
              <w:rPr>
                <w:rFonts w:hint="default" w:ascii="Times New Roman" w:hAnsi="Times New Roman" w:eastAsia="宋体" w:cs="Times New Roman"/>
                <w:color w:val="FF0000"/>
                <w:sz w:val="21"/>
                <w:szCs w:val="21"/>
                <w:highlight w:val="none"/>
                <w:lang w:val="en-US" w:eastAsia="zh-CN"/>
              </w:rPr>
              <w:t>青储窖、化粪池、粪污储存间</w:t>
            </w:r>
            <w:r>
              <w:rPr>
                <w:rFonts w:hint="default" w:ascii="Times New Roman" w:hAnsi="Times New Roman" w:eastAsia="宋体" w:cs="Times New Roman"/>
                <w:color w:val="FF0000"/>
                <w:sz w:val="21"/>
                <w:szCs w:val="21"/>
                <w:highlight w:val="none"/>
              </w:rPr>
              <w:t>进行一般防渗处理，防渗等级应达到等效黏土防渗层Mb≥1.5m，K≤1×10</w:t>
            </w:r>
            <w:r>
              <w:rPr>
                <w:rFonts w:hint="default" w:ascii="Times New Roman" w:hAnsi="Times New Roman" w:eastAsia="宋体" w:cs="Times New Roman"/>
                <w:color w:val="FF0000"/>
                <w:sz w:val="21"/>
                <w:szCs w:val="21"/>
                <w:highlight w:val="none"/>
                <w:vertAlign w:val="superscript"/>
              </w:rPr>
              <w:t>-7</w:t>
            </w:r>
            <w:r>
              <w:rPr>
                <w:rFonts w:hint="default" w:ascii="Times New Roman" w:hAnsi="Times New Roman" w:eastAsia="宋体" w:cs="Times New Roman"/>
                <w:color w:val="FF0000"/>
                <w:sz w:val="21"/>
                <w:szCs w:val="21"/>
                <w:highlight w:val="none"/>
              </w:rPr>
              <w:t>cm/s</w:t>
            </w:r>
            <w:r>
              <w:rPr>
                <w:rFonts w:hint="default" w:ascii="Times New Roman" w:hAnsi="Times New Roman" w:eastAsia="宋体" w:cs="Times New Roman"/>
                <w:color w:val="FF0000"/>
                <w:sz w:val="21"/>
                <w:szCs w:val="21"/>
                <w:highlight w:val="none"/>
                <w:lang w:eastAsia="zh-CN"/>
              </w:rPr>
              <w:t>；</w:t>
            </w:r>
          </w:p>
          <w:p w14:paraId="43DBA83B">
            <w:pPr>
              <w:pStyle w:val="38"/>
              <w:jc w:val="both"/>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color w:val="FF0000"/>
                <w:sz w:val="21"/>
                <w:szCs w:val="21"/>
                <w:highlight w:val="none"/>
              </w:rPr>
              <w:t>③简单防渗区：</w:t>
            </w:r>
            <w:r>
              <w:rPr>
                <w:rFonts w:hint="default" w:ascii="Times New Roman" w:hAnsi="Times New Roman" w:eastAsia="宋体" w:cs="Times New Roman"/>
                <w:color w:val="FF0000"/>
                <w:sz w:val="21"/>
                <w:szCs w:val="21"/>
                <w:highlight w:val="none"/>
                <w:lang w:val="en-US" w:eastAsia="zh-CN"/>
              </w:rPr>
              <w:t>办公室、</w:t>
            </w:r>
            <w:r>
              <w:rPr>
                <w:rFonts w:hint="default" w:ascii="Times New Roman" w:hAnsi="Times New Roman" w:eastAsia="宋体" w:cs="Times New Roman"/>
                <w:color w:val="FF0000"/>
                <w:sz w:val="21"/>
                <w:szCs w:val="21"/>
                <w:highlight w:val="none"/>
              </w:rPr>
              <w:t>道路进行简单防渗处理。一般地面硬化</w:t>
            </w:r>
            <w:r>
              <w:rPr>
                <w:rFonts w:hint="default" w:ascii="Times New Roman" w:hAnsi="Times New Roman" w:eastAsia="宋体" w:cs="Times New Roman"/>
                <w:color w:val="FF0000"/>
                <w:sz w:val="21"/>
                <w:szCs w:val="21"/>
                <w:highlight w:val="none"/>
                <w:lang w:eastAsia="zh-CN"/>
              </w:rPr>
              <w:t>；</w:t>
            </w:r>
          </w:p>
        </w:tc>
      </w:tr>
      <w:tr w14:paraId="54542B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shd w:val="clear" w:color="auto" w:fill="auto"/>
            <w:vAlign w:val="center"/>
          </w:tcPr>
          <w:p w14:paraId="06F7EA81">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环境风险</w:t>
            </w:r>
          </w:p>
        </w:tc>
        <w:tc>
          <w:tcPr>
            <w:tcW w:w="12926" w:type="dxa"/>
            <w:gridSpan w:val="5"/>
            <w:shd w:val="clear" w:color="auto" w:fill="auto"/>
            <w:vAlign w:val="center"/>
          </w:tcPr>
          <w:p w14:paraId="631ADA47">
            <w:pPr>
              <w:keepNext w:val="0"/>
              <w:keepLines w:val="0"/>
              <w:widowControl/>
              <w:suppressLineNumbers w:val="0"/>
              <w:jc w:val="center"/>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kern w:val="0"/>
                <w:sz w:val="21"/>
                <w:szCs w:val="21"/>
                <w:lang w:val="en-US" w:eastAsia="zh-CN" w:bidi="ar"/>
              </w:rPr>
              <w:t>见风险章节，风险事故应急设施及防范措施验收内容</w:t>
            </w:r>
          </w:p>
        </w:tc>
      </w:tr>
      <w:tr w14:paraId="71B461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77" w:type="dxa"/>
            <w:shd w:val="clear" w:color="auto" w:fill="auto"/>
            <w:vAlign w:val="center"/>
          </w:tcPr>
          <w:p w14:paraId="3CC6C87F">
            <w:pPr>
              <w:pStyle w:val="38"/>
              <w:rPr>
                <w:rFonts w:hint="default" w:ascii="Times New Roman" w:hAnsi="Times New Roman" w:eastAsia="宋体" w:cs="Times New Roman"/>
                <w:snapToGrid w:val="0"/>
                <w:color w:val="FF0000"/>
                <w:sz w:val="21"/>
                <w:szCs w:val="21"/>
                <w:highlight w:val="none"/>
                <w:lang w:val="en-US" w:eastAsia="zh-CN"/>
              </w:rPr>
            </w:pPr>
            <w:r>
              <w:rPr>
                <w:rFonts w:hint="default" w:ascii="Times New Roman" w:hAnsi="Times New Roman" w:eastAsia="宋体" w:cs="Times New Roman"/>
                <w:snapToGrid w:val="0"/>
                <w:color w:val="FF0000"/>
                <w:sz w:val="21"/>
                <w:szCs w:val="21"/>
                <w:highlight w:val="none"/>
                <w:lang w:val="en-US" w:eastAsia="zh-CN"/>
              </w:rPr>
              <w:t>跟踪监测</w:t>
            </w:r>
          </w:p>
        </w:tc>
        <w:tc>
          <w:tcPr>
            <w:tcW w:w="12926" w:type="dxa"/>
            <w:gridSpan w:val="5"/>
            <w:shd w:val="clear" w:color="auto" w:fill="auto"/>
            <w:vAlign w:val="center"/>
          </w:tcPr>
          <w:p w14:paraId="0909618C">
            <w:pPr>
              <w:keepNext w:val="0"/>
              <w:keepLines w:val="0"/>
              <w:widowControl/>
              <w:suppressLineNumbers w:val="0"/>
              <w:jc w:val="center"/>
              <w:rPr>
                <w:rFonts w:hint="default" w:ascii="Times New Roman" w:hAnsi="Times New Roman" w:eastAsia="宋体" w:cs="Times New Roman"/>
                <w:snapToGrid w:val="0"/>
                <w:color w:val="FF0000"/>
                <w:sz w:val="21"/>
                <w:szCs w:val="21"/>
                <w:highlight w:val="none"/>
              </w:rPr>
            </w:pPr>
            <w:r>
              <w:rPr>
                <w:rFonts w:hint="default" w:ascii="Times New Roman" w:hAnsi="Times New Roman" w:eastAsia="宋体" w:cs="Times New Roman"/>
                <w:snapToGrid w:val="0"/>
                <w:color w:val="FF0000"/>
                <w:kern w:val="0"/>
                <w:sz w:val="21"/>
                <w:szCs w:val="21"/>
                <w:lang w:val="en-US" w:eastAsia="zh-CN" w:bidi="ar"/>
              </w:rPr>
              <w:t>大气、地下水、土壤跟踪监测详见监测计划章节</w:t>
            </w:r>
          </w:p>
        </w:tc>
      </w:tr>
    </w:tbl>
    <w:p w14:paraId="674FB4E5">
      <w:pPr>
        <w:rPr>
          <w:rFonts w:hint="default" w:ascii="Times New Roman" w:hAnsi="Times New Roman" w:eastAsia="Times New Roman" w:cs="Times New Roman"/>
          <w:b/>
          <w:bCs/>
          <w:color w:val="auto"/>
          <w:spacing w:val="-2"/>
          <w:sz w:val="24"/>
          <w:szCs w:val="24"/>
          <w:highlight w:val="none"/>
        </w:rPr>
        <w:sectPr>
          <w:headerReference r:id="rId48" w:type="default"/>
          <w:footerReference r:id="rId49"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56856916">
      <w:pPr>
        <w:keepNext/>
        <w:keepLines/>
        <w:pageBreakBefore w:val="0"/>
        <w:widowControl w:val="0"/>
        <w:kinsoku/>
        <w:wordWrap/>
        <w:overflowPunct/>
        <w:topLinePunct w:val="0"/>
        <w:autoSpaceDE/>
        <w:autoSpaceDN/>
        <w:bidi w:val="0"/>
        <w:adjustRightInd/>
        <w:snapToGrid/>
        <w:spacing w:line="360" w:lineRule="auto"/>
        <w:ind w:left="0"/>
        <w:contextualSpacing/>
        <w:jc w:val="left"/>
        <w:textAlignment w:val="auto"/>
        <w:outlineLvl w:val="1"/>
        <w:rPr>
          <w:rFonts w:hint="default" w:ascii="Times New Roman" w:hAnsi="Times New Roman" w:eastAsia="宋体" w:cs="Times New Roman"/>
          <w:b/>
          <w:bCs w:val="0"/>
          <w:snapToGrid w:val="0"/>
          <w:color w:val="auto"/>
          <w:kern w:val="0"/>
          <w:sz w:val="28"/>
          <w:szCs w:val="32"/>
          <w:lang w:eastAsia="zh-CN"/>
        </w:rPr>
      </w:pPr>
      <w:bookmarkStart w:id="271" w:name="_Toc25060"/>
      <w:r>
        <w:rPr>
          <w:rFonts w:hint="default" w:ascii="Times New Roman" w:hAnsi="Times New Roman" w:eastAsia="宋体" w:cs="Times New Roman"/>
          <w:b/>
          <w:bCs w:val="0"/>
          <w:snapToGrid w:val="0"/>
          <w:color w:val="auto"/>
          <w:kern w:val="0"/>
          <w:sz w:val="28"/>
          <w:szCs w:val="32"/>
          <w:lang w:eastAsia="zh-CN"/>
        </w:rPr>
        <w:t>8.3总量控制分析</w:t>
      </w:r>
      <w:bookmarkEnd w:id="271"/>
    </w:p>
    <w:p w14:paraId="5D9E67DD">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color w:val="auto"/>
          <w:sz w:val="28"/>
          <w:szCs w:val="28"/>
          <w:highlight w:val="none"/>
        </w:rPr>
      </w:pPr>
      <w:bookmarkStart w:id="272" w:name="_Toc22248"/>
      <w:r>
        <w:rPr>
          <w:rFonts w:hint="default" w:ascii="Times New Roman" w:hAnsi="Times New Roman" w:eastAsia="Times New Roman" w:cs="Times New Roman"/>
          <w:b/>
          <w:bCs/>
          <w:color w:val="auto"/>
          <w:spacing w:val="-2"/>
          <w:sz w:val="28"/>
          <w:szCs w:val="28"/>
          <w:highlight w:val="none"/>
        </w:rPr>
        <w:t>8.3.1</w:t>
      </w:r>
      <w:r>
        <w:rPr>
          <w:rFonts w:hint="default" w:ascii="Times New Roman" w:hAnsi="Times New Roman" w:eastAsia="宋体" w:cs="Times New Roman"/>
          <w:b/>
          <w:bCs/>
          <w:color w:val="auto"/>
          <w:spacing w:val="-2"/>
          <w:sz w:val="28"/>
          <w:szCs w:val="28"/>
          <w:highlight w:val="none"/>
        </w:rPr>
        <w:t>污染物排放总量控制原则</w:t>
      </w:r>
      <w:bookmarkEnd w:id="272"/>
    </w:p>
    <w:p w14:paraId="6E80C85F">
      <w:pPr>
        <w:pStyle w:val="40"/>
        <w:keepNext w:val="0"/>
        <w:keepLines w:val="0"/>
        <w:pageBreakBefore w:val="0"/>
        <w:widowControl/>
        <w:kinsoku/>
        <w:wordWrap w:val="0"/>
        <w:overflowPunct/>
        <w:topLinePunct/>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实施总量控制将促进资源、能源的</w:t>
      </w:r>
      <w:r>
        <w:rPr>
          <w:rFonts w:hint="eastAsia" w:ascii="Times New Roman" w:hAnsi="Times New Roman" w:eastAsia="宋体" w:cs="Times New Roman"/>
          <w:snapToGrid w:val="0"/>
          <w:color w:val="auto"/>
          <w:kern w:val="0"/>
          <w:sz w:val="24"/>
          <w:szCs w:val="24"/>
          <w:highlight w:val="none"/>
          <w:lang w:val="en-US" w:eastAsia="zh-CN" w:bidi="ar-SA"/>
        </w:rPr>
        <w:t>合理</w:t>
      </w:r>
      <w:r>
        <w:rPr>
          <w:rFonts w:hint="default" w:ascii="Times New Roman" w:hAnsi="Times New Roman" w:eastAsia="宋体" w:cs="Times New Roman"/>
          <w:snapToGrid w:val="0"/>
          <w:color w:val="auto"/>
          <w:kern w:val="0"/>
          <w:sz w:val="24"/>
          <w:szCs w:val="24"/>
          <w:highlight w:val="none"/>
          <w:lang w:val="en-US" w:eastAsia="en-US" w:bidi="ar-SA"/>
        </w:rPr>
        <w:t>利用和优化配置，加速产业结构的调整，实现经济增长方式的根本转变；实施总量控制可以较好地协调经济发展与环境保护之间的关系，推动可持续发展战略的实行。</w:t>
      </w:r>
    </w:p>
    <w:p w14:paraId="35C5A9C2">
      <w:pPr>
        <w:keepNext w:val="0"/>
        <w:keepLines w:val="0"/>
        <w:pageBreakBefore w:val="0"/>
        <w:widowControl/>
        <w:kinsoku/>
        <w:wordWrap w:val="0"/>
        <w:overflowPunct/>
        <w:topLinePunct/>
        <w:autoSpaceDE/>
        <w:autoSpaceDN/>
        <w:bidi w:val="0"/>
        <w:adjustRightInd w:val="0"/>
        <w:snapToGrid w:val="0"/>
        <w:spacing w:before="53" w:line="360" w:lineRule="auto"/>
        <w:ind w:left="38"/>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本工程属于养殖项目，总量控制应以</w:t>
      </w:r>
      <w:r>
        <w:rPr>
          <w:rFonts w:hint="default" w:ascii="Times New Roman" w:hAnsi="Times New Roman" w:eastAsia="宋体" w:cs="Times New Roman"/>
          <w:snapToGrid w:val="0"/>
          <w:color w:val="auto"/>
          <w:kern w:val="0"/>
          <w:sz w:val="24"/>
          <w:szCs w:val="24"/>
          <w:highlight w:val="none"/>
          <w:lang w:val="en-US" w:eastAsia="zh-CN" w:bidi="ar-SA"/>
        </w:rPr>
        <w:t>双鸭山</w:t>
      </w:r>
      <w:r>
        <w:rPr>
          <w:rFonts w:hint="default" w:ascii="Times New Roman" w:hAnsi="Times New Roman" w:eastAsia="宋体" w:cs="Times New Roman"/>
          <w:snapToGrid w:val="0"/>
          <w:color w:val="auto"/>
          <w:kern w:val="0"/>
          <w:sz w:val="24"/>
          <w:szCs w:val="24"/>
          <w:highlight w:val="none"/>
          <w:lang w:val="en-US" w:eastAsia="en-US" w:bidi="ar-SA"/>
        </w:rPr>
        <w:t>市总量控制规划为目标，将本工程投产后排放的污染物总量纳入其总量控制规划中，通过区域调整平衡，实现</w:t>
      </w:r>
      <w:r>
        <w:rPr>
          <w:rFonts w:hint="default" w:ascii="Times New Roman" w:hAnsi="Times New Roman" w:eastAsia="宋体" w:cs="Times New Roman"/>
          <w:snapToGrid w:val="0"/>
          <w:color w:val="auto"/>
          <w:kern w:val="0"/>
          <w:sz w:val="24"/>
          <w:szCs w:val="24"/>
          <w:highlight w:val="none"/>
          <w:lang w:val="en-US" w:eastAsia="zh-CN" w:bidi="ar-SA"/>
        </w:rPr>
        <w:t>双鸭山</w:t>
      </w:r>
      <w:r>
        <w:rPr>
          <w:rFonts w:hint="default" w:ascii="Times New Roman" w:hAnsi="Times New Roman" w:eastAsia="宋体" w:cs="Times New Roman"/>
          <w:snapToGrid w:val="0"/>
          <w:color w:val="auto"/>
          <w:kern w:val="0"/>
          <w:sz w:val="24"/>
          <w:szCs w:val="24"/>
          <w:highlight w:val="none"/>
          <w:lang w:val="en-US" w:eastAsia="en-US" w:bidi="ar-SA"/>
        </w:rPr>
        <w:t>市污染物排放总量控制的目标。</w:t>
      </w:r>
    </w:p>
    <w:p w14:paraId="667F0201">
      <w:pPr>
        <w:keepNext w:val="0"/>
        <w:keepLines w:val="0"/>
        <w:pageBreakBefore w:val="0"/>
        <w:widowControl/>
        <w:kinsoku/>
        <w:wordWrap w:val="0"/>
        <w:overflowPunct/>
        <w:topLinePunct/>
        <w:autoSpaceDE/>
        <w:autoSpaceDN/>
        <w:bidi w:val="0"/>
        <w:adjustRightInd w:val="0"/>
        <w:snapToGrid w:val="0"/>
        <w:spacing w:before="53" w:line="360" w:lineRule="auto"/>
        <w:ind w:left="38"/>
        <w:textAlignment w:val="baseline"/>
        <w:outlineLvl w:val="2"/>
        <w:rPr>
          <w:rFonts w:hint="default" w:ascii="Times New Roman" w:hAnsi="Times New Roman" w:eastAsia="宋体" w:cs="Times New Roman"/>
          <w:color w:val="auto"/>
          <w:sz w:val="28"/>
          <w:szCs w:val="28"/>
          <w:highlight w:val="none"/>
        </w:rPr>
      </w:pPr>
      <w:bookmarkStart w:id="273" w:name="_Toc14369"/>
      <w:r>
        <w:rPr>
          <w:rFonts w:hint="default" w:ascii="Times New Roman" w:hAnsi="Times New Roman" w:eastAsia="Times New Roman" w:cs="Times New Roman"/>
          <w:b/>
          <w:bCs/>
          <w:color w:val="auto"/>
          <w:spacing w:val="-2"/>
          <w:sz w:val="28"/>
          <w:szCs w:val="28"/>
          <w:highlight w:val="none"/>
        </w:rPr>
        <w:t>8.3.2</w:t>
      </w:r>
      <w:r>
        <w:rPr>
          <w:rFonts w:hint="default" w:ascii="Times New Roman" w:hAnsi="Times New Roman" w:eastAsia="宋体" w:cs="Times New Roman"/>
          <w:b/>
          <w:bCs/>
          <w:color w:val="auto"/>
          <w:spacing w:val="-2"/>
          <w:sz w:val="28"/>
          <w:szCs w:val="28"/>
          <w:highlight w:val="none"/>
        </w:rPr>
        <w:t>污染物排放总量控制因子</w:t>
      </w:r>
      <w:bookmarkEnd w:id="273"/>
    </w:p>
    <w:p w14:paraId="73DDE287">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jc w:val="both"/>
        <w:textAlignment w:val="baseline"/>
        <w:rPr>
          <w:rFonts w:hint="default" w:ascii="Times New Roman" w:hAnsi="Times New Roman" w:cs="Times New Roman"/>
          <w:color w:val="auto"/>
          <w:highlight w:val="none"/>
        </w:rPr>
      </w:pPr>
      <w:r>
        <w:rPr>
          <w:rFonts w:hint="default" w:ascii="Times New Roman" w:hAnsi="Times New Roman" w:eastAsia="宋体" w:cs="Times New Roman"/>
          <w:color w:val="auto"/>
          <w:sz w:val="24"/>
          <w:szCs w:val="24"/>
          <w:highlight w:val="none"/>
        </w:rPr>
        <w:t>根据《黑龙江生态环境厅发布关于做好“十四五”主要污染物总量减排工作的通</w:t>
      </w:r>
      <w:r>
        <w:rPr>
          <w:rFonts w:hint="default" w:ascii="Times New Roman" w:hAnsi="Times New Roman" w:eastAsia="宋体" w:cs="Times New Roman"/>
          <w:color w:val="auto"/>
          <w:spacing w:val="-5"/>
          <w:sz w:val="24"/>
          <w:szCs w:val="24"/>
          <w:highlight w:val="none"/>
        </w:rPr>
        <w:t>知》中有关规定要求减排因子与范围为：主要大气污染物：</w:t>
      </w:r>
      <w:r>
        <w:rPr>
          <w:rFonts w:hint="default" w:ascii="Times New Roman" w:hAnsi="Times New Roman" w:eastAsia="Times New Roman" w:cs="Times New Roman"/>
          <w:color w:val="auto"/>
          <w:spacing w:val="-5"/>
          <w:sz w:val="24"/>
          <w:szCs w:val="24"/>
          <w:highlight w:val="none"/>
        </w:rPr>
        <w:t>NOx</w:t>
      </w:r>
      <w:r>
        <w:rPr>
          <w:rFonts w:hint="default" w:ascii="Times New Roman" w:hAnsi="Times New Roman" w:eastAsia="宋体" w:cs="Times New Roman"/>
          <w:color w:val="auto"/>
          <w:spacing w:val="-5"/>
          <w:sz w:val="24"/>
          <w:szCs w:val="24"/>
          <w:highlight w:val="none"/>
        </w:rPr>
        <w:t>和</w:t>
      </w:r>
      <w:r>
        <w:rPr>
          <w:rFonts w:hint="default" w:ascii="Times New Roman" w:hAnsi="Times New Roman" w:eastAsia="Times New Roman" w:cs="Times New Roman"/>
          <w:color w:val="auto"/>
          <w:spacing w:val="-5"/>
          <w:sz w:val="24"/>
          <w:szCs w:val="24"/>
          <w:highlight w:val="none"/>
        </w:rPr>
        <w:t>VOCs</w:t>
      </w:r>
      <w:r>
        <w:rPr>
          <w:rFonts w:hint="default" w:ascii="Times New Roman" w:hAnsi="Times New Roman" w:eastAsia="宋体" w:cs="Times New Roman"/>
          <w:color w:val="auto"/>
          <w:spacing w:val="-5"/>
          <w:sz w:val="24"/>
          <w:szCs w:val="24"/>
          <w:highlight w:val="none"/>
        </w:rPr>
        <w:t>；主要水污染</w:t>
      </w:r>
      <w:r>
        <w:rPr>
          <w:rFonts w:hint="default" w:ascii="Times New Roman" w:hAnsi="Times New Roman" w:eastAsia="宋体" w:cs="Times New Roman"/>
          <w:color w:val="auto"/>
          <w:spacing w:val="-7"/>
          <w:sz w:val="24"/>
          <w:szCs w:val="24"/>
          <w:highlight w:val="none"/>
        </w:rPr>
        <w:t>物</w:t>
      </w:r>
      <w:r>
        <w:rPr>
          <w:rFonts w:hint="default" w:ascii="Times New Roman" w:hAnsi="Times New Roman" w:eastAsia="宋体" w:cs="Times New Roman"/>
          <w:color w:val="auto"/>
          <w:spacing w:val="-7"/>
          <w:sz w:val="24"/>
          <w:szCs w:val="24"/>
          <w:highlight w:val="none"/>
          <w:lang w:eastAsia="zh-CN"/>
        </w:rPr>
        <w:t>：</w:t>
      </w:r>
      <w:r>
        <w:rPr>
          <w:rFonts w:hint="default" w:ascii="Times New Roman" w:hAnsi="Times New Roman" w:eastAsia="Times New Roman" w:cs="Times New Roman"/>
          <w:color w:val="auto"/>
          <w:spacing w:val="-7"/>
          <w:sz w:val="24"/>
          <w:szCs w:val="24"/>
          <w:highlight w:val="none"/>
        </w:rPr>
        <w:t>COD</w:t>
      </w:r>
      <w:r>
        <w:rPr>
          <w:rFonts w:hint="default" w:ascii="Times New Roman" w:hAnsi="Times New Roman" w:eastAsia="宋体" w:cs="Times New Roman"/>
          <w:color w:val="auto"/>
          <w:spacing w:val="-7"/>
          <w:sz w:val="24"/>
          <w:szCs w:val="24"/>
          <w:highlight w:val="none"/>
        </w:rPr>
        <w:t>和氨氮，考虑本工程无烟气排放，无</w:t>
      </w:r>
      <w:r>
        <w:rPr>
          <w:rFonts w:hint="default" w:ascii="Times New Roman" w:hAnsi="Times New Roman" w:eastAsia="宋体" w:cs="Times New Roman"/>
          <w:color w:val="auto"/>
          <w:spacing w:val="-8"/>
          <w:sz w:val="24"/>
          <w:szCs w:val="24"/>
          <w:highlight w:val="none"/>
        </w:rPr>
        <w:t>废水排放。因此，结合本项目特点，</w:t>
      </w:r>
      <w:r>
        <w:rPr>
          <w:rFonts w:hint="default" w:ascii="Times New Roman" w:hAnsi="Times New Roman" w:eastAsia="宋体" w:cs="Times New Roman"/>
          <w:color w:val="auto"/>
          <w:spacing w:val="-4"/>
          <w:sz w:val="24"/>
          <w:szCs w:val="24"/>
          <w:highlight w:val="none"/>
        </w:rPr>
        <w:t>确定本项目无总量控制因子。</w:t>
      </w:r>
    </w:p>
    <w:p w14:paraId="4D3EFC75">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2"/>
        <w:rPr>
          <w:rFonts w:hint="default" w:ascii="Times New Roman" w:hAnsi="Times New Roman" w:eastAsia="宋体" w:cs="Times New Roman"/>
          <w:b/>
          <w:bCs/>
          <w:color w:val="auto"/>
          <w:spacing w:val="-2"/>
          <w:sz w:val="28"/>
          <w:szCs w:val="28"/>
          <w:highlight w:val="none"/>
          <w:lang w:val="en-US" w:eastAsia="zh-CN"/>
        </w:rPr>
      </w:pPr>
      <w:bookmarkStart w:id="274" w:name="_Toc12180"/>
      <w:r>
        <w:rPr>
          <w:rFonts w:hint="default" w:ascii="Times New Roman" w:hAnsi="Times New Roman" w:eastAsia="Times New Roman" w:cs="Times New Roman"/>
          <w:b/>
          <w:bCs/>
          <w:color w:val="auto"/>
          <w:spacing w:val="-2"/>
          <w:sz w:val="28"/>
          <w:szCs w:val="28"/>
          <w:highlight w:val="none"/>
        </w:rPr>
        <w:t>8.3.</w:t>
      </w:r>
      <w:r>
        <w:rPr>
          <w:rFonts w:hint="default" w:ascii="Times New Roman" w:hAnsi="Times New Roman" w:eastAsia="宋体" w:cs="Times New Roman"/>
          <w:b/>
          <w:bCs/>
          <w:color w:val="auto"/>
          <w:spacing w:val="-2"/>
          <w:sz w:val="28"/>
          <w:szCs w:val="28"/>
          <w:highlight w:val="none"/>
          <w:lang w:val="en-US" w:eastAsia="zh-CN"/>
        </w:rPr>
        <w:t>3与排污许可证制度衔接</w:t>
      </w:r>
      <w:bookmarkEnd w:id="274"/>
    </w:p>
    <w:p w14:paraId="2C9A0D53">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目前我国正在推进排污许可制度改革工作。《国务院办公厅关于印发控制污染物排放许可制实施方案的通知》（国办发[2016]81号）明确将排污许可制建设成为固定污染源环境管理的核心制度，作为企业守法、部门执法、社会监督的依据，为提高环境管理效能和改善环境质量奠定坚实基础。</w:t>
      </w:r>
    </w:p>
    <w:p w14:paraId="2CFDE89E">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本项目应严格按照国家排污许可证改革的要求，推进刷卡排污及污染源“一证式”管理工作，并作为建设单位在生产运营期接受环境监管和环境保护部门实施监管的主要法律文书，单位依法申领排污许可证，按证排污，自证守法。环境保护部门基于企事业单位守法承诺，依法发放排污许可证，依证强化事中事后监管，对违法排污行为实施严厉打击。</w:t>
      </w:r>
    </w:p>
    <w:p w14:paraId="6145F1CB">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根据《关于做好环境影响评价制度与排污许可</w:t>
      </w:r>
      <w:r>
        <w:rPr>
          <w:rFonts w:hint="default" w:ascii="Times New Roman" w:hAnsi="Times New Roman" w:eastAsia="宋体" w:cs="Times New Roman"/>
          <w:snapToGrid w:val="0"/>
          <w:color w:val="auto"/>
          <w:kern w:val="0"/>
          <w:sz w:val="24"/>
          <w:szCs w:val="24"/>
          <w:highlight w:val="none"/>
          <w:lang w:val="en-US" w:eastAsia="zh-CN" w:bidi="ar-SA"/>
        </w:rPr>
        <w:t>制度</w:t>
      </w:r>
      <w:r>
        <w:rPr>
          <w:rFonts w:hint="default" w:ascii="Times New Roman" w:hAnsi="Times New Roman" w:eastAsia="宋体" w:cs="Times New Roman"/>
          <w:snapToGrid w:val="0"/>
          <w:color w:val="auto"/>
          <w:kern w:val="0"/>
          <w:sz w:val="24"/>
          <w:szCs w:val="24"/>
          <w:highlight w:val="none"/>
          <w:lang w:val="en-US" w:eastAsia="en-US" w:bidi="ar-SA"/>
        </w:rPr>
        <w:t>衔接相关工作的通知》（环办环评[2017]84号），建设项目发生实际排污行为之前，排污单位应当按照国家环境保护相关法律法规以及排污许可证申请与核发技术规范要求申请排污许可证，不得无证排污或不按证排污。环境影响报告书（表）2015年1月1日（含）后获得批准的建设项目，其环境影响报告书（表）以及审批文件中与污染物排放相关的主要内容应当纳入排污许可证。为此，下阶段应将项目建设内容、产品方案、建设规模，采用的工艺流程、工艺技术方案，污染预防和清洁生产措施，环保设施和治理措施，各类污染物排放总量，在线监测和自主监测要求，环境安全防范措施，环境应急体系和应急设施等，全部按装置、设施载入排污许可证，具体内容详见报告书各章节。企业在设计，建设和运营过程中，需按照许可证管理要求进行监测和申报，自证守法；许可证内容发生变更应进行申报，重大变更应重新环评和申请许可证变更。环保管理部门对许可证内容进行定期和不定期的监督核查。</w:t>
      </w:r>
    </w:p>
    <w:p w14:paraId="347CCB86">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根据《固定污染源排污许可分类管理名录》（2019年版），本项目为“一、畜牧业03、1牲畜饲养031”中“无污水排放口的规模化畜禽养殖场、养殖小区，设有污水排放口的规模以下畜禽养殖场、养殖小区”，拟采取登记管理方式。</w:t>
      </w:r>
    </w:p>
    <w:p w14:paraId="4BBAF6B1">
      <w:pPr>
        <w:pStyle w:val="40"/>
        <w:keepNext w:val="0"/>
        <w:keepLines w:val="0"/>
        <w:pageBreakBefore w:val="0"/>
        <w:widowControl/>
        <w:kinsoku w:val="0"/>
        <w:wordWrap/>
        <w:overflowPunct/>
        <w:topLinePunct w:val="0"/>
        <w:autoSpaceDE w:val="0"/>
        <w:autoSpaceDN w:val="0"/>
        <w:bidi w:val="0"/>
        <w:adjustRightInd/>
        <w:snapToGrid/>
        <w:spacing w:line="360" w:lineRule="auto"/>
        <w:ind w:firstLine="480" w:firstLineChars="200"/>
        <w:textAlignment w:val="baseline"/>
        <w:rPr>
          <w:rFonts w:hint="default" w:ascii="Times New Roman" w:hAnsi="Times New Roman" w:eastAsia="宋体" w:cs="Times New Roman"/>
          <w:snapToGrid w:val="0"/>
          <w:color w:val="auto"/>
          <w:kern w:val="0"/>
          <w:sz w:val="24"/>
          <w:szCs w:val="24"/>
          <w:highlight w:val="none"/>
          <w:lang w:val="en-US" w:eastAsia="zh-CN" w:bidi="ar-SA"/>
        </w:rPr>
      </w:pPr>
      <w:r>
        <w:rPr>
          <w:rFonts w:hint="default" w:ascii="Times New Roman" w:hAnsi="Times New Roman" w:eastAsia="宋体" w:cs="Times New Roman"/>
          <w:snapToGrid w:val="0"/>
          <w:color w:val="auto"/>
          <w:kern w:val="0"/>
          <w:sz w:val="24"/>
          <w:szCs w:val="24"/>
          <w:highlight w:val="none"/>
          <w:lang w:val="en-US" w:eastAsia="en-US" w:bidi="ar-SA"/>
        </w:rPr>
        <w:t>实行登记管理的排污单位，不需要申请取得排污许可证，应当在全国排污许可证管理信息平台填报排污登记表，登记基本信息、污染物排放去向、执行的污染物排放标准以及采取的污染防治措施等信息</w:t>
      </w:r>
    </w:p>
    <w:p w14:paraId="54CFBCE6">
      <w:pPr>
        <w:rPr>
          <w:rFonts w:hint="default" w:ascii="Times New Roman" w:hAnsi="Times New Roman" w:eastAsia="Times New Roman" w:cs="Times New Roman"/>
          <w:b/>
          <w:bCs/>
          <w:color w:val="auto"/>
          <w:spacing w:val="5"/>
          <w:sz w:val="31"/>
          <w:szCs w:val="31"/>
          <w:highlight w:val="none"/>
        </w:rPr>
      </w:pPr>
      <w:bookmarkStart w:id="275" w:name="_Toc6272"/>
      <w:bookmarkStart w:id="276" w:name="_Toc32624"/>
      <w:r>
        <w:rPr>
          <w:rFonts w:hint="default" w:ascii="Times New Roman" w:hAnsi="Times New Roman" w:eastAsia="Times New Roman" w:cs="Times New Roman"/>
          <w:b/>
          <w:bCs/>
          <w:color w:val="auto"/>
          <w:spacing w:val="5"/>
          <w:sz w:val="31"/>
          <w:szCs w:val="31"/>
          <w:highlight w:val="none"/>
        </w:rPr>
        <w:br w:type="page"/>
      </w:r>
    </w:p>
    <w:p w14:paraId="04E14799">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0"/>
        <w:rPr>
          <w:rFonts w:hint="default" w:ascii="Times New Roman" w:hAnsi="Times New Roman" w:eastAsia="宋体" w:cs="Times New Roman"/>
          <w:color w:val="auto"/>
          <w:sz w:val="31"/>
          <w:szCs w:val="31"/>
          <w:highlight w:val="none"/>
        </w:rPr>
      </w:pPr>
      <w:bookmarkStart w:id="277" w:name="_Toc9235"/>
      <w:r>
        <w:rPr>
          <w:rFonts w:hint="default" w:ascii="Times New Roman" w:hAnsi="Times New Roman" w:eastAsia="Times New Roman" w:cs="Times New Roman"/>
          <w:b/>
          <w:bCs/>
          <w:color w:val="auto"/>
          <w:spacing w:val="5"/>
          <w:sz w:val="31"/>
          <w:szCs w:val="31"/>
          <w:highlight w:val="none"/>
        </w:rPr>
        <w:t>9.</w:t>
      </w:r>
      <w:r>
        <w:rPr>
          <w:rFonts w:hint="default" w:ascii="Times New Roman" w:hAnsi="Times New Roman" w:eastAsia="宋体" w:cs="Times New Roman"/>
          <w:b/>
          <w:bCs/>
          <w:color w:val="auto"/>
          <w:spacing w:val="5"/>
          <w:sz w:val="31"/>
          <w:szCs w:val="31"/>
          <w:highlight w:val="none"/>
        </w:rPr>
        <w:t>环境影响评价结论</w:t>
      </w:r>
      <w:bookmarkEnd w:id="275"/>
      <w:bookmarkEnd w:id="276"/>
      <w:bookmarkEnd w:id="277"/>
    </w:p>
    <w:p w14:paraId="25904F49">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1"/>
        <w:rPr>
          <w:rFonts w:hint="default" w:ascii="Times New Roman" w:hAnsi="Times New Roman" w:eastAsia="宋体" w:cs="Times New Roman"/>
          <w:b/>
          <w:bCs/>
          <w:color w:val="auto"/>
          <w:sz w:val="24"/>
          <w:szCs w:val="24"/>
          <w:highlight w:val="none"/>
          <w:lang w:val="en-US" w:eastAsia="zh-CN"/>
        </w:rPr>
      </w:pPr>
      <w:bookmarkStart w:id="278" w:name="_Toc27958"/>
      <w:bookmarkStart w:id="279" w:name="_Toc30178"/>
      <w:bookmarkStart w:id="280" w:name="_Toc29055"/>
      <w:r>
        <w:rPr>
          <w:rFonts w:hint="default" w:ascii="Times New Roman" w:hAnsi="Times New Roman" w:eastAsia="宋体" w:cs="Times New Roman"/>
          <w:b/>
          <w:bCs/>
          <w:color w:val="auto"/>
          <w:sz w:val="24"/>
          <w:szCs w:val="24"/>
          <w:highlight w:val="none"/>
        </w:rPr>
        <w:t>9.1</w:t>
      </w:r>
      <w:bookmarkEnd w:id="278"/>
      <w:bookmarkEnd w:id="279"/>
      <w:r>
        <w:rPr>
          <w:rFonts w:hint="default" w:ascii="Times New Roman" w:hAnsi="Times New Roman" w:eastAsia="宋体" w:cs="Times New Roman"/>
          <w:b/>
          <w:bCs/>
          <w:color w:val="auto"/>
          <w:sz w:val="24"/>
          <w:szCs w:val="24"/>
          <w:highlight w:val="none"/>
          <w:lang w:val="en-US" w:eastAsia="zh-CN"/>
        </w:rPr>
        <w:t>评价结论</w:t>
      </w:r>
      <w:bookmarkEnd w:id="280"/>
    </w:p>
    <w:p w14:paraId="47B61692">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z w:val="24"/>
          <w:szCs w:val="24"/>
          <w:highlight w:val="none"/>
          <w:lang w:eastAsia="zh-CN"/>
        </w:rPr>
      </w:pPr>
      <w:bookmarkStart w:id="281" w:name="_Toc5683"/>
      <w:r>
        <w:rPr>
          <w:rFonts w:hint="default" w:ascii="Times New Roman" w:hAnsi="Times New Roman" w:eastAsia="宋体" w:cs="Times New Roman"/>
          <w:b/>
          <w:bCs/>
          <w:color w:val="auto"/>
          <w:sz w:val="24"/>
          <w:szCs w:val="24"/>
          <w:highlight w:val="none"/>
          <w:lang w:val="en-US" w:eastAsia="zh-CN"/>
        </w:rPr>
        <w:t>9</w:t>
      </w:r>
      <w:r>
        <w:rPr>
          <w:rFonts w:hint="default" w:ascii="Times New Roman" w:hAnsi="Times New Roman" w:eastAsia="宋体" w:cs="Times New Roman"/>
          <w:b/>
          <w:bCs/>
          <w:color w:val="auto"/>
          <w:sz w:val="24"/>
          <w:szCs w:val="24"/>
          <w:highlight w:val="none"/>
        </w:rPr>
        <w:t>.</w:t>
      </w:r>
      <w:r>
        <w:rPr>
          <w:rFonts w:hint="default" w:ascii="Times New Roman" w:hAnsi="Times New Roman" w:eastAsia="宋体" w:cs="Times New Roman"/>
          <w:b/>
          <w:bCs/>
          <w:color w:val="auto"/>
          <w:sz w:val="24"/>
          <w:szCs w:val="24"/>
          <w:highlight w:val="none"/>
          <w:lang w:val="en-US" w:eastAsia="zh-CN"/>
        </w:rPr>
        <w:t>1.</w:t>
      </w:r>
      <w:r>
        <w:rPr>
          <w:rFonts w:hint="default" w:ascii="Times New Roman" w:hAnsi="Times New Roman" w:eastAsia="宋体" w:cs="Times New Roman"/>
          <w:b/>
          <w:bCs/>
          <w:color w:val="auto"/>
          <w:sz w:val="24"/>
          <w:szCs w:val="24"/>
          <w:highlight w:val="none"/>
        </w:rPr>
        <w:t>1</w:t>
      </w:r>
      <w:r>
        <w:rPr>
          <w:rFonts w:hint="default" w:ascii="Times New Roman" w:hAnsi="Times New Roman" w:eastAsia="宋体" w:cs="Times New Roman"/>
          <w:b/>
          <w:bCs/>
          <w:color w:val="auto"/>
          <w:sz w:val="24"/>
          <w:szCs w:val="24"/>
          <w:highlight w:val="none"/>
          <w:lang w:val="en-US" w:eastAsia="zh-CN"/>
        </w:rPr>
        <w:t>建设概况</w:t>
      </w:r>
      <w:bookmarkEnd w:id="281"/>
    </w:p>
    <w:p w14:paraId="0F6B908A">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项目名称：双鸭山市</w:t>
      </w:r>
      <w:r>
        <w:rPr>
          <w:rFonts w:hint="default" w:ascii="Times New Roman" w:hAnsi="Times New Roman" w:eastAsia="宋体" w:cs="Times New Roman"/>
          <w:color w:val="auto"/>
          <w:spacing w:val="-1"/>
          <w:sz w:val="24"/>
          <w:szCs w:val="24"/>
          <w:highlight w:val="none"/>
          <w:lang w:val="en-US" w:eastAsia="zh-CN"/>
        </w:rPr>
        <w:t>永胜农机合作社肉牛养殖基地</w:t>
      </w:r>
      <w:r>
        <w:rPr>
          <w:rFonts w:hint="default" w:ascii="Times New Roman" w:hAnsi="Times New Roman" w:eastAsia="宋体" w:cs="Times New Roman"/>
          <w:color w:val="auto"/>
          <w:spacing w:val="-1"/>
          <w:sz w:val="24"/>
          <w:szCs w:val="24"/>
          <w:highlight w:val="none"/>
        </w:rPr>
        <w:t>项目</w:t>
      </w:r>
    </w:p>
    <w:p w14:paraId="31209D55">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建设单位：双鸭山市</w:t>
      </w:r>
      <w:r>
        <w:rPr>
          <w:rFonts w:hint="default" w:ascii="Times New Roman" w:hAnsi="Times New Roman" w:eastAsia="宋体" w:cs="Times New Roman"/>
          <w:color w:val="auto"/>
          <w:spacing w:val="-1"/>
          <w:sz w:val="24"/>
          <w:szCs w:val="24"/>
          <w:highlight w:val="none"/>
          <w:lang w:val="en-US" w:eastAsia="zh-CN"/>
        </w:rPr>
        <w:t>永胜农机合作社</w:t>
      </w:r>
    </w:p>
    <w:p w14:paraId="7F770B51">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pacing w:val="-1"/>
          <w:sz w:val="24"/>
          <w:szCs w:val="24"/>
          <w:highlight w:val="none"/>
        </w:rPr>
        <w:t>建设地点：</w:t>
      </w:r>
      <w:r>
        <w:rPr>
          <w:rFonts w:hint="default" w:ascii="Times New Roman" w:hAnsi="Times New Roman" w:eastAsia="宋体" w:cs="Times New Roman"/>
          <w:color w:val="auto"/>
          <w:sz w:val="24"/>
          <w:szCs w:val="24"/>
          <w:highlight w:val="none"/>
          <w:lang w:val="en-US" w:eastAsia="zh-CN"/>
        </w:rPr>
        <w:t>双鸭山市集贤县集贤镇种畜场（康家屯）</w:t>
      </w:r>
    </w:p>
    <w:p w14:paraId="4A90648A">
      <w:pPr>
        <w:keepNext w:val="0"/>
        <w:keepLines w:val="0"/>
        <w:pageBreakBefore w:val="0"/>
        <w:widowControl/>
        <w:kinsoku/>
        <w:wordWrap w:val="0"/>
        <w:overflowPunct/>
        <w:topLinePunct/>
        <w:autoSpaceDE/>
        <w:autoSpaceDN/>
        <w:bidi w:val="0"/>
        <w:adjustRightInd w:val="0"/>
        <w:snapToGrid w:val="0"/>
        <w:spacing w:line="360" w:lineRule="auto"/>
        <w:ind w:left="0" w:right="0" w:firstLine="468"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pacing w:val="-3"/>
          <w:sz w:val="24"/>
          <w:szCs w:val="24"/>
          <w:highlight w:val="none"/>
        </w:rPr>
        <w:t>项目投资：</w:t>
      </w:r>
      <w:r>
        <w:rPr>
          <w:rFonts w:hint="default" w:ascii="Times New Roman" w:hAnsi="Times New Roman" w:eastAsia="宋体" w:cs="Times New Roman"/>
          <w:color w:val="auto"/>
          <w:spacing w:val="-3"/>
          <w:sz w:val="24"/>
          <w:szCs w:val="24"/>
          <w:highlight w:val="none"/>
          <w:lang w:val="en-US" w:eastAsia="zh-CN"/>
        </w:rPr>
        <w:t>11000</w:t>
      </w:r>
      <w:r>
        <w:rPr>
          <w:rFonts w:hint="default" w:ascii="Times New Roman" w:hAnsi="Times New Roman" w:eastAsia="宋体" w:cs="Times New Roman"/>
          <w:color w:val="auto"/>
          <w:spacing w:val="-3"/>
          <w:sz w:val="24"/>
          <w:szCs w:val="24"/>
          <w:highlight w:val="none"/>
        </w:rPr>
        <w:t>万元，其中环保投资</w:t>
      </w:r>
      <w:r>
        <w:rPr>
          <w:rFonts w:hint="default" w:ascii="Times New Roman" w:hAnsi="Times New Roman" w:eastAsia="宋体" w:cs="Times New Roman"/>
          <w:color w:val="auto"/>
          <w:spacing w:val="-3"/>
          <w:sz w:val="24"/>
          <w:szCs w:val="24"/>
          <w:highlight w:val="none"/>
          <w:lang w:val="en-US" w:eastAsia="zh-CN"/>
        </w:rPr>
        <w:t>401</w:t>
      </w:r>
      <w:r>
        <w:rPr>
          <w:rFonts w:hint="default" w:ascii="Times New Roman" w:hAnsi="Times New Roman" w:eastAsia="宋体" w:cs="Times New Roman"/>
          <w:color w:val="auto"/>
          <w:spacing w:val="-3"/>
          <w:sz w:val="24"/>
          <w:szCs w:val="24"/>
          <w:highlight w:val="none"/>
        </w:rPr>
        <w:t>万元</w:t>
      </w:r>
      <w:r>
        <w:rPr>
          <w:rFonts w:hint="default" w:ascii="Times New Roman" w:hAnsi="Times New Roman" w:eastAsia="宋体" w:cs="Times New Roman"/>
          <w:color w:val="auto"/>
          <w:spacing w:val="-3"/>
          <w:sz w:val="24"/>
          <w:szCs w:val="24"/>
          <w:highlight w:val="none"/>
          <w:lang w:eastAsia="zh-CN"/>
        </w:rPr>
        <w:t>，</w:t>
      </w:r>
      <w:r>
        <w:rPr>
          <w:rFonts w:hint="default" w:ascii="Times New Roman" w:hAnsi="Times New Roman" w:eastAsia="宋体" w:cs="Times New Roman"/>
          <w:color w:val="auto"/>
          <w:spacing w:val="-2"/>
          <w:sz w:val="24"/>
          <w:szCs w:val="24"/>
          <w:highlight w:val="none"/>
        </w:rPr>
        <w:t>占总投资的</w:t>
      </w:r>
      <w:r>
        <w:rPr>
          <w:rFonts w:hint="default" w:ascii="Times New Roman" w:hAnsi="Times New Roman" w:eastAsia="宋体" w:cs="Times New Roman"/>
          <w:color w:val="auto"/>
          <w:spacing w:val="-2"/>
          <w:sz w:val="24"/>
          <w:szCs w:val="24"/>
          <w:highlight w:val="none"/>
          <w:lang w:val="en-US" w:eastAsia="zh-CN"/>
        </w:rPr>
        <w:t>4</w:t>
      </w:r>
      <w:r>
        <w:rPr>
          <w:rFonts w:hint="default" w:ascii="Times New Roman" w:hAnsi="Times New Roman" w:eastAsia="Times New Roman" w:cs="Times New Roman"/>
          <w:color w:val="auto"/>
          <w:spacing w:val="-3"/>
          <w:sz w:val="24"/>
          <w:szCs w:val="24"/>
          <w:highlight w:val="none"/>
        </w:rPr>
        <w:t>%</w:t>
      </w:r>
    </w:p>
    <w:p w14:paraId="61D0C7C0">
      <w:pPr>
        <w:keepNext w:val="0"/>
        <w:keepLines w:val="0"/>
        <w:pageBreakBefore w:val="0"/>
        <w:widowControl/>
        <w:kinsoku/>
        <w:wordWrap w:val="0"/>
        <w:overflowPunct/>
        <w:topLinePunct/>
        <w:autoSpaceDE/>
        <w:autoSpaceDN/>
        <w:bidi w:val="0"/>
        <w:adjustRightInd w:val="0"/>
        <w:snapToGrid w:val="0"/>
        <w:spacing w:line="360" w:lineRule="auto"/>
        <w:ind w:left="0" w:right="0" w:firstLine="472"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2"/>
          <w:sz w:val="24"/>
          <w:szCs w:val="24"/>
          <w:highlight w:val="none"/>
        </w:rPr>
        <w:t>建设性质：新建</w:t>
      </w:r>
    </w:p>
    <w:p w14:paraId="66896CFD">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pacing w:val="-1"/>
          <w:sz w:val="24"/>
          <w:szCs w:val="24"/>
          <w:highlight w:val="none"/>
        </w:rPr>
        <w:t>预计投产日期：202</w:t>
      </w:r>
      <w:r>
        <w:rPr>
          <w:rFonts w:hint="default" w:ascii="Times New Roman" w:hAnsi="Times New Roman" w:eastAsia="宋体" w:cs="Times New Roman"/>
          <w:color w:val="auto"/>
          <w:spacing w:val="-1"/>
          <w:sz w:val="24"/>
          <w:szCs w:val="24"/>
          <w:highlight w:val="none"/>
          <w:lang w:val="en-US" w:eastAsia="zh-CN"/>
        </w:rPr>
        <w:t>5</w:t>
      </w:r>
      <w:r>
        <w:rPr>
          <w:rFonts w:hint="default" w:ascii="Times New Roman" w:hAnsi="Times New Roman" w:eastAsia="宋体" w:cs="Times New Roman"/>
          <w:color w:val="auto"/>
          <w:spacing w:val="-1"/>
          <w:sz w:val="24"/>
          <w:szCs w:val="24"/>
          <w:highlight w:val="none"/>
        </w:rPr>
        <w:t>年</w:t>
      </w:r>
      <w:r>
        <w:rPr>
          <w:rFonts w:hint="default" w:ascii="Times New Roman" w:hAnsi="Times New Roman" w:eastAsia="宋体" w:cs="Times New Roman"/>
          <w:color w:val="auto"/>
          <w:spacing w:val="-1"/>
          <w:sz w:val="24"/>
          <w:szCs w:val="24"/>
          <w:highlight w:val="none"/>
          <w:lang w:val="en-US" w:eastAsia="zh-CN"/>
        </w:rPr>
        <w:t>1</w:t>
      </w:r>
      <w:r>
        <w:rPr>
          <w:rFonts w:hint="eastAsia" w:ascii="Times New Roman" w:hAnsi="Times New Roman" w:eastAsia="宋体" w:cs="Times New Roman"/>
          <w:color w:val="auto"/>
          <w:spacing w:val="-1"/>
          <w:sz w:val="24"/>
          <w:szCs w:val="24"/>
          <w:highlight w:val="none"/>
          <w:lang w:val="en-US" w:eastAsia="zh-CN"/>
        </w:rPr>
        <w:t>1</w:t>
      </w:r>
      <w:r>
        <w:rPr>
          <w:rFonts w:hint="default" w:ascii="Times New Roman" w:hAnsi="Times New Roman" w:eastAsia="宋体" w:cs="Times New Roman"/>
          <w:color w:val="auto"/>
          <w:spacing w:val="-1"/>
          <w:sz w:val="24"/>
          <w:szCs w:val="24"/>
          <w:highlight w:val="none"/>
          <w:lang w:val="en-US" w:eastAsia="zh-CN"/>
        </w:rPr>
        <w:t>月-2025年12月</w:t>
      </w:r>
    </w:p>
    <w:p w14:paraId="1C85A94B">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pacing w:val="-6"/>
          <w:sz w:val="24"/>
          <w:szCs w:val="24"/>
          <w:highlight w:val="none"/>
        </w:rPr>
      </w:pPr>
      <w:r>
        <w:rPr>
          <w:rFonts w:hint="default" w:ascii="Times New Roman" w:hAnsi="Times New Roman" w:eastAsia="宋体" w:cs="Times New Roman"/>
          <w:color w:val="auto"/>
          <w:spacing w:val="-1"/>
          <w:sz w:val="24"/>
          <w:szCs w:val="24"/>
          <w:highlight w:val="none"/>
        </w:rPr>
        <w:t>建设规模：本项目建设规模为年存栏</w:t>
      </w:r>
      <w:r>
        <w:rPr>
          <w:rFonts w:hint="default" w:ascii="Times New Roman" w:hAnsi="Times New Roman" w:eastAsia="宋体" w:cs="Times New Roman"/>
          <w:color w:val="auto"/>
          <w:spacing w:val="-1"/>
          <w:sz w:val="24"/>
          <w:szCs w:val="24"/>
          <w:highlight w:val="none"/>
          <w:lang w:val="en-US" w:eastAsia="zh-CN"/>
        </w:rPr>
        <w:t>5</w:t>
      </w:r>
      <w:r>
        <w:rPr>
          <w:rFonts w:hint="default" w:ascii="Times New Roman" w:hAnsi="Times New Roman" w:eastAsia="Times New Roman" w:cs="Times New Roman"/>
          <w:color w:val="auto"/>
          <w:spacing w:val="-1"/>
          <w:sz w:val="24"/>
          <w:szCs w:val="24"/>
          <w:highlight w:val="none"/>
        </w:rPr>
        <w:t>000</w:t>
      </w:r>
      <w:r>
        <w:rPr>
          <w:rFonts w:hint="default" w:ascii="Times New Roman" w:hAnsi="Times New Roman" w:eastAsia="宋体" w:cs="Times New Roman"/>
          <w:color w:val="auto"/>
          <w:spacing w:val="-1"/>
          <w:sz w:val="24"/>
          <w:szCs w:val="24"/>
          <w:highlight w:val="none"/>
        </w:rPr>
        <w:t>头</w:t>
      </w:r>
      <w:r>
        <w:rPr>
          <w:rFonts w:hint="default" w:ascii="Times New Roman" w:hAnsi="Times New Roman" w:eastAsia="宋体" w:cs="Times New Roman"/>
          <w:color w:val="auto"/>
          <w:spacing w:val="-2"/>
          <w:sz w:val="24"/>
          <w:szCs w:val="24"/>
          <w:highlight w:val="none"/>
        </w:rPr>
        <w:t>肉</w:t>
      </w:r>
      <w:r>
        <w:rPr>
          <w:rFonts w:hint="default" w:ascii="Times New Roman" w:hAnsi="Times New Roman" w:eastAsia="宋体" w:cs="Times New Roman"/>
          <w:color w:val="auto"/>
          <w:spacing w:val="-1"/>
          <w:sz w:val="24"/>
          <w:szCs w:val="24"/>
          <w:highlight w:val="none"/>
        </w:rPr>
        <w:t>牛，年出栏</w:t>
      </w:r>
      <w:r>
        <w:rPr>
          <w:rFonts w:hint="default" w:ascii="Times New Roman" w:hAnsi="Times New Roman" w:eastAsia="宋体" w:cs="Times New Roman"/>
          <w:color w:val="auto"/>
          <w:spacing w:val="-1"/>
          <w:sz w:val="24"/>
          <w:szCs w:val="24"/>
          <w:highlight w:val="none"/>
          <w:lang w:val="en-US" w:eastAsia="zh-CN"/>
        </w:rPr>
        <w:t>10</w:t>
      </w:r>
      <w:r>
        <w:rPr>
          <w:rFonts w:hint="default" w:ascii="Times New Roman" w:hAnsi="Times New Roman" w:eastAsia="Times New Roman" w:cs="Times New Roman"/>
          <w:color w:val="auto"/>
          <w:spacing w:val="-2"/>
          <w:sz w:val="24"/>
          <w:szCs w:val="24"/>
          <w:highlight w:val="none"/>
        </w:rPr>
        <w:t>00</w:t>
      </w:r>
      <w:r>
        <w:rPr>
          <w:rFonts w:hint="default" w:ascii="Times New Roman" w:hAnsi="Times New Roman" w:eastAsia="宋体" w:cs="Times New Roman"/>
          <w:color w:val="auto"/>
          <w:spacing w:val="-2"/>
          <w:sz w:val="24"/>
          <w:szCs w:val="24"/>
          <w:highlight w:val="none"/>
        </w:rPr>
        <w:t>头肉牛。主要建设</w:t>
      </w:r>
      <w:r>
        <w:rPr>
          <w:rFonts w:hint="default" w:ascii="Times New Roman" w:hAnsi="Times New Roman" w:eastAsia="宋体" w:cs="Times New Roman"/>
          <w:color w:val="auto"/>
          <w:spacing w:val="-6"/>
          <w:sz w:val="24"/>
          <w:szCs w:val="24"/>
          <w:highlight w:val="none"/>
        </w:rPr>
        <w:t>内容为建设牛舍及配套设施。</w:t>
      </w:r>
    </w:p>
    <w:p w14:paraId="3933986F">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2"/>
        <w:rPr>
          <w:rFonts w:hint="default" w:ascii="Times New Roman" w:hAnsi="Times New Roman" w:eastAsia="宋体" w:cs="Times New Roman"/>
          <w:b/>
          <w:bCs/>
          <w:color w:val="auto"/>
          <w:sz w:val="24"/>
          <w:szCs w:val="24"/>
          <w:highlight w:val="none"/>
          <w:lang w:val="en-US" w:eastAsia="zh-CN"/>
        </w:rPr>
      </w:pPr>
      <w:bookmarkStart w:id="282" w:name="_Toc6174"/>
      <w:r>
        <w:rPr>
          <w:rFonts w:hint="default" w:ascii="Times New Roman" w:hAnsi="Times New Roman" w:eastAsia="宋体" w:cs="Times New Roman"/>
          <w:b/>
          <w:bCs/>
          <w:color w:val="auto"/>
          <w:sz w:val="24"/>
          <w:szCs w:val="24"/>
          <w:highlight w:val="none"/>
          <w:lang w:val="en-US" w:eastAsia="zh-CN"/>
        </w:rPr>
        <w:t>9.1.2项目符合性结论</w:t>
      </w:r>
      <w:bookmarkEnd w:id="282"/>
    </w:p>
    <w:p w14:paraId="529AA09C">
      <w:pPr>
        <w:pageBreakBefore w:val="0"/>
        <w:kinsoku/>
        <w:wordWrap/>
        <w:overflowPunct/>
        <w:topLinePunct w:val="0"/>
        <w:autoSpaceDE/>
        <w:autoSpaceDN/>
        <w:bidi w:val="0"/>
        <w:adjustRightInd/>
        <w:snapToGrid/>
        <w:spacing w:line="360" w:lineRule="auto"/>
        <w:contextualSpacing/>
        <w:textAlignment w:val="auto"/>
        <w:outlineLvl w:val="3"/>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9.1.2.1产业政策符合性结论</w:t>
      </w:r>
    </w:p>
    <w:p w14:paraId="2097A70A">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根据《产业结构调整指导目录》（20</w:t>
      </w:r>
      <w:r>
        <w:rPr>
          <w:rFonts w:hint="default" w:ascii="Times New Roman" w:hAnsi="Times New Roman" w:eastAsia="宋体" w:cs="Times New Roman"/>
          <w:color w:val="auto"/>
          <w:sz w:val="24"/>
          <w:szCs w:val="24"/>
          <w:highlight w:val="none"/>
          <w:lang w:val="en-US" w:eastAsia="zh-CN"/>
        </w:rPr>
        <w:t>24</w:t>
      </w:r>
      <w:r>
        <w:rPr>
          <w:rFonts w:hint="default" w:ascii="Times New Roman" w:hAnsi="Times New Roman" w:eastAsia="宋体" w:cs="Times New Roman"/>
          <w:color w:val="auto"/>
          <w:sz w:val="24"/>
          <w:szCs w:val="24"/>
          <w:highlight w:val="none"/>
        </w:rPr>
        <w:t>年本），本项目属于第一类鼓励类中</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一 农林</w:t>
      </w:r>
      <w:r>
        <w:rPr>
          <w:rFonts w:hint="default" w:ascii="Times New Roman" w:hAnsi="Times New Roman" w:eastAsia="宋体" w:cs="Times New Roman"/>
          <w:color w:val="auto"/>
          <w:sz w:val="24"/>
          <w:szCs w:val="24"/>
          <w:highlight w:val="none"/>
          <w:lang w:val="en-US" w:eastAsia="zh-CN"/>
        </w:rPr>
        <w:t>牧渔</w:t>
      </w:r>
      <w:r>
        <w:rPr>
          <w:rFonts w:hint="default" w:ascii="Times New Roman" w:hAnsi="Times New Roman" w:eastAsia="宋体" w:cs="Times New Roman"/>
          <w:color w:val="auto"/>
          <w:sz w:val="24"/>
          <w:szCs w:val="24"/>
          <w:highlight w:val="none"/>
        </w:rPr>
        <w:t>业</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rPr>
        <w:t>4、</w:t>
      </w:r>
      <w:r>
        <w:rPr>
          <w:rFonts w:hint="default" w:ascii="Times New Roman" w:hAnsi="Times New Roman" w:eastAsia="宋体" w:cs="Times New Roman"/>
          <w:color w:val="auto"/>
          <w:sz w:val="24"/>
          <w:szCs w:val="24"/>
          <w:highlight w:val="none"/>
          <w:lang w:val="en-US" w:eastAsia="zh-CN"/>
        </w:rPr>
        <w:t>现代畜牧业及水产生态健康养殖-</w:t>
      </w:r>
      <w:r>
        <w:rPr>
          <w:rFonts w:hint="default" w:ascii="Times New Roman" w:hAnsi="Times New Roman" w:eastAsia="宋体" w:cs="Times New Roman"/>
          <w:color w:val="auto"/>
          <w:sz w:val="24"/>
          <w:szCs w:val="24"/>
          <w:highlight w:val="none"/>
        </w:rPr>
        <w:t>畜禽标准化规模养殖技术开发与应用</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，符合国家产业政策。</w:t>
      </w:r>
    </w:p>
    <w:p w14:paraId="4181002C">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本项目达产后</w:t>
      </w:r>
      <w:r>
        <w:rPr>
          <w:rFonts w:hint="default" w:ascii="Times New Roman" w:hAnsi="Times New Roman" w:eastAsia="宋体" w:cs="Times New Roman"/>
          <w:color w:val="auto"/>
          <w:sz w:val="24"/>
          <w:szCs w:val="24"/>
          <w:highlight w:val="none"/>
          <w:lang w:eastAsia="zh-CN"/>
        </w:rPr>
        <w:t>肉牛</w:t>
      </w:r>
      <w:r>
        <w:rPr>
          <w:rFonts w:hint="default" w:ascii="Times New Roman" w:hAnsi="Times New Roman" w:eastAsia="宋体" w:cs="Times New Roman"/>
          <w:color w:val="auto"/>
          <w:sz w:val="24"/>
          <w:szCs w:val="24"/>
          <w:highlight w:val="none"/>
        </w:rPr>
        <w:t>养殖规模</w:t>
      </w:r>
      <w:r>
        <w:rPr>
          <w:rFonts w:hint="default" w:ascii="Times New Roman" w:hAnsi="Times New Roman" w:eastAsia="宋体" w:cs="Times New Roman"/>
          <w:color w:val="auto"/>
          <w:sz w:val="24"/>
          <w:szCs w:val="24"/>
          <w:highlight w:val="none"/>
          <w:lang w:eastAsia="zh-CN"/>
        </w:rPr>
        <w:t>年存栏量</w:t>
      </w:r>
      <w:r>
        <w:rPr>
          <w:rFonts w:hint="default"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eastAsia="zh-CN"/>
        </w:rPr>
        <w:t>000头，年出栏量1000头</w:t>
      </w:r>
      <w:r>
        <w:rPr>
          <w:rFonts w:hint="default" w:ascii="Times New Roman" w:hAnsi="Times New Roman" w:eastAsia="宋体" w:cs="Times New Roman"/>
          <w:color w:val="auto"/>
          <w:sz w:val="24"/>
          <w:szCs w:val="24"/>
          <w:highlight w:val="none"/>
        </w:rPr>
        <w:t>，属标准化规模养殖项目，项目建设符合该产业政策的要求。</w:t>
      </w:r>
    </w:p>
    <w:p w14:paraId="09F978BD">
      <w:pPr>
        <w:pageBreakBefore w:val="0"/>
        <w:kinsoku/>
        <w:wordWrap/>
        <w:overflowPunct/>
        <w:topLinePunct w:val="0"/>
        <w:autoSpaceDE/>
        <w:autoSpaceDN/>
        <w:bidi w:val="0"/>
        <w:adjustRightInd/>
        <w:snapToGrid/>
        <w:spacing w:line="360" w:lineRule="auto"/>
        <w:contextualSpacing/>
        <w:textAlignment w:val="auto"/>
        <w:outlineLvl w:val="3"/>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9.1.2.2</w:t>
      </w:r>
      <w:r>
        <w:rPr>
          <w:rFonts w:hint="default" w:ascii="Times New Roman" w:hAnsi="Times New Roman" w:eastAsia="宋体" w:cs="Times New Roman"/>
          <w:b/>
          <w:bCs/>
          <w:color w:val="auto"/>
          <w:sz w:val="24"/>
          <w:szCs w:val="24"/>
          <w:highlight w:val="none"/>
        </w:rPr>
        <w:t>选址合理性</w:t>
      </w:r>
      <w:r>
        <w:rPr>
          <w:rFonts w:hint="default" w:ascii="Times New Roman" w:hAnsi="Times New Roman" w:eastAsia="宋体" w:cs="Times New Roman"/>
          <w:b/>
          <w:bCs/>
          <w:color w:val="auto"/>
          <w:sz w:val="24"/>
          <w:highlight w:val="none"/>
        </w:rPr>
        <w:t>结论</w:t>
      </w:r>
    </w:p>
    <w:p w14:paraId="0F299BC6">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本项目选址符合《畜禽规模养殖污染防治条例》（国务院令第643号）</w:t>
      </w:r>
      <w:r>
        <w:rPr>
          <w:rFonts w:hint="default" w:ascii="Times New Roman" w:hAnsi="Times New Roman" w:eastAsia="宋体" w:cs="Times New Roman"/>
          <w:color w:val="auto"/>
          <w:sz w:val="24"/>
          <w:szCs w:val="24"/>
          <w:highlight w:val="none"/>
          <w:lang w:eastAsia="zh-CN"/>
        </w:rPr>
        <w:t>、《畜禽养殖业污染防治技术规范》（HJ/T81-2001）、《畜禽养殖业污染防治技术政策》（环发[2010]151号）、《</w:t>
      </w:r>
      <w:r>
        <w:rPr>
          <w:rFonts w:hint="default" w:ascii="Times New Roman" w:hAnsi="Times New Roman" w:eastAsia="宋体" w:cs="Times New Roman"/>
          <w:color w:val="auto"/>
          <w:sz w:val="24"/>
          <w:szCs w:val="24"/>
          <w:highlight w:val="none"/>
          <w:lang w:val="en-US" w:eastAsia="zh-CN"/>
        </w:rPr>
        <w:t>集贤县</w:t>
      </w:r>
      <w:r>
        <w:rPr>
          <w:rFonts w:hint="default" w:ascii="Times New Roman" w:hAnsi="Times New Roman" w:eastAsia="宋体" w:cs="Times New Roman"/>
          <w:color w:val="auto"/>
          <w:sz w:val="24"/>
          <w:szCs w:val="24"/>
          <w:highlight w:val="none"/>
          <w:lang w:eastAsia="zh-CN"/>
        </w:rPr>
        <w:t>畜禽养殖禁养区划定方案》</w:t>
      </w:r>
      <w:r>
        <w:rPr>
          <w:rFonts w:hint="default" w:ascii="Times New Roman" w:hAnsi="Times New Roman" w:eastAsia="宋体" w:cs="Times New Roman"/>
          <w:color w:val="auto"/>
          <w:sz w:val="24"/>
          <w:szCs w:val="24"/>
          <w:highlight w:val="none"/>
        </w:rPr>
        <w:t>等相关规定的要求。因此，项目选址从环境影响评价的角度分析，是合理可行的。</w:t>
      </w:r>
    </w:p>
    <w:p w14:paraId="399E823F">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2"/>
        <w:rPr>
          <w:rFonts w:hint="default" w:ascii="Times New Roman" w:hAnsi="Times New Roman" w:eastAsia="宋体" w:cs="Times New Roman"/>
          <w:b/>
          <w:bCs/>
          <w:color w:val="auto"/>
          <w:sz w:val="24"/>
          <w:szCs w:val="24"/>
          <w:highlight w:val="none"/>
          <w:lang w:val="en-US" w:eastAsia="zh-CN"/>
        </w:rPr>
      </w:pPr>
      <w:bookmarkStart w:id="283" w:name="_Toc2130"/>
      <w:bookmarkStart w:id="284" w:name="_Toc15741"/>
      <w:bookmarkStart w:id="285" w:name="_Toc22406"/>
      <w:r>
        <w:rPr>
          <w:rFonts w:hint="default" w:ascii="Times New Roman" w:hAnsi="Times New Roman" w:eastAsia="宋体" w:cs="Times New Roman"/>
          <w:b/>
          <w:bCs/>
          <w:color w:val="auto"/>
          <w:sz w:val="24"/>
          <w:szCs w:val="24"/>
          <w:highlight w:val="none"/>
          <w:lang w:val="en-US" w:eastAsia="zh-CN"/>
        </w:rPr>
        <w:t>9.1.3环境质量现状评价结论</w:t>
      </w:r>
      <w:bookmarkEnd w:id="283"/>
      <w:bookmarkEnd w:id="284"/>
      <w:bookmarkEnd w:id="285"/>
    </w:p>
    <w:p w14:paraId="1F414973">
      <w:pPr>
        <w:keepNext w:val="0"/>
        <w:keepLines w:val="0"/>
        <w:pageBreakBefore w:val="0"/>
        <w:widowControl/>
        <w:kinsoku/>
        <w:wordWrap w:val="0"/>
        <w:overflowPunct/>
        <w:topLinePunct/>
        <w:autoSpaceDE/>
        <w:autoSpaceDN/>
        <w:bidi w:val="0"/>
        <w:adjustRightInd w:val="0"/>
        <w:snapToGrid w:val="0"/>
        <w:spacing w:line="360" w:lineRule="auto"/>
        <w:ind w:right="0"/>
        <w:jc w:val="both"/>
        <w:textAlignment w:val="baseline"/>
        <w:outlineLvl w:val="3"/>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9.1.</w:t>
      </w:r>
      <w:r>
        <w:rPr>
          <w:rFonts w:hint="default" w:ascii="Times New Roman" w:hAnsi="Times New Roman" w:eastAsia="宋体" w:cs="Times New Roman"/>
          <w:b/>
          <w:bCs/>
          <w:color w:val="auto"/>
          <w:sz w:val="24"/>
          <w:highlight w:val="none"/>
          <w:lang w:val="en-US" w:eastAsia="zh-CN"/>
        </w:rPr>
        <w:t>3</w:t>
      </w:r>
      <w:r>
        <w:rPr>
          <w:rFonts w:hint="default" w:ascii="Times New Roman" w:hAnsi="Times New Roman" w:eastAsia="宋体" w:cs="Times New Roman"/>
          <w:b/>
          <w:bCs/>
          <w:color w:val="auto"/>
          <w:sz w:val="24"/>
          <w:highlight w:val="none"/>
        </w:rPr>
        <w:t>.1大气环境质量现状评价结论</w:t>
      </w:r>
    </w:p>
    <w:p w14:paraId="4915B7EC">
      <w:pPr>
        <w:keepNext w:val="0"/>
        <w:keepLines w:val="0"/>
        <w:pageBreakBefore w:val="0"/>
        <w:widowControl/>
        <w:kinsoku/>
        <w:wordWrap/>
        <w:overflowPunct w:val="0"/>
        <w:topLinePunct w:val="0"/>
        <w:autoSpaceDE w:val="0"/>
        <w:autoSpaceDN w:val="0"/>
        <w:bidi w:val="0"/>
        <w:adjustRightInd w:val="0"/>
        <w:snapToGrid w:val="0"/>
        <w:spacing w:line="360" w:lineRule="auto"/>
        <w:ind w:left="0" w:right="0" w:firstLine="468" w:firstLineChars="20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根据本项目所在区域的监测数据，评价区</w:t>
      </w:r>
      <w:r>
        <w:rPr>
          <w:rFonts w:hint="default" w:ascii="Times New Roman" w:hAnsi="Times New Roman" w:eastAsia="Times New Roman" w:cs="Times New Roman"/>
          <w:color w:val="auto"/>
          <w:spacing w:val="-3"/>
          <w:sz w:val="24"/>
          <w:szCs w:val="24"/>
          <w:highlight w:val="none"/>
        </w:rPr>
        <w:t>SO</w:t>
      </w:r>
      <w:r>
        <w:rPr>
          <w:rFonts w:hint="default" w:ascii="Times New Roman" w:hAnsi="Times New Roman" w:eastAsia="Times New Roman" w:cs="Times New Roman"/>
          <w:color w:val="auto"/>
          <w:spacing w:val="-3"/>
          <w:position w:val="-3"/>
          <w:sz w:val="16"/>
          <w:szCs w:val="16"/>
          <w:highlight w:val="none"/>
        </w:rPr>
        <w:t>2</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NO</w:t>
      </w:r>
      <w:r>
        <w:rPr>
          <w:rFonts w:hint="default" w:ascii="Times New Roman" w:hAnsi="Times New Roman" w:eastAsia="Times New Roman" w:cs="Times New Roman"/>
          <w:color w:val="auto"/>
          <w:spacing w:val="-3"/>
          <w:position w:val="-3"/>
          <w:sz w:val="16"/>
          <w:szCs w:val="16"/>
          <w:highlight w:val="none"/>
        </w:rPr>
        <w:t>2</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PM</w:t>
      </w:r>
      <w:r>
        <w:rPr>
          <w:rFonts w:hint="default" w:ascii="Times New Roman" w:hAnsi="Times New Roman" w:eastAsia="Times New Roman" w:cs="Times New Roman"/>
          <w:color w:val="auto"/>
          <w:spacing w:val="-3"/>
          <w:position w:val="-2"/>
          <w:sz w:val="16"/>
          <w:szCs w:val="16"/>
          <w:highlight w:val="none"/>
        </w:rPr>
        <w:t>10</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PM</w:t>
      </w:r>
      <w:r>
        <w:rPr>
          <w:rFonts w:hint="default" w:ascii="Times New Roman" w:hAnsi="Times New Roman" w:eastAsia="Times New Roman" w:cs="Times New Roman"/>
          <w:color w:val="auto"/>
          <w:spacing w:val="-3"/>
          <w:position w:val="-2"/>
          <w:sz w:val="16"/>
          <w:szCs w:val="16"/>
          <w:highlight w:val="none"/>
        </w:rPr>
        <w:t>2.5</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CO24</w:t>
      </w:r>
      <w:r>
        <w:rPr>
          <w:rFonts w:hint="default" w:ascii="Times New Roman" w:hAnsi="Times New Roman" w:eastAsia="宋体" w:cs="Times New Roman"/>
          <w:color w:val="auto"/>
          <w:spacing w:val="-3"/>
          <w:sz w:val="24"/>
          <w:szCs w:val="24"/>
          <w:highlight w:val="none"/>
        </w:rPr>
        <w:t>小</w:t>
      </w:r>
      <w:r>
        <w:rPr>
          <w:rFonts w:hint="default" w:ascii="Times New Roman" w:hAnsi="Times New Roman" w:eastAsia="宋体" w:cs="Times New Roman"/>
          <w:color w:val="auto"/>
          <w:spacing w:val="-2"/>
          <w:sz w:val="24"/>
          <w:szCs w:val="24"/>
          <w:highlight w:val="none"/>
        </w:rPr>
        <w:t>时平均浓度</w:t>
      </w:r>
      <w:r>
        <w:rPr>
          <w:rFonts w:hint="eastAsia" w:ascii="Times New Roman" w:hAnsi="Times New Roman" w:eastAsia="宋体" w:cs="Times New Roman"/>
          <w:color w:val="auto"/>
          <w:spacing w:val="-2"/>
          <w:sz w:val="24"/>
          <w:szCs w:val="24"/>
          <w:highlight w:val="none"/>
          <w:lang w:eastAsia="zh-CN"/>
        </w:rPr>
        <w:t>、</w:t>
      </w:r>
      <w:r>
        <w:rPr>
          <w:rFonts w:hint="default" w:ascii="Times New Roman" w:hAnsi="Times New Roman" w:eastAsia="Times New Roman" w:cs="Times New Roman"/>
          <w:color w:val="auto"/>
          <w:spacing w:val="-2"/>
          <w:sz w:val="24"/>
          <w:szCs w:val="24"/>
          <w:highlight w:val="none"/>
        </w:rPr>
        <w:t>O</w:t>
      </w:r>
      <w:r>
        <w:rPr>
          <w:rFonts w:hint="default" w:ascii="Times New Roman" w:hAnsi="Times New Roman" w:eastAsia="Times New Roman" w:cs="Times New Roman"/>
          <w:color w:val="auto"/>
          <w:spacing w:val="-2"/>
          <w:position w:val="-3"/>
          <w:sz w:val="16"/>
          <w:szCs w:val="16"/>
          <w:highlight w:val="none"/>
        </w:rPr>
        <w:t>3</w:t>
      </w:r>
      <w:r>
        <w:rPr>
          <w:rFonts w:hint="default" w:ascii="Times New Roman" w:hAnsi="Times New Roman" w:eastAsia="宋体" w:cs="Times New Roman"/>
          <w:color w:val="auto"/>
          <w:spacing w:val="-2"/>
          <w:sz w:val="24"/>
          <w:szCs w:val="24"/>
          <w:highlight w:val="none"/>
        </w:rPr>
        <w:t>最大</w:t>
      </w:r>
      <w:r>
        <w:rPr>
          <w:rFonts w:hint="default" w:ascii="Times New Roman" w:hAnsi="Times New Roman" w:eastAsia="Times New Roman" w:cs="Times New Roman"/>
          <w:color w:val="auto"/>
          <w:spacing w:val="-2"/>
          <w:sz w:val="24"/>
          <w:szCs w:val="24"/>
          <w:highlight w:val="none"/>
        </w:rPr>
        <w:t>8</w:t>
      </w:r>
      <w:r>
        <w:rPr>
          <w:rFonts w:hint="default" w:ascii="Times New Roman" w:hAnsi="Times New Roman" w:eastAsia="宋体" w:cs="Times New Roman"/>
          <w:color w:val="auto"/>
          <w:spacing w:val="-1"/>
          <w:sz w:val="24"/>
          <w:szCs w:val="24"/>
          <w:highlight w:val="none"/>
        </w:rPr>
        <w:t>小时浓度</w:t>
      </w:r>
      <w:r>
        <w:rPr>
          <w:rFonts w:hint="default" w:ascii="Times New Roman" w:hAnsi="Times New Roman" w:eastAsia="宋体" w:cs="Times New Roman"/>
          <w:color w:val="auto"/>
          <w:spacing w:val="-2"/>
          <w:sz w:val="24"/>
          <w:szCs w:val="24"/>
          <w:highlight w:val="none"/>
        </w:rPr>
        <w:t>均满足《环境空气质量标准》（</w:t>
      </w:r>
      <w:r>
        <w:rPr>
          <w:rFonts w:hint="default" w:ascii="Times New Roman" w:hAnsi="Times New Roman" w:eastAsia="Times New Roman" w:cs="Times New Roman"/>
          <w:color w:val="auto"/>
          <w:spacing w:val="-2"/>
          <w:sz w:val="24"/>
          <w:szCs w:val="24"/>
          <w:highlight w:val="none"/>
        </w:rPr>
        <w:t>GB3095-2012</w:t>
      </w:r>
      <w:r>
        <w:rPr>
          <w:rFonts w:hint="default" w:ascii="Times New Roman" w:hAnsi="Times New Roman" w:eastAsia="宋体" w:cs="Times New Roman"/>
          <w:color w:val="auto"/>
          <w:spacing w:val="-2"/>
          <w:sz w:val="24"/>
          <w:szCs w:val="24"/>
          <w:highlight w:val="none"/>
        </w:rPr>
        <w:t>）二级标准的要求。</w:t>
      </w:r>
    </w:p>
    <w:p w14:paraId="1D8EAF3C">
      <w:pPr>
        <w:keepNext w:val="0"/>
        <w:keepLines w:val="0"/>
        <w:pageBreakBefore w:val="0"/>
        <w:widowControl/>
        <w:kinsoku/>
        <w:wordWrap w:val="0"/>
        <w:overflowPunct/>
        <w:topLinePunct/>
        <w:autoSpaceDE/>
        <w:autoSpaceDN/>
        <w:bidi w:val="0"/>
        <w:adjustRightInd w:val="0"/>
        <w:snapToGrid w:val="0"/>
        <w:spacing w:line="360" w:lineRule="auto"/>
        <w:ind w:left="0" w:right="0" w:firstLine="482"/>
        <w:jc w:val="both"/>
        <w:textAlignment w:val="baseline"/>
        <w:rPr>
          <w:rFonts w:hint="default" w:ascii="Times New Roman" w:hAnsi="Times New Roman" w:eastAsia="宋体" w:cs="Times New Roman"/>
          <w:color w:val="0000FF"/>
          <w:sz w:val="24"/>
          <w:szCs w:val="24"/>
          <w:highlight w:val="yellow"/>
          <w:lang w:val="en-US"/>
        </w:rPr>
      </w:pPr>
      <w:r>
        <w:rPr>
          <w:rFonts w:hint="default" w:ascii="Times New Roman" w:hAnsi="Times New Roman" w:eastAsia="宋体" w:cs="Times New Roman"/>
          <w:color w:val="auto"/>
          <w:spacing w:val="-3"/>
          <w:sz w:val="24"/>
          <w:szCs w:val="24"/>
          <w:highlight w:val="yellow"/>
        </w:rPr>
        <w:t>根</w:t>
      </w:r>
      <w:r>
        <w:rPr>
          <w:rFonts w:hint="default" w:ascii="Times New Roman" w:hAnsi="Times New Roman" w:eastAsia="宋体" w:cs="Times New Roman"/>
          <w:color w:val="0000FF"/>
          <w:spacing w:val="-3"/>
          <w:sz w:val="24"/>
          <w:szCs w:val="24"/>
          <w:highlight w:val="yellow"/>
        </w:rPr>
        <w:t>据现状监测，评价区内氨和硫化氢占标百分比</w:t>
      </w:r>
      <w:r>
        <w:rPr>
          <w:rFonts w:hint="default" w:ascii="Times New Roman" w:hAnsi="Times New Roman" w:eastAsia="Times New Roman" w:cs="Times New Roman"/>
          <w:color w:val="0000FF"/>
          <w:spacing w:val="-3"/>
          <w:sz w:val="24"/>
          <w:szCs w:val="24"/>
          <w:highlight w:val="yellow"/>
        </w:rPr>
        <w:t>Pi</w:t>
      </w:r>
      <w:r>
        <w:rPr>
          <w:rFonts w:hint="default" w:ascii="Times New Roman" w:hAnsi="Times New Roman" w:eastAsia="宋体" w:cs="Times New Roman"/>
          <w:color w:val="0000FF"/>
          <w:spacing w:val="-3"/>
          <w:sz w:val="24"/>
          <w:szCs w:val="24"/>
          <w:highlight w:val="yellow"/>
        </w:rPr>
        <w:t>均无大</w:t>
      </w:r>
      <w:r>
        <w:rPr>
          <w:rFonts w:hint="default" w:ascii="Times New Roman" w:hAnsi="Times New Roman" w:eastAsia="宋体" w:cs="Times New Roman"/>
          <w:color w:val="0000FF"/>
          <w:spacing w:val="-4"/>
          <w:sz w:val="24"/>
          <w:szCs w:val="24"/>
          <w:highlight w:val="yellow"/>
        </w:rPr>
        <w:t>于</w:t>
      </w:r>
      <w:r>
        <w:rPr>
          <w:rFonts w:hint="default" w:ascii="Times New Roman" w:hAnsi="Times New Roman" w:eastAsia="Times New Roman" w:cs="Times New Roman"/>
          <w:color w:val="0000FF"/>
          <w:spacing w:val="-4"/>
          <w:sz w:val="24"/>
          <w:szCs w:val="24"/>
          <w:highlight w:val="yellow"/>
        </w:rPr>
        <w:t>100%</w:t>
      </w:r>
      <w:r>
        <w:rPr>
          <w:rFonts w:hint="default" w:ascii="Times New Roman" w:hAnsi="Times New Roman" w:eastAsia="宋体" w:cs="Times New Roman"/>
          <w:color w:val="0000FF"/>
          <w:spacing w:val="-4"/>
          <w:sz w:val="24"/>
          <w:szCs w:val="24"/>
          <w:highlight w:val="yellow"/>
        </w:rPr>
        <w:t>情况出现，均能</w:t>
      </w:r>
      <w:r>
        <w:rPr>
          <w:rFonts w:hint="default" w:ascii="Times New Roman" w:hAnsi="Times New Roman" w:eastAsia="宋体" w:cs="Times New Roman"/>
          <w:color w:val="0000FF"/>
          <w:sz w:val="24"/>
          <w:szCs w:val="24"/>
          <w:highlight w:val="yellow"/>
        </w:rPr>
        <w:t>够满足《环境影响评价技术导则大气环境》（</w:t>
      </w:r>
      <w:r>
        <w:rPr>
          <w:rFonts w:hint="default" w:ascii="Times New Roman" w:hAnsi="Times New Roman" w:eastAsia="Times New Roman" w:cs="Times New Roman"/>
          <w:color w:val="0000FF"/>
          <w:sz w:val="24"/>
          <w:szCs w:val="24"/>
          <w:highlight w:val="yellow"/>
        </w:rPr>
        <w:t>HJ2.2—201</w:t>
      </w:r>
      <w:r>
        <w:rPr>
          <w:rFonts w:hint="default" w:ascii="Times New Roman" w:hAnsi="Times New Roman" w:eastAsia="Times New Roman" w:cs="Times New Roman"/>
          <w:color w:val="0000FF"/>
          <w:spacing w:val="-1"/>
          <w:sz w:val="24"/>
          <w:szCs w:val="24"/>
          <w:highlight w:val="yellow"/>
        </w:rPr>
        <w:t>8</w:t>
      </w:r>
      <w:r>
        <w:rPr>
          <w:rFonts w:hint="default" w:ascii="Times New Roman" w:hAnsi="Times New Roman" w:eastAsia="宋体" w:cs="Times New Roman"/>
          <w:color w:val="0000FF"/>
          <w:spacing w:val="-1"/>
          <w:sz w:val="24"/>
          <w:szCs w:val="24"/>
          <w:highlight w:val="yellow"/>
        </w:rPr>
        <w:t>）中附录</w:t>
      </w:r>
      <w:r>
        <w:rPr>
          <w:rFonts w:hint="default" w:ascii="Times New Roman" w:hAnsi="Times New Roman" w:eastAsia="Times New Roman" w:cs="Times New Roman"/>
          <w:color w:val="0000FF"/>
          <w:spacing w:val="-1"/>
          <w:sz w:val="24"/>
          <w:szCs w:val="24"/>
          <w:highlight w:val="yellow"/>
        </w:rPr>
        <w:t>D</w:t>
      </w:r>
      <w:r>
        <w:rPr>
          <w:rFonts w:hint="default" w:ascii="Times New Roman" w:hAnsi="Times New Roman" w:eastAsia="宋体" w:cs="Times New Roman"/>
          <w:color w:val="0000FF"/>
          <w:spacing w:val="-1"/>
          <w:sz w:val="24"/>
          <w:szCs w:val="24"/>
          <w:highlight w:val="yellow"/>
        </w:rPr>
        <w:t>其他污染物空气质量浓度参考限值</w:t>
      </w:r>
      <w:r>
        <w:rPr>
          <w:rFonts w:hint="eastAsia" w:ascii="Times New Roman" w:hAnsi="Times New Roman" w:eastAsia="宋体" w:cs="Times New Roman"/>
          <w:color w:val="0000FF"/>
          <w:spacing w:val="-1"/>
          <w:sz w:val="24"/>
          <w:szCs w:val="24"/>
          <w:highlight w:val="yellow"/>
          <w:lang w:eastAsia="zh-CN"/>
        </w:rPr>
        <w:t>，</w:t>
      </w:r>
      <w:r>
        <w:rPr>
          <w:rFonts w:hint="eastAsia" w:ascii="Times New Roman" w:hAnsi="Times New Roman" w:eastAsia="宋体" w:cs="Times New Roman"/>
          <w:color w:val="0000FF"/>
          <w:spacing w:val="-3"/>
          <w:sz w:val="24"/>
          <w:szCs w:val="24"/>
          <w:highlight w:val="yellow"/>
          <w:lang w:val="en-US" w:eastAsia="zh-CN"/>
        </w:rPr>
        <w:t>总悬浮颗粒</w:t>
      </w:r>
      <w:r>
        <w:rPr>
          <w:rFonts w:hint="eastAsia" w:ascii="Times New Roman" w:hAnsi="Times New Roman" w:eastAsia="宋体" w:cs="Times New Roman"/>
          <w:color w:val="0000FF"/>
          <w:sz w:val="24"/>
          <w:szCs w:val="24"/>
          <w:highlight w:val="yellow"/>
          <w:lang w:val="en-US" w:eastAsia="zh-CN"/>
        </w:rPr>
        <w:t>物满足《环境空气质量标准》（</w:t>
      </w:r>
      <w:r>
        <w:rPr>
          <w:rFonts w:hint="default" w:ascii="Times New Roman" w:hAnsi="Times New Roman" w:eastAsia="宋体" w:cs="Times New Roman"/>
          <w:color w:val="0000FF"/>
          <w:sz w:val="24"/>
          <w:szCs w:val="24"/>
          <w:highlight w:val="yellow"/>
          <w:lang w:val="en-US" w:eastAsia="zh-CN"/>
        </w:rPr>
        <w:t>GB3095-2012</w:t>
      </w:r>
      <w:r>
        <w:rPr>
          <w:rFonts w:hint="eastAsia" w:ascii="Times New Roman" w:hAnsi="Times New Roman" w:eastAsia="宋体" w:cs="Times New Roman"/>
          <w:color w:val="0000FF"/>
          <w:sz w:val="24"/>
          <w:szCs w:val="24"/>
          <w:highlight w:val="yellow"/>
          <w:lang w:val="en-US" w:eastAsia="zh-CN"/>
        </w:rPr>
        <w:t>）（修改单）二级标准，</w:t>
      </w:r>
      <w:r>
        <w:rPr>
          <w:rFonts w:hint="eastAsia" w:ascii="Times New Roman" w:hAnsi="Times New Roman" w:eastAsia="宋体" w:cs="Times New Roman"/>
          <w:color w:val="0000FF"/>
          <w:sz w:val="24"/>
          <w:szCs w:val="24"/>
          <w:highlight w:val="green"/>
          <w:lang w:val="en-US" w:eastAsia="zh-CN"/>
        </w:rPr>
        <w:t>臭气浓度满足《恶臭污染物排放标准》(GB14554-93）表 1 中二级新改扩建标准。</w:t>
      </w:r>
    </w:p>
    <w:p w14:paraId="5B659AB2">
      <w:pPr>
        <w:keepNext w:val="0"/>
        <w:keepLines w:val="0"/>
        <w:pageBreakBefore w:val="0"/>
        <w:widowControl/>
        <w:kinsoku/>
        <w:wordWrap w:val="0"/>
        <w:overflowPunct/>
        <w:topLinePunct/>
        <w:autoSpaceDE/>
        <w:autoSpaceDN/>
        <w:bidi w:val="0"/>
        <w:adjustRightInd w:val="0"/>
        <w:snapToGrid w:val="0"/>
        <w:spacing w:line="360" w:lineRule="auto"/>
        <w:ind w:right="0"/>
        <w:jc w:val="both"/>
        <w:textAlignment w:val="baseline"/>
        <w:outlineLvl w:val="3"/>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9.1.</w:t>
      </w:r>
      <w:r>
        <w:rPr>
          <w:rFonts w:hint="default" w:ascii="Times New Roman" w:hAnsi="Times New Roman" w:eastAsia="宋体" w:cs="Times New Roman"/>
          <w:b/>
          <w:bCs/>
          <w:color w:val="auto"/>
          <w:sz w:val="24"/>
          <w:highlight w:val="none"/>
          <w:lang w:val="en-US" w:eastAsia="zh-CN"/>
        </w:rPr>
        <w:t>3</w:t>
      </w:r>
      <w:r>
        <w:rPr>
          <w:rFonts w:hint="default" w:ascii="Times New Roman" w:hAnsi="Times New Roman" w:eastAsia="宋体" w:cs="Times New Roman"/>
          <w:b/>
          <w:bCs/>
          <w:color w:val="auto"/>
          <w:sz w:val="24"/>
          <w:highlight w:val="none"/>
        </w:rPr>
        <w:t>.</w:t>
      </w:r>
      <w:r>
        <w:rPr>
          <w:rFonts w:hint="default" w:ascii="Times New Roman" w:hAnsi="Times New Roman" w:eastAsia="宋体" w:cs="Times New Roman"/>
          <w:b/>
          <w:bCs/>
          <w:color w:val="auto"/>
          <w:sz w:val="24"/>
          <w:highlight w:val="none"/>
          <w:lang w:val="en-US" w:eastAsia="zh-CN"/>
        </w:rPr>
        <w:t>2地表水</w:t>
      </w:r>
      <w:r>
        <w:rPr>
          <w:rFonts w:hint="default" w:ascii="Times New Roman" w:hAnsi="Times New Roman" w:eastAsia="宋体" w:cs="Times New Roman"/>
          <w:b/>
          <w:bCs/>
          <w:color w:val="auto"/>
          <w:sz w:val="24"/>
          <w:highlight w:val="none"/>
        </w:rPr>
        <w:t>环境质量现状评价结论</w:t>
      </w:r>
    </w:p>
    <w:p w14:paraId="10DE5EC6">
      <w:pPr>
        <w:keepNext w:val="0"/>
        <w:keepLines w:val="0"/>
        <w:pageBreakBefore w:val="0"/>
        <w:widowControl/>
        <w:suppressLineNumbers w:val="0"/>
        <w:kinsoku/>
        <w:wordWrap w:val="0"/>
        <w:overflowPunct/>
        <w:topLinePunct/>
        <w:autoSpaceDE/>
        <w:autoSpaceDN/>
        <w:bidi w:val="0"/>
        <w:adjustRightInd/>
        <w:snapToGrid/>
        <w:spacing w:beforeAutospacing="0" w:after="0" w:afterAutospacing="0" w:line="360" w:lineRule="auto"/>
        <w:ind w:left="0" w:right="0" w:firstLine="464" w:firstLineChars="200"/>
        <w:jc w:val="left"/>
        <w:textAlignment w:val="auto"/>
        <w:rPr>
          <w:rFonts w:hint="default" w:ascii="Times New Roman" w:hAnsi="Times New Roman" w:eastAsia="宋体" w:cs="Times New Roman"/>
          <w:color w:val="auto"/>
          <w:spacing w:val="-4"/>
          <w:sz w:val="24"/>
          <w:szCs w:val="24"/>
          <w:highlight w:val="none"/>
        </w:rPr>
      </w:pPr>
      <w:r>
        <w:rPr>
          <w:rFonts w:hint="default" w:ascii="Times New Roman" w:hAnsi="Times New Roman" w:eastAsia="宋体" w:cs="Times New Roman"/>
          <w:color w:val="auto"/>
          <w:spacing w:val="-4"/>
          <w:sz w:val="24"/>
          <w:szCs w:val="24"/>
          <w:highlight w:val="none"/>
        </w:rPr>
        <w:t>本项目所在区域地表水体主要为安邦河，安邦河为松花江右岸支流，根据《全国重要江河湖泊水功能区划(2011-2030)》确定该段水质目标为Ⅳ类水体。根据2022年双鸭山市水质环境质量报告(第一季度-第四季度)，安邦河(兴农排灌站断面)2022年第一季度监测项目24项，水质满足Ⅳ类水质要求</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第二季度监测项目 10项，水质满足Ⅳ类水质要求</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第三季度监测项目 11项，水质满足Ⅳ类水质要求</w:t>
      </w:r>
      <w:r>
        <w:rPr>
          <w:rFonts w:hint="default" w:ascii="Times New Roman" w:hAnsi="Times New Roman" w:eastAsia="宋体" w:cs="Times New Roman"/>
          <w:color w:val="auto"/>
          <w:spacing w:val="-4"/>
          <w:sz w:val="24"/>
          <w:szCs w:val="24"/>
          <w:highlight w:val="none"/>
          <w:lang w:eastAsia="zh-CN"/>
        </w:rPr>
        <w:t>；</w:t>
      </w:r>
      <w:r>
        <w:rPr>
          <w:rFonts w:hint="default" w:ascii="Times New Roman" w:hAnsi="Times New Roman" w:eastAsia="宋体" w:cs="Times New Roman"/>
          <w:color w:val="auto"/>
          <w:spacing w:val="-4"/>
          <w:sz w:val="24"/>
          <w:szCs w:val="24"/>
          <w:highlight w:val="none"/>
        </w:rPr>
        <w:t>第四季度监测项目11项，水质满足Ⅳ类水质要求。因此根据202</w:t>
      </w:r>
      <w:r>
        <w:rPr>
          <w:rFonts w:hint="default" w:ascii="Times New Roman" w:hAnsi="Times New Roman" w:eastAsia="宋体" w:cs="Times New Roman"/>
          <w:color w:val="auto"/>
          <w:spacing w:val="-4"/>
          <w:sz w:val="24"/>
          <w:szCs w:val="24"/>
          <w:highlight w:val="none"/>
          <w:lang w:val="en-US" w:eastAsia="zh-CN"/>
        </w:rPr>
        <w:t>3</w:t>
      </w:r>
      <w:r>
        <w:rPr>
          <w:rFonts w:hint="default" w:ascii="Times New Roman" w:hAnsi="Times New Roman" w:eastAsia="宋体" w:cs="Times New Roman"/>
          <w:color w:val="auto"/>
          <w:spacing w:val="-4"/>
          <w:sz w:val="24"/>
          <w:szCs w:val="24"/>
          <w:highlight w:val="none"/>
        </w:rPr>
        <w:t>年双鸭山市水质环境质量报告可知安邦河满足《地表水环境质量标准》(GB3838-2002)Ⅳ类水环境功能区要求。</w:t>
      </w:r>
    </w:p>
    <w:p w14:paraId="6B1F80DE">
      <w:pPr>
        <w:keepNext w:val="0"/>
        <w:keepLines w:val="0"/>
        <w:pageBreakBefore w:val="0"/>
        <w:widowControl/>
        <w:kinsoku/>
        <w:wordWrap w:val="0"/>
        <w:overflowPunct/>
        <w:topLinePunct/>
        <w:autoSpaceDE/>
        <w:autoSpaceDN/>
        <w:bidi w:val="0"/>
        <w:adjustRightInd w:val="0"/>
        <w:snapToGrid w:val="0"/>
        <w:spacing w:line="360" w:lineRule="auto"/>
        <w:ind w:left="0" w:right="0"/>
        <w:jc w:val="both"/>
        <w:textAlignment w:val="baseline"/>
        <w:outlineLvl w:val="3"/>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9.1.</w:t>
      </w:r>
      <w:r>
        <w:rPr>
          <w:rFonts w:hint="default" w:ascii="Times New Roman" w:hAnsi="Times New Roman" w:eastAsia="宋体" w:cs="Times New Roman"/>
          <w:b/>
          <w:bCs/>
          <w:color w:val="auto"/>
          <w:sz w:val="24"/>
          <w:highlight w:val="none"/>
          <w:lang w:val="en-US" w:eastAsia="zh-CN"/>
        </w:rPr>
        <w:t>3</w:t>
      </w:r>
      <w:r>
        <w:rPr>
          <w:rFonts w:hint="default" w:ascii="Times New Roman" w:hAnsi="Times New Roman" w:eastAsia="宋体" w:cs="Times New Roman"/>
          <w:b/>
          <w:bCs/>
          <w:color w:val="auto"/>
          <w:sz w:val="24"/>
          <w:highlight w:val="none"/>
        </w:rPr>
        <w:t>.</w:t>
      </w:r>
      <w:r>
        <w:rPr>
          <w:rFonts w:hint="default" w:ascii="Times New Roman" w:hAnsi="Times New Roman" w:eastAsia="宋体" w:cs="Times New Roman"/>
          <w:b/>
          <w:bCs/>
          <w:color w:val="auto"/>
          <w:sz w:val="24"/>
          <w:highlight w:val="none"/>
          <w:lang w:val="en-US" w:eastAsia="zh-CN"/>
        </w:rPr>
        <w:t>3地下水</w:t>
      </w:r>
      <w:r>
        <w:rPr>
          <w:rFonts w:hint="default" w:ascii="Times New Roman" w:hAnsi="Times New Roman" w:eastAsia="宋体" w:cs="Times New Roman"/>
          <w:b/>
          <w:bCs/>
          <w:color w:val="auto"/>
          <w:sz w:val="24"/>
          <w:highlight w:val="none"/>
        </w:rPr>
        <w:t>环境质量现状评价结论</w:t>
      </w:r>
    </w:p>
    <w:p w14:paraId="37758E52">
      <w:pPr>
        <w:keepNext w:val="0"/>
        <w:keepLines w:val="0"/>
        <w:pageBreakBefore w:val="0"/>
        <w:widowControl/>
        <w:kinsoku/>
        <w:wordWrap w:val="0"/>
        <w:overflowPunct/>
        <w:topLinePunct/>
        <w:autoSpaceDE/>
        <w:autoSpaceDN/>
        <w:bidi w:val="0"/>
        <w:adjustRightInd w:val="0"/>
        <w:snapToGrid w:val="0"/>
        <w:spacing w:line="360" w:lineRule="auto"/>
        <w:ind w:left="0" w:right="0" w:firstLine="480"/>
        <w:jc w:val="both"/>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3"/>
          <w:sz w:val="24"/>
          <w:szCs w:val="24"/>
          <w:highlight w:val="none"/>
        </w:rPr>
        <w:t>根据前文地下水水质监测结果及标准指数可知，在监测时段内，各个点位各项监</w:t>
      </w:r>
      <w:r>
        <w:rPr>
          <w:rFonts w:hint="default" w:ascii="Times New Roman" w:hAnsi="Times New Roman" w:eastAsia="宋体" w:cs="Times New Roman"/>
          <w:color w:val="auto"/>
          <w:spacing w:val="-2"/>
          <w:sz w:val="24"/>
          <w:szCs w:val="24"/>
          <w:highlight w:val="none"/>
        </w:rPr>
        <w:t>测因子除锰之外均满足《地下水质量标准》</w:t>
      </w:r>
      <w:r>
        <w:rPr>
          <w:rFonts w:hint="default" w:ascii="Times New Roman" w:hAnsi="Times New Roman" w:eastAsia="宋体" w:cs="Times New Roman"/>
          <w:color w:val="auto"/>
          <w:spacing w:val="-3"/>
          <w:sz w:val="24"/>
          <w:szCs w:val="24"/>
          <w:highlight w:val="none"/>
        </w:rPr>
        <w:t>（</w:t>
      </w:r>
      <w:r>
        <w:rPr>
          <w:rFonts w:hint="default" w:ascii="Times New Roman" w:hAnsi="Times New Roman" w:eastAsia="Times New Roman" w:cs="Times New Roman"/>
          <w:color w:val="auto"/>
          <w:spacing w:val="-3"/>
          <w:sz w:val="24"/>
          <w:szCs w:val="24"/>
          <w:highlight w:val="none"/>
        </w:rPr>
        <w:t>GB/T14848-2017</w:t>
      </w:r>
      <w:r>
        <w:rPr>
          <w:rFonts w:hint="default" w:ascii="Times New Roman" w:hAnsi="Times New Roman" w:eastAsia="宋体" w:cs="Times New Roman"/>
          <w:color w:val="auto"/>
          <w:spacing w:val="-3"/>
          <w:sz w:val="24"/>
          <w:szCs w:val="24"/>
          <w:highlight w:val="none"/>
        </w:rPr>
        <w:t>）中的Ⅲ类标准限</w:t>
      </w:r>
      <w:r>
        <w:rPr>
          <w:rFonts w:hint="default" w:ascii="Times New Roman" w:hAnsi="Times New Roman" w:eastAsia="宋体" w:cs="Times New Roman"/>
          <w:color w:val="auto"/>
          <w:spacing w:val="-1"/>
          <w:sz w:val="24"/>
          <w:szCs w:val="24"/>
          <w:highlight w:val="none"/>
        </w:rPr>
        <w:t>值要求，超标原因为受当地原生地质环境的影响，当地地</w:t>
      </w:r>
      <w:r>
        <w:rPr>
          <w:rFonts w:hint="default" w:ascii="Times New Roman" w:hAnsi="Times New Roman" w:eastAsia="宋体" w:cs="Times New Roman"/>
          <w:color w:val="auto"/>
          <w:spacing w:val="-2"/>
          <w:sz w:val="24"/>
          <w:szCs w:val="24"/>
          <w:highlight w:val="none"/>
        </w:rPr>
        <w:t>下水环境质量良好。</w:t>
      </w:r>
    </w:p>
    <w:p w14:paraId="7A41ED49">
      <w:pPr>
        <w:keepNext w:val="0"/>
        <w:keepLines w:val="0"/>
        <w:pageBreakBefore w:val="0"/>
        <w:widowControl/>
        <w:kinsoku/>
        <w:wordWrap w:val="0"/>
        <w:overflowPunct/>
        <w:topLinePunct/>
        <w:autoSpaceDE/>
        <w:autoSpaceDN/>
        <w:bidi w:val="0"/>
        <w:adjustRightInd w:val="0"/>
        <w:snapToGrid w:val="0"/>
        <w:spacing w:line="360" w:lineRule="auto"/>
        <w:ind w:left="0" w:right="0"/>
        <w:jc w:val="both"/>
        <w:textAlignment w:val="baseline"/>
        <w:outlineLvl w:val="3"/>
        <w:rPr>
          <w:rFonts w:hint="default" w:ascii="Times New Roman" w:hAnsi="Times New Roman" w:eastAsia="宋体" w:cs="Times New Roman"/>
          <w:b/>
          <w:bCs/>
          <w:color w:val="auto"/>
          <w:sz w:val="24"/>
          <w:highlight w:val="none"/>
        </w:rPr>
      </w:pPr>
      <w:r>
        <w:rPr>
          <w:rFonts w:hint="default" w:ascii="Times New Roman" w:hAnsi="Times New Roman" w:eastAsia="宋体" w:cs="Times New Roman"/>
          <w:b/>
          <w:bCs/>
          <w:color w:val="auto"/>
          <w:sz w:val="24"/>
          <w:highlight w:val="none"/>
        </w:rPr>
        <w:t>9.1.</w:t>
      </w:r>
      <w:r>
        <w:rPr>
          <w:rFonts w:hint="default" w:ascii="Times New Roman" w:hAnsi="Times New Roman" w:eastAsia="宋体" w:cs="Times New Roman"/>
          <w:b/>
          <w:bCs/>
          <w:color w:val="auto"/>
          <w:sz w:val="24"/>
          <w:highlight w:val="none"/>
          <w:lang w:val="en-US" w:eastAsia="zh-CN"/>
        </w:rPr>
        <w:t>3</w:t>
      </w:r>
      <w:r>
        <w:rPr>
          <w:rFonts w:hint="default" w:ascii="Times New Roman" w:hAnsi="Times New Roman" w:eastAsia="宋体" w:cs="Times New Roman"/>
          <w:b/>
          <w:bCs/>
          <w:color w:val="auto"/>
          <w:sz w:val="24"/>
          <w:highlight w:val="none"/>
        </w:rPr>
        <w:t>.</w:t>
      </w:r>
      <w:r>
        <w:rPr>
          <w:rFonts w:hint="default" w:ascii="Times New Roman" w:hAnsi="Times New Roman" w:eastAsia="宋体" w:cs="Times New Roman"/>
          <w:b/>
          <w:bCs/>
          <w:color w:val="auto"/>
          <w:sz w:val="24"/>
          <w:highlight w:val="none"/>
          <w:lang w:val="en-US" w:eastAsia="zh-CN"/>
        </w:rPr>
        <w:t>4噪声</w:t>
      </w:r>
      <w:r>
        <w:rPr>
          <w:rFonts w:hint="default" w:ascii="Times New Roman" w:hAnsi="Times New Roman" w:eastAsia="宋体" w:cs="Times New Roman"/>
          <w:b/>
          <w:bCs/>
          <w:color w:val="auto"/>
          <w:sz w:val="24"/>
          <w:highlight w:val="none"/>
        </w:rPr>
        <w:t>环境质量现状评价结论</w:t>
      </w:r>
    </w:p>
    <w:p w14:paraId="008375E3">
      <w:pPr>
        <w:keepNext w:val="0"/>
        <w:keepLines w:val="0"/>
        <w:pageBreakBefore w:val="0"/>
        <w:widowControl/>
        <w:kinsoku/>
        <w:wordWrap w:val="0"/>
        <w:overflowPunct/>
        <w:topLinePunct/>
        <w:autoSpaceDE/>
        <w:autoSpaceDN/>
        <w:bidi w:val="0"/>
        <w:adjustRightInd w:val="0"/>
        <w:snapToGrid w:val="0"/>
        <w:spacing w:line="360" w:lineRule="auto"/>
        <w:ind w:left="0" w:firstLine="468" w:firstLineChars="200"/>
        <w:textAlignment w:val="baseline"/>
        <w:rPr>
          <w:rFonts w:hint="default" w:ascii="Times New Roman" w:hAnsi="Times New Roman" w:eastAsia="宋体" w:cs="Times New Roman"/>
          <w:snapToGrid w:val="0"/>
          <w:color w:val="auto"/>
          <w:spacing w:val="-3"/>
          <w:kern w:val="0"/>
          <w:sz w:val="24"/>
          <w:szCs w:val="24"/>
          <w:highlight w:val="none"/>
          <w:lang w:val="en-US" w:eastAsia="en-US" w:bidi="ar-SA"/>
        </w:rPr>
      </w:pPr>
      <w:r>
        <w:rPr>
          <w:rFonts w:hint="default" w:ascii="Times New Roman" w:hAnsi="Times New Roman" w:eastAsia="宋体" w:cs="Times New Roman"/>
          <w:snapToGrid w:val="0"/>
          <w:color w:val="auto"/>
          <w:spacing w:val="-3"/>
          <w:kern w:val="0"/>
          <w:sz w:val="24"/>
          <w:szCs w:val="24"/>
          <w:highlight w:val="none"/>
          <w:lang w:val="en-US" w:eastAsia="en-US" w:bidi="ar-SA"/>
        </w:rPr>
        <w:t>项目区评价范围内各监测点昼间及夜间等效连续A声级均无超标现象，达标率100%，评价区噪声背景值满足《声环境质量标准》（GB3096-2008）</w:t>
      </w:r>
      <w:r>
        <w:rPr>
          <w:rFonts w:hint="default" w:ascii="Times New Roman" w:hAnsi="Times New Roman" w:eastAsia="宋体" w:cs="Times New Roman"/>
          <w:snapToGrid w:val="0"/>
          <w:color w:val="FF0000"/>
          <w:spacing w:val="-3"/>
          <w:kern w:val="0"/>
          <w:sz w:val="24"/>
          <w:szCs w:val="24"/>
          <w:highlight w:val="none"/>
          <w:lang w:val="en-US" w:eastAsia="zh-CN" w:bidi="ar-SA"/>
        </w:rPr>
        <w:t>1</w:t>
      </w:r>
      <w:r>
        <w:rPr>
          <w:rFonts w:hint="default" w:ascii="Times New Roman" w:hAnsi="Times New Roman" w:eastAsia="宋体" w:cs="Times New Roman"/>
          <w:snapToGrid w:val="0"/>
          <w:color w:val="FF0000"/>
          <w:spacing w:val="-3"/>
          <w:kern w:val="0"/>
          <w:sz w:val="24"/>
          <w:szCs w:val="24"/>
          <w:highlight w:val="none"/>
          <w:lang w:val="en-US" w:eastAsia="en-US" w:bidi="ar-SA"/>
        </w:rPr>
        <w:t>类</w:t>
      </w:r>
      <w:r>
        <w:rPr>
          <w:rFonts w:hint="default" w:ascii="Times New Roman" w:hAnsi="Times New Roman" w:eastAsia="宋体" w:cs="Times New Roman"/>
          <w:snapToGrid w:val="0"/>
          <w:color w:val="auto"/>
          <w:spacing w:val="-3"/>
          <w:kern w:val="0"/>
          <w:sz w:val="24"/>
          <w:szCs w:val="24"/>
          <w:highlight w:val="none"/>
          <w:lang w:val="en-US" w:eastAsia="en-US" w:bidi="ar-SA"/>
        </w:rPr>
        <w:t>声环境功能区标准限值。</w:t>
      </w:r>
    </w:p>
    <w:p w14:paraId="77D3210F">
      <w:pPr>
        <w:keepNext w:val="0"/>
        <w:keepLines w:val="0"/>
        <w:pageBreakBefore w:val="0"/>
        <w:widowControl/>
        <w:kinsoku/>
        <w:wordWrap w:val="0"/>
        <w:overflowPunct/>
        <w:topLinePunct/>
        <w:autoSpaceDE/>
        <w:autoSpaceDN/>
        <w:bidi w:val="0"/>
        <w:adjustRightInd w:val="0"/>
        <w:snapToGrid w:val="0"/>
        <w:spacing w:line="360" w:lineRule="auto"/>
        <w:ind w:left="0" w:right="0"/>
        <w:jc w:val="both"/>
        <w:textAlignment w:val="baseline"/>
        <w:outlineLvl w:val="3"/>
        <w:rPr>
          <w:rFonts w:hint="default" w:ascii="Times New Roman" w:hAnsi="Times New Roman" w:eastAsia="宋体" w:cs="Times New Roman"/>
          <w:b/>
          <w:bCs/>
          <w:color w:val="auto"/>
          <w:sz w:val="24"/>
          <w:highlight w:val="none"/>
          <w:lang w:eastAsia="zh-CN"/>
        </w:rPr>
      </w:pPr>
      <w:r>
        <w:rPr>
          <w:rFonts w:hint="default" w:ascii="Times New Roman" w:hAnsi="Times New Roman" w:eastAsia="宋体" w:cs="Times New Roman"/>
          <w:b/>
          <w:bCs/>
          <w:color w:val="auto"/>
          <w:sz w:val="24"/>
          <w:highlight w:val="none"/>
        </w:rPr>
        <w:t>9.1.</w:t>
      </w:r>
      <w:r>
        <w:rPr>
          <w:rFonts w:hint="default" w:ascii="Times New Roman" w:hAnsi="Times New Roman" w:eastAsia="宋体" w:cs="Times New Roman"/>
          <w:b/>
          <w:bCs/>
          <w:color w:val="auto"/>
          <w:sz w:val="24"/>
          <w:highlight w:val="none"/>
          <w:lang w:val="en-US" w:eastAsia="zh-CN"/>
        </w:rPr>
        <w:t>3</w:t>
      </w:r>
      <w:r>
        <w:rPr>
          <w:rFonts w:hint="default" w:ascii="Times New Roman" w:hAnsi="Times New Roman" w:eastAsia="宋体" w:cs="Times New Roman"/>
          <w:b/>
          <w:bCs/>
          <w:color w:val="auto"/>
          <w:sz w:val="24"/>
          <w:highlight w:val="none"/>
        </w:rPr>
        <w:t>.</w:t>
      </w:r>
      <w:r>
        <w:rPr>
          <w:rFonts w:hint="default" w:ascii="Times New Roman" w:hAnsi="Times New Roman" w:eastAsia="宋体" w:cs="Times New Roman"/>
          <w:b/>
          <w:bCs/>
          <w:color w:val="auto"/>
          <w:sz w:val="24"/>
          <w:highlight w:val="none"/>
          <w:lang w:val="en-US" w:eastAsia="zh-CN"/>
        </w:rPr>
        <w:t>5生态</w:t>
      </w:r>
      <w:r>
        <w:rPr>
          <w:rFonts w:hint="default" w:ascii="Times New Roman" w:hAnsi="Times New Roman" w:eastAsia="宋体" w:cs="Times New Roman"/>
          <w:b/>
          <w:bCs/>
          <w:color w:val="auto"/>
          <w:sz w:val="24"/>
          <w:highlight w:val="none"/>
        </w:rPr>
        <w:t>环境</w:t>
      </w:r>
      <w:r>
        <w:rPr>
          <w:rFonts w:hint="default" w:ascii="Times New Roman" w:hAnsi="Times New Roman" w:eastAsia="宋体" w:cs="Times New Roman"/>
          <w:b/>
          <w:bCs/>
          <w:color w:val="auto"/>
          <w:sz w:val="24"/>
          <w:highlight w:val="none"/>
          <w:lang w:val="en-US" w:eastAsia="zh-CN"/>
        </w:rPr>
        <w:t>现状调查</w:t>
      </w:r>
    </w:p>
    <w:p w14:paraId="3F5BB588">
      <w:pPr>
        <w:keepNext w:val="0"/>
        <w:keepLines w:val="0"/>
        <w:pageBreakBefore w:val="0"/>
        <w:widowControl/>
        <w:kinsoku/>
        <w:wordWrap w:val="0"/>
        <w:overflowPunct/>
        <w:topLinePunct/>
        <w:autoSpaceDE/>
        <w:autoSpaceDN/>
        <w:bidi w:val="0"/>
        <w:adjustRightInd w:val="0"/>
        <w:snapToGrid w:val="0"/>
        <w:spacing w:line="360" w:lineRule="auto"/>
        <w:ind w:left="0" w:right="0" w:firstLine="43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1"/>
          <w:sz w:val="24"/>
          <w:szCs w:val="24"/>
          <w:highlight w:val="none"/>
        </w:rPr>
        <w:t>根据调查，厂区土地利用现状为草地，本项目周边东侧为道路及农田，北侧为农田、</w:t>
      </w:r>
      <w:r>
        <w:rPr>
          <w:rFonts w:hint="default" w:ascii="Times New Roman" w:hAnsi="Times New Roman" w:eastAsia="宋体" w:cs="Times New Roman"/>
          <w:color w:val="auto"/>
          <w:spacing w:val="-3"/>
          <w:sz w:val="24"/>
          <w:szCs w:val="24"/>
          <w:highlight w:val="none"/>
        </w:rPr>
        <w:t>西侧和南侧为林地；植物主要为杨树和松树等，野生动物主要有蚂蚁、蝗虫、</w:t>
      </w:r>
      <w:r>
        <w:rPr>
          <w:rFonts w:hint="default" w:ascii="Times New Roman" w:hAnsi="Times New Roman" w:eastAsia="宋体" w:cs="Times New Roman"/>
          <w:color w:val="auto"/>
          <w:spacing w:val="-4"/>
          <w:sz w:val="24"/>
          <w:szCs w:val="24"/>
          <w:highlight w:val="none"/>
        </w:rPr>
        <w:t>毛虫、蜘</w:t>
      </w:r>
      <w:r>
        <w:rPr>
          <w:rFonts w:hint="default" w:ascii="Times New Roman" w:hAnsi="Times New Roman" w:eastAsia="宋体" w:cs="Times New Roman"/>
          <w:color w:val="auto"/>
          <w:spacing w:val="-3"/>
          <w:sz w:val="24"/>
          <w:szCs w:val="24"/>
          <w:highlight w:val="none"/>
        </w:rPr>
        <w:t>蛛、蚯蚓、鼹鼠、野兔等，各类野生植物及动物种类基本上都是常见的广布种，</w:t>
      </w:r>
      <w:r>
        <w:rPr>
          <w:rFonts w:hint="default" w:ascii="Times New Roman" w:hAnsi="Times New Roman" w:eastAsia="宋体" w:cs="Times New Roman"/>
          <w:color w:val="auto"/>
          <w:spacing w:val="-4"/>
          <w:sz w:val="24"/>
          <w:szCs w:val="24"/>
          <w:highlight w:val="none"/>
        </w:rPr>
        <w:t>不具有</w:t>
      </w:r>
      <w:r>
        <w:rPr>
          <w:rFonts w:hint="default" w:ascii="Times New Roman" w:hAnsi="Times New Roman" w:eastAsia="宋体" w:cs="Times New Roman"/>
          <w:color w:val="auto"/>
          <w:spacing w:val="-2"/>
          <w:sz w:val="24"/>
          <w:szCs w:val="24"/>
          <w:highlight w:val="none"/>
        </w:rPr>
        <w:t>地区的特殊性。</w:t>
      </w:r>
    </w:p>
    <w:p w14:paraId="0F5130D6">
      <w:pPr>
        <w:keepNext w:val="0"/>
        <w:keepLines w:val="0"/>
        <w:pageBreakBefore w:val="0"/>
        <w:widowControl/>
        <w:kinsoku/>
        <w:wordWrap w:val="0"/>
        <w:overflowPunct/>
        <w:topLinePunct/>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1"/>
          <w:sz w:val="24"/>
          <w:szCs w:val="24"/>
          <w:highlight w:val="none"/>
        </w:rPr>
        <w:t>综上所述，野生植物及动物种类基本上都是常</w:t>
      </w:r>
      <w:r>
        <w:rPr>
          <w:rFonts w:hint="default" w:ascii="Times New Roman" w:hAnsi="Times New Roman" w:eastAsia="宋体" w:cs="Times New Roman"/>
          <w:color w:val="auto"/>
          <w:spacing w:val="-2"/>
          <w:sz w:val="24"/>
          <w:szCs w:val="24"/>
          <w:highlight w:val="none"/>
        </w:rPr>
        <w:t>见的广布种，不具有地区的特殊性</w:t>
      </w:r>
      <w:r>
        <w:rPr>
          <w:rFonts w:hint="default" w:ascii="Times New Roman" w:hAnsi="Times New Roman" w:eastAsia="宋体" w:cs="Times New Roman"/>
          <w:color w:val="auto"/>
          <w:spacing w:val="-4"/>
          <w:sz w:val="24"/>
          <w:szCs w:val="24"/>
          <w:highlight w:val="none"/>
        </w:rPr>
        <w:t>。</w:t>
      </w:r>
    </w:p>
    <w:p w14:paraId="690C727F">
      <w:pPr>
        <w:keepNext w:val="0"/>
        <w:keepLines w:val="0"/>
        <w:pageBreakBefore w:val="0"/>
        <w:widowControl/>
        <w:kinsoku/>
        <w:wordWrap w:val="0"/>
        <w:overflowPunct/>
        <w:topLinePunct/>
        <w:autoSpaceDE/>
        <w:autoSpaceDN/>
        <w:bidi w:val="0"/>
        <w:adjustRightInd w:val="0"/>
        <w:snapToGrid w:val="0"/>
        <w:spacing w:line="360" w:lineRule="auto"/>
        <w:ind w:right="0"/>
        <w:textAlignment w:val="baseline"/>
        <w:outlineLvl w:val="2"/>
        <w:rPr>
          <w:rFonts w:hint="default" w:ascii="Times New Roman" w:hAnsi="Times New Roman" w:eastAsia="宋体" w:cs="Times New Roman"/>
          <w:b/>
          <w:bCs/>
          <w:color w:val="auto"/>
          <w:sz w:val="24"/>
          <w:szCs w:val="24"/>
          <w:highlight w:val="none"/>
          <w:lang w:val="en-US" w:eastAsia="zh-CN"/>
        </w:rPr>
      </w:pPr>
      <w:bookmarkStart w:id="286" w:name="_Toc6765"/>
      <w:bookmarkStart w:id="287" w:name="_Toc16694"/>
      <w:bookmarkStart w:id="288" w:name="_Toc29404"/>
      <w:r>
        <w:rPr>
          <w:rFonts w:hint="default" w:ascii="Times New Roman" w:hAnsi="Times New Roman" w:eastAsia="宋体" w:cs="Times New Roman"/>
          <w:b/>
          <w:bCs/>
          <w:color w:val="auto"/>
          <w:sz w:val="24"/>
          <w:szCs w:val="24"/>
          <w:highlight w:val="none"/>
          <w:lang w:val="en-US" w:eastAsia="zh-CN"/>
        </w:rPr>
        <w:t>9.1.4污染防治措施可行性结论</w:t>
      </w:r>
      <w:bookmarkEnd w:id="286"/>
    </w:p>
    <w:p w14:paraId="085737A7">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3"/>
        <w:rPr>
          <w:rFonts w:hint="default" w:ascii="Times New Roman" w:hAnsi="Times New Roman" w:eastAsia="Times New Roman" w:cs="Times New Roman"/>
          <w:b/>
          <w:bCs/>
          <w:color w:val="auto"/>
          <w:spacing w:val="-3"/>
          <w:sz w:val="30"/>
          <w:szCs w:val="30"/>
          <w:highlight w:val="none"/>
          <w:lang w:val="en-US"/>
        </w:rPr>
      </w:pPr>
      <w:r>
        <w:rPr>
          <w:rFonts w:hint="default" w:ascii="Times New Roman" w:hAnsi="Times New Roman" w:eastAsia="宋体" w:cs="Times New Roman"/>
          <w:b/>
          <w:bCs/>
          <w:color w:val="auto"/>
          <w:sz w:val="24"/>
          <w:szCs w:val="24"/>
          <w:highlight w:val="none"/>
          <w:lang w:val="en-US" w:eastAsia="zh-CN"/>
        </w:rPr>
        <w:t>9.1.4.1大气污染防治措施可行性结论</w:t>
      </w:r>
    </w:p>
    <w:p w14:paraId="072D64D2">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auto"/>
          <w:sz w:val="24"/>
          <w:szCs w:val="24"/>
          <w:highlight w:val="green"/>
          <w:lang w:val="en-US" w:eastAsia="zh-CN"/>
        </w:rPr>
      </w:pPr>
      <w:r>
        <w:rPr>
          <w:rFonts w:hint="default" w:ascii="Times New Roman" w:hAnsi="Times New Roman" w:eastAsia="宋体" w:cs="Times New Roman"/>
          <w:color w:val="auto"/>
          <w:sz w:val="24"/>
          <w:szCs w:val="24"/>
          <w:highlight w:val="green"/>
          <w:lang w:eastAsia="zh-CN"/>
        </w:rPr>
        <w:t>牛舍采用干撒式发酵床工艺，</w:t>
      </w:r>
      <w:r>
        <w:rPr>
          <w:rFonts w:hint="eastAsia" w:ascii="Times New Roman" w:hAnsi="Times New Roman" w:eastAsia="宋体" w:cs="Times New Roman"/>
          <w:color w:val="auto"/>
          <w:sz w:val="24"/>
          <w:szCs w:val="24"/>
          <w:highlight w:val="green"/>
          <w:lang w:val="en-US" w:eastAsia="zh-CN"/>
        </w:rPr>
        <w:t>日粮中添加菌剂，</w:t>
      </w:r>
      <w:r>
        <w:rPr>
          <w:rFonts w:hint="default" w:ascii="Times New Roman" w:hAnsi="Times New Roman" w:eastAsia="宋体" w:cs="Times New Roman"/>
          <w:color w:val="auto"/>
          <w:sz w:val="24"/>
          <w:szCs w:val="24"/>
          <w:highlight w:val="green"/>
          <w:lang w:eastAsia="zh-CN"/>
        </w:rPr>
        <w:t>加强牛舍通风</w:t>
      </w:r>
      <w:r>
        <w:rPr>
          <w:rFonts w:hint="eastAsia" w:ascii="Times New Roman" w:hAnsi="Times New Roman" w:eastAsia="宋体" w:cs="Times New Roman"/>
          <w:color w:val="auto"/>
          <w:sz w:val="24"/>
          <w:szCs w:val="24"/>
          <w:highlight w:val="green"/>
          <w:lang w:eastAsia="zh-CN"/>
        </w:rPr>
        <w:t>，</w:t>
      </w:r>
      <w:r>
        <w:rPr>
          <w:rFonts w:hint="eastAsia" w:ascii="Times New Roman" w:hAnsi="Times New Roman" w:eastAsia="宋体" w:cs="Times New Roman"/>
          <w:color w:val="0000FF"/>
          <w:sz w:val="24"/>
          <w:szCs w:val="24"/>
          <w:highlight w:val="green"/>
          <w:lang w:val="en-US" w:eastAsia="zh-CN"/>
        </w:rPr>
        <w:t>四周喷洒微生物除臭剂等措施后</w:t>
      </w:r>
      <w:r>
        <w:rPr>
          <w:rFonts w:hint="default" w:ascii="Times New Roman" w:hAnsi="Times New Roman" w:eastAsia="宋体" w:cs="Times New Roman"/>
          <w:snapToGrid w:val="0"/>
          <w:color w:val="auto"/>
          <w:spacing w:val="-4"/>
          <w:kern w:val="0"/>
          <w:sz w:val="24"/>
          <w:szCs w:val="24"/>
          <w:highlight w:val="green"/>
          <w:lang w:val="zh-CN" w:eastAsia="en-US" w:bidi="ar-SA"/>
        </w:rPr>
        <w:t>臭气浓度</w:t>
      </w:r>
      <w:r>
        <w:rPr>
          <w:rFonts w:hint="eastAsia" w:ascii="Times New Roman" w:hAnsi="Times New Roman" w:eastAsia="宋体" w:cs="Times New Roman"/>
          <w:snapToGrid w:val="0"/>
          <w:color w:val="auto"/>
          <w:spacing w:val="-4"/>
          <w:kern w:val="0"/>
          <w:sz w:val="24"/>
          <w:szCs w:val="24"/>
          <w:highlight w:val="green"/>
          <w:lang w:val="zh-CN" w:eastAsia="en-US" w:bidi="ar-SA"/>
        </w:rPr>
        <w:t>、</w:t>
      </w:r>
      <w:r>
        <w:rPr>
          <w:rFonts w:hint="default" w:ascii="Times New Roman" w:hAnsi="Times New Roman" w:eastAsia="宋体" w:cs="Times New Roman"/>
          <w:color w:val="0000FF"/>
          <w:sz w:val="24"/>
          <w:szCs w:val="24"/>
          <w:highlight w:val="green"/>
          <w:lang w:val="en-US" w:eastAsia="zh-CN"/>
        </w:rPr>
        <w:t>硫化氢、氨在</w:t>
      </w:r>
      <w:r>
        <w:rPr>
          <w:rFonts w:hint="eastAsia" w:ascii="Times New Roman" w:hAnsi="Times New Roman" w:eastAsia="宋体" w:cs="Times New Roman"/>
          <w:color w:val="0000FF"/>
          <w:sz w:val="24"/>
          <w:szCs w:val="24"/>
          <w:highlight w:val="green"/>
          <w:lang w:val="en-US" w:eastAsia="zh-CN"/>
        </w:rPr>
        <w:t>厂界</w:t>
      </w:r>
      <w:r>
        <w:rPr>
          <w:rFonts w:hint="default" w:ascii="Times New Roman" w:hAnsi="Times New Roman" w:eastAsia="宋体" w:cs="Times New Roman"/>
          <w:color w:val="0000FF"/>
          <w:sz w:val="24"/>
          <w:szCs w:val="24"/>
          <w:highlight w:val="green"/>
          <w:lang w:val="en-US" w:eastAsia="zh-CN"/>
        </w:rPr>
        <w:t>浓度满足《恶臭污染物排放标准》（GB14554-93）表1中二级新扩改建标准。</w:t>
      </w:r>
    </w:p>
    <w:p w14:paraId="44560760">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color w:val="FF0000"/>
          <w:sz w:val="24"/>
          <w:szCs w:val="24"/>
          <w:highlight w:val="green"/>
          <w:lang w:val="en-US" w:eastAsia="zh-CN"/>
        </w:rPr>
      </w:pPr>
      <w:r>
        <w:rPr>
          <w:rFonts w:hint="default" w:ascii="Times New Roman" w:hAnsi="Times New Roman" w:eastAsia="宋体" w:cs="Times New Roman"/>
          <w:color w:val="0000FF"/>
          <w:sz w:val="24"/>
          <w:szCs w:val="24"/>
          <w:highlight w:val="green"/>
          <w:lang w:val="en-US" w:eastAsia="zh-CN"/>
        </w:rPr>
        <w:t>粪污储存间</w:t>
      </w:r>
      <w:r>
        <w:rPr>
          <w:rFonts w:hint="eastAsia" w:ascii="Times New Roman" w:hAnsi="Times New Roman" w:eastAsia="宋体" w:cs="Times New Roman"/>
          <w:color w:val="0000FF"/>
          <w:sz w:val="24"/>
          <w:szCs w:val="24"/>
          <w:highlight w:val="green"/>
          <w:lang w:val="en-US" w:eastAsia="zh-CN"/>
        </w:rPr>
        <w:t>密闭箱式车间经集气罩收集后（收集效率80%），产生的恶臭气体通过活性炭吸附（吸附效率80%）处理后经过15m高排气筒排放，粪污储存间四周定期喷洒微生物除臭剂，</w:t>
      </w:r>
      <w:r>
        <w:rPr>
          <w:rFonts w:hint="default" w:ascii="Times New Roman" w:hAnsi="Times New Roman" w:eastAsia="宋体" w:cs="Times New Roman"/>
          <w:color w:val="0000FF"/>
          <w:sz w:val="24"/>
          <w:szCs w:val="24"/>
          <w:highlight w:val="green"/>
          <w:lang w:val="en-US" w:eastAsia="zh-CN"/>
        </w:rPr>
        <w:t>在采取以上措施后，</w:t>
      </w:r>
      <w:r>
        <w:rPr>
          <w:rFonts w:hint="eastAsia" w:ascii="Times New Roman" w:hAnsi="Times New Roman" w:eastAsia="宋体" w:cs="Times New Roman"/>
          <w:color w:val="0000FF"/>
          <w:sz w:val="24"/>
          <w:szCs w:val="24"/>
          <w:highlight w:val="green"/>
          <w:lang w:val="en-US" w:eastAsia="zh-CN"/>
        </w:rPr>
        <w:t>有组织废气臭气浓度、氨、硫化氢满足《恶臭污染物排放标准》（GB14554-93）表2中15m高排气筒标准要求，无组织废气</w:t>
      </w:r>
      <w:r>
        <w:rPr>
          <w:rFonts w:hint="default" w:ascii="Times New Roman" w:hAnsi="Times New Roman" w:eastAsia="宋体" w:cs="Times New Roman"/>
          <w:snapToGrid w:val="0"/>
          <w:color w:val="auto"/>
          <w:spacing w:val="-4"/>
          <w:kern w:val="0"/>
          <w:sz w:val="24"/>
          <w:szCs w:val="24"/>
          <w:highlight w:val="green"/>
          <w:lang w:val="zh-CN" w:eastAsia="en-US" w:bidi="ar-SA"/>
        </w:rPr>
        <w:t>臭气浓度</w:t>
      </w:r>
      <w:r>
        <w:rPr>
          <w:rFonts w:hint="eastAsia" w:ascii="Times New Roman" w:hAnsi="Times New Roman" w:eastAsia="宋体" w:cs="Times New Roman"/>
          <w:snapToGrid w:val="0"/>
          <w:color w:val="auto"/>
          <w:spacing w:val="-4"/>
          <w:kern w:val="0"/>
          <w:sz w:val="24"/>
          <w:szCs w:val="24"/>
          <w:highlight w:val="green"/>
          <w:lang w:val="zh-CN" w:eastAsia="en-US" w:bidi="ar-SA"/>
        </w:rPr>
        <w:t>、</w:t>
      </w:r>
      <w:r>
        <w:rPr>
          <w:rFonts w:hint="default" w:ascii="Times New Roman" w:hAnsi="Times New Roman" w:eastAsia="宋体" w:cs="Times New Roman"/>
          <w:color w:val="0000FF"/>
          <w:sz w:val="24"/>
          <w:szCs w:val="24"/>
          <w:highlight w:val="green"/>
          <w:lang w:val="en-US" w:eastAsia="zh-CN"/>
        </w:rPr>
        <w:t>硫化氢、氨在</w:t>
      </w:r>
      <w:r>
        <w:rPr>
          <w:rFonts w:hint="eastAsia" w:ascii="Times New Roman" w:hAnsi="Times New Roman" w:eastAsia="宋体" w:cs="Times New Roman"/>
          <w:color w:val="0000FF"/>
          <w:sz w:val="24"/>
          <w:szCs w:val="24"/>
          <w:highlight w:val="green"/>
          <w:lang w:val="en-US" w:eastAsia="zh-CN"/>
        </w:rPr>
        <w:t>厂界</w:t>
      </w:r>
      <w:r>
        <w:rPr>
          <w:rFonts w:hint="default" w:ascii="Times New Roman" w:hAnsi="Times New Roman" w:eastAsia="宋体" w:cs="Times New Roman"/>
          <w:color w:val="0000FF"/>
          <w:sz w:val="24"/>
          <w:szCs w:val="24"/>
          <w:highlight w:val="green"/>
          <w:lang w:val="en-US" w:eastAsia="zh-CN"/>
        </w:rPr>
        <w:t>浓度满足《恶臭污染物排放标准》（GB14554-93）表1中二级新扩改建标准。</w:t>
      </w:r>
    </w:p>
    <w:p w14:paraId="0581CC39">
      <w:pPr>
        <w:keepNext w:val="0"/>
        <w:keepLines w:val="0"/>
        <w:pageBreakBefore w:val="0"/>
        <w:widowControl/>
        <w:kinsoku/>
        <w:wordWrap w:val="0"/>
        <w:overflowPunct/>
        <w:topLinePunct/>
        <w:autoSpaceDE/>
        <w:autoSpaceDN/>
        <w:bidi w:val="0"/>
        <w:adjustRightInd w:val="0"/>
        <w:snapToGrid w:val="0"/>
        <w:spacing w:line="360" w:lineRule="auto"/>
        <w:ind w:left="0" w:right="0" w:firstLine="480" w:firstLineChars="200"/>
        <w:textAlignment w:val="baseline"/>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lang w:eastAsia="zh-CN"/>
        </w:rPr>
        <w:t>综上所述，项目采取了积极有效的污染</w:t>
      </w:r>
      <w:r>
        <w:rPr>
          <w:rFonts w:hint="default" w:ascii="Times New Roman" w:hAnsi="Times New Roman" w:eastAsia="宋体" w:cs="Times New Roman"/>
          <w:color w:val="auto"/>
          <w:sz w:val="24"/>
          <w:szCs w:val="24"/>
          <w:highlight w:val="none"/>
          <w:lang w:val="en-US" w:eastAsia="zh-CN"/>
        </w:rPr>
        <w:t>防治</w:t>
      </w:r>
      <w:r>
        <w:rPr>
          <w:rFonts w:hint="default" w:ascii="Times New Roman" w:hAnsi="Times New Roman" w:eastAsia="宋体" w:cs="Times New Roman"/>
          <w:color w:val="auto"/>
          <w:sz w:val="24"/>
          <w:szCs w:val="24"/>
          <w:highlight w:val="none"/>
          <w:lang w:eastAsia="zh-CN"/>
        </w:rPr>
        <w:t>措施，各大气污染物对环境空气的贡献值均不大，并且可以达标排放，对周围环境影响不大，从环境空气的角度来看，该项目是可行的。</w:t>
      </w:r>
    </w:p>
    <w:p w14:paraId="70FDDBFD">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3"/>
        <w:rPr>
          <w:rFonts w:hint="default" w:ascii="Times New Roman" w:hAnsi="Times New Roman" w:eastAsia="Times New Roman" w:cs="Times New Roman"/>
          <w:b/>
          <w:bCs/>
          <w:color w:val="auto"/>
          <w:spacing w:val="-3"/>
          <w:sz w:val="30"/>
          <w:szCs w:val="30"/>
          <w:highlight w:val="none"/>
          <w:lang w:val="en-US"/>
        </w:rPr>
      </w:pPr>
      <w:r>
        <w:rPr>
          <w:rFonts w:hint="default" w:ascii="Times New Roman" w:hAnsi="Times New Roman" w:eastAsia="宋体" w:cs="Times New Roman"/>
          <w:b/>
          <w:bCs/>
          <w:color w:val="auto"/>
          <w:sz w:val="24"/>
          <w:szCs w:val="24"/>
          <w:highlight w:val="none"/>
          <w:lang w:val="en-US" w:eastAsia="zh-CN"/>
        </w:rPr>
        <w:t>9.1.4.2废水污染防治措施可行性结论</w:t>
      </w:r>
    </w:p>
    <w:p w14:paraId="4E7F81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napToGrid w:val="0"/>
          <w:color w:val="auto"/>
          <w:kern w:val="0"/>
          <w:sz w:val="24"/>
          <w:szCs w:val="24"/>
          <w:highlight w:val="none"/>
          <w:lang w:val="en-US" w:eastAsia="zh-CN"/>
        </w:rPr>
      </w:pPr>
      <w:r>
        <w:rPr>
          <w:rFonts w:hint="default" w:ascii="Times New Roman" w:hAnsi="Times New Roman" w:eastAsia="宋体" w:cs="Times New Roman"/>
          <w:b w:val="0"/>
          <w:bCs w:val="0"/>
          <w:color w:val="auto"/>
          <w:kern w:val="2"/>
          <w:sz w:val="24"/>
          <w:szCs w:val="24"/>
          <w:highlight w:val="none"/>
          <w:lang w:val="en-US" w:eastAsia="zh-CN" w:bidi="ar-SA"/>
        </w:rPr>
        <w:t>本项目</w:t>
      </w:r>
      <w:r>
        <w:rPr>
          <w:rFonts w:hint="default" w:ascii="Times New Roman" w:hAnsi="Times New Roman" w:eastAsia="宋体" w:cs="Times New Roman"/>
          <w:color w:val="auto"/>
          <w:kern w:val="2"/>
          <w:sz w:val="24"/>
          <w:szCs w:val="24"/>
          <w:highlight w:val="none"/>
          <w:lang w:val="zh-CN" w:eastAsia="zh-CN"/>
        </w:rPr>
        <w:t>采用干撒式发酵床工艺，</w:t>
      </w:r>
      <w:r>
        <w:rPr>
          <w:rFonts w:hint="default" w:ascii="Times New Roman" w:hAnsi="Times New Roman" w:eastAsia="宋体" w:cs="Times New Roman"/>
          <w:color w:val="auto"/>
          <w:kern w:val="2"/>
          <w:sz w:val="24"/>
          <w:szCs w:val="24"/>
          <w:highlight w:val="none"/>
          <w:lang w:val="en-US" w:eastAsia="zh-CN"/>
        </w:rPr>
        <w:t>本项目</w:t>
      </w:r>
      <w:r>
        <w:rPr>
          <w:rFonts w:hint="default" w:ascii="Times New Roman" w:hAnsi="Times New Roman" w:eastAsia="宋体" w:cs="Times New Roman"/>
          <w:color w:val="auto"/>
          <w:sz w:val="24"/>
          <w:szCs w:val="24"/>
          <w:highlight w:val="none"/>
          <w:lang w:val="en-US" w:eastAsia="zh-CN"/>
        </w:rPr>
        <w:t>生活污水</w:t>
      </w:r>
      <w:r>
        <w:rPr>
          <w:rFonts w:hint="default" w:ascii="Times New Roman" w:hAnsi="Times New Roman" w:cs="Times New Roman"/>
          <w:color w:val="auto"/>
          <w:sz w:val="24"/>
          <w:szCs w:val="24"/>
          <w:highlight w:val="none"/>
          <w:lang w:val="en-US" w:eastAsia="zh-CN"/>
        </w:rPr>
        <w:t>防渗旱厕定期清掏，不外排</w:t>
      </w:r>
      <w:r>
        <w:rPr>
          <w:rFonts w:hint="default" w:ascii="Times New Roman" w:hAnsi="Times New Roman" w:eastAsia="宋体" w:cs="Times New Roman"/>
          <w:color w:val="auto"/>
          <w:kern w:val="2"/>
          <w:sz w:val="24"/>
          <w:szCs w:val="24"/>
          <w:highlight w:val="none"/>
          <w:lang w:val="zh-CN"/>
        </w:rPr>
        <w:t>。</w:t>
      </w:r>
      <w:r>
        <w:rPr>
          <w:rFonts w:hint="default" w:ascii="Times New Roman" w:hAnsi="Times New Roman" w:eastAsia="宋体" w:cs="Times New Roman"/>
          <w:snapToGrid w:val="0"/>
          <w:color w:val="auto"/>
          <w:kern w:val="0"/>
          <w:sz w:val="24"/>
          <w:szCs w:val="24"/>
          <w:highlight w:val="none"/>
        </w:rPr>
        <w:t>干撒式发酵床发酵菌剂可将牛尿、牛粪一部分降解为水蒸气和二氧化碳，另一部分转化为粗蛋白、菌体蛋白和维生素等营养物质。从源头上消除了粪尿对生态环境的污染</w:t>
      </w:r>
      <w:r>
        <w:rPr>
          <w:rFonts w:hint="default" w:ascii="Times New Roman" w:hAnsi="Times New Roman" w:eastAsia="宋体" w:cs="Times New Roman"/>
          <w:snapToGrid w:val="0"/>
          <w:color w:val="auto"/>
          <w:kern w:val="0"/>
          <w:sz w:val="24"/>
          <w:szCs w:val="24"/>
          <w:highlight w:val="none"/>
          <w:lang w:eastAsia="zh-CN"/>
        </w:rPr>
        <w:t>，</w:t>
      </w:r>
      <w:r>
        <w:rPr>
          <w:rFonts w:hint="default" w:ascii="Times New Roman" w:hAnsi="Times New Roman" w:eastAsia="宋体" w:cs="Times New Roman"/>
          <w:snapToGrid w:val="0"/>
          <w:color w:val="auto"/>
          <w:kern w:val="0"/>
          <w:sz w:val="24"/>
          <w:szCs w:val="24"/>
          <w:highlight w:val="none"/>
          <w:lang w:val="en-US" w:eastAsia="zh-CN"/>
        </w:rPr>
        <w:t>不外排。</w:t>
      </w:r>
    </w:p>
    <w:p w14:paraId="378F0DE2">
      <w:pPr>
        <w:pStyle w:val="40"/>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综上所述，本项目</w:t>
      </w:r>
      <w:r>
        <w:rPr>
          <w:rFonts w:hint="eastAsia" w:ascii="Times New Roman" w:hAnsi="Times New Roman" w:eastAsia="宋体" w:cs="Times New Roman"/>
          <w:color w:val="auto"/>
          <w:sz w:val="24"/>
          <w:szCs w:val="24"/>
          <w:highlight w:val="none"/>
          <w:lang w:val="en-US" w:eastAsia="zh-CN"/>
        </w:rPr>
        <w:t>不</w:t>
      </w:r>
      <w:r>
        <w:rPr>
          <w:rFonts w:hint="default" w:ascii="Times New Roman" w:hAnsi="Times New Roman" w:eastAsia="宋体" w:cs="Times New Roman"/>
          <w:color w:val="auto"/>
          <w:sz w:val="24"/>
          <w:szCs w:val="24"/>
          <w:highlight w:val="none"/>
          <w:lang w:val="en-US" w:eastAsia="zh-CN"/>
        </w:rPr>
        <w:t>排放的</w:t>
      </w:r>
      <w:r>
        <w:rPr>
          <w:rFonts w:hint="eastAsia" w:ascii="Times New Roman" w:hAnsi="Times New Roman" w:eastAsia="宋体" w:cs="Times New Roman"/>
          <w:color w:val="auto"/>
          <w:sz w:val="24"/>
          <w:szCs w:val="24"/>
          <w:highlight w:val="none"/>
          <w:lang w:val="en-US" w:eastAsia="zh-CN"/>
        </w:rPr>
        <w:t>生产</w:t>
      </w:r>
      <w:r>
        <w:rPr>
          <w:rFonts w:hint="default" w:ascii="Times New Roman" w:hAnsi="Times New Roman" w:eastAsia="宋体" w:cs="Times New Roman"/>
          <w:color w:val="auto"/>
          <w:sz w:val="24"/>
          <w:szCs w:val="24"/>
          <w:highlight w:val="none"/>
          <w:lang w:val="en-US" w:eastAsia="zh-CN"/>
        </w:rPr>
        <w:t>废水</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不会对地表水环境产生影响。</w:t>
      </w:r>
    </w:p>
    <w:p w14:paraId="7DCF4B2B">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3"/>
        <w:rPr>
          <w:rFonts w:hint="default" w:ascii="Times New Roman" w:hAnsi="Times New Roman" w:eastAsia="Times New Roman" w:cs="Times New Roman"/>
          <w:b/>
          <w:bCs/>
          <w:color w:val="auto"/>
          <w:spacing w:val="-3"/>
          <w:sz w:val="30"/>
          <w:szCs w:val="30"/>
          <w:highlight w:val="none"/>
          <w:lang w:val="en-US"/>
        </w:rPr>
      </w:pPr>
      <w:r>
        <w:rPr>
          <w:rFonts w:hint="default" w:ascii="Times New Roman" w:hAnsi="Times New Roman" w:eastAsia="宋体" w:cs="Times New Roman"/>
          <w:b/>
          <w:bCs/>
          <w:color w:val="auto"/>
          <w:sz w:val="24"/>
          <w:szCs w:val="24"/>
          <w:highlight w:val="none"/>
          <w:lang w:val="en-US" w:eastAsia="zh-CN"/>
        </w:rPr>
        <w:t>9.1.4.3地下水污染防治措施可行性结论</w:t>
      </w:r>
    </w:p>
    <w:p w14:paraId="5382F462">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为保护地下水资源，本工程（包含现有工程）采取分区防渗。</w:t>
      </w:r>
    </w:p>
    <w:p w14:paraId="56B6EE62">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①医疗废物暂存间、粪污储存间按重点防渗区采取重点防渗措施。</w:t>
      </w:r>
    </w:p>
    <w:p w14:paraId="79EAC837">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②牛舍、运动场、青储窖、化粪池、闲置用房采取一般防渗措施。</w:t>
      </w:r>
    </w:p>
    <w:p w14:paraId="3DF00446">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fldChar w:fldCharType="begin"/>
      </w:r>
      <w:r>
        <w:rPr>
          <w:rFonts w:hint="default" w:ascii="Times New Roman" w:hAnsi="Times New Roman" w:eastAsia="宋体" w:cs="Times New Roman"/>
          <w:b w:val="0"/>
          <w:bCs w:val="0"/>
          <w:snapToGrid w:val="0"/>
          <w:color w:val="auto"/>
          <w:kern w:val="2"/>
          <w:sz w:val="24"/>
          <w:szCs w:val="24"/>
          <w:highlight w:val="none"/>
          <w:lang w:val="en-US" w:eastAsia="zh-CN" w:bidi="ar-SA"/>
        </w:rPr>
        <w:instrText xml:space="preserve"> = 3 \* GB3 </w:instrText>
      </w:r>
      <w:r>
        <w:rPr>
          <w:rFonts w:hint="default" w:ascii="Times New Roman" w:hAnsi="Times New Roman" w:eastAsia="宋体" w:cs="Times New Roman"/>
          <w:b w:val="0"/>
          <w:bCs w:val="0"/>
          <w:snapToGrid w:val="0"/>
          <w:color w:val="auto"/>
          <w:kern w:val="2"/>
          <w:sz w:val="24"/>
          <w:szCs w:val="24"/>
          <w:highlight w:val="none"/>
          <w:lang w:val="en-US" w:eastAsia="zh-CN" w:bidi="ar-SA"/>
        </w:rPr>
        <w:fldChar w:fldCharType="separate"/>
      </w:r>
      <w:r>
        <w:rPr>
          <w:rFonts w:hint="default" w:ascii="Times New Roman" w:hAnsi="Times New Roman" w:eastAsia="宋体" w:cs="Times New Roman"/>
          <w:b w:val="0"/>
          <w:bCs w:val="0"/>
          <w:snapToGrid w:val="0"/>
          <w:color w:val="auto"/>
          <w:kern w:val="2"/>
          <w:sz w:val="24"/>
          <w:szCs w:val="24"/>
          <w:highlight w:val="none"/>
          <w:lang w:val="en-US" w:eastAsia="zh-CN" w:bidi="ar-SA"/>
        </w:rPr>
        <w:t>③</w:t>
      </w:r>
      <w:r>
        <w:rPr>
          <w:rFonts w:hint="default" w:ascii="Times New Roman" w:hAnsi="Times New Roman" w:eastAsia="宋体" w:cs="Times New Roman"/>
          <w:b w:val="0"/>
          <w:bCs w:val="0"/>
          <w:snapToGrid w:val="0"/>
          <w:color w:val="auto"/>
          <w:kern w:val="2"/>
          <w:sz w:val="24"/>
          <w:szCs w:val="24"/>
          <w:highlight w:val="none"/>
          <w:lang w:val="en-GB" w:eastAsia="zh-CN" w:bidi="ar-SA"/>
        </w:rPr>
        <w:fldChar w:fldCharType="end"/>
      </w:r>
      <w:r>
        <w:rPr>
          <w:rFonts w:hint="default" w:ascii="Times New Roman" w:hAnsi="Times New Roman" w:eastAsia="宋体" w:cs="Times New Roman"/>
          <w:b w:val="0"/>
          <w:bCs w:val="0"/>
          <w:snapToGrid w:val="0"/>
          <w:color w:val="auto"/>
          <w:kern w:val="2"/>
          <w:sz w:val="24"/>
          <w:szCs w:val="24"/>
          <w:highlight w:val="none"/>
          <w:lang w:val="en-US" w:eastAsia="zh-CN" w:bidi="ar-SA"/>
        </w:rPr>
        <w:t>办公室、道路进行简单防渗处理，对其地面采用混凝土进行</w:t>
      </w:r>
      <w:r>
        <w:rPr>
          <w:rFonts w:hint="eastAsia" w:ascii="Times New Roman" w:hAnsi="Times New Roman" w:eastAsia="宋体" w:cs="Times New Roman"/>
          <w:b w:val="0"/>
          <w:bCs w:val="0"/>
          <w:snapToGrid w:val="0"/>
          <w:color w:val="auto"/>
          <w:kern w:val="2"/>
          <w:sz w:val="24"/>
          <w:szCs w:val="24"/>
          <w:highlight w:val="none"/>
          <w:lang w:val="en-US" w:eastAsia="zh-CN" w:bidi="ar-SA"/>
        </w:rPr>
        <w:t>简单防渗</w:t>
      </w:r>
      <w:r>
        <w:rPr>
          <w:rFonts w:hint="default" w:ascii="Times New Roman" w:hAnsi="Times New Roman" w:eastAsia="宋体" w:cs="Times New Roman"/>
          <w:b w:val="0"/>
          <w:bCs w:val="0"/>
          <w:snapToGrid w:val="0"/>
          <w:color w:val="auto"/>
          <w:kern w:val="2"/>
          <w:sz w:val="24"/>
          <w:szCs w:val="24"/>
          <w:highlight w:val="none"/>
          <w:lang w:val="en-US" w:eastAsia="zh-CN" w:bidi="ar-SA"/>
        </w:rPr>
        <w:t>地面硬化。</w:t>
      </w:r>
    </w:p>
    <w:p w14:paraId="1DEB53D3">
      <w:pPr>
        <w:keepNext w:val="0"/>
        <w:keepLines w:val="0"/>
        <w:pageBreakBefore w:val="0"/>
        <w:kinsoku/>
        <w:wordWrap/>
        <w:overflowPunct/>
        <w:topLinePunct w:val="0"/>
        <w:autoSpaceDE/>
        <w:autoSpaceDN/>
        <w:bidi w:val="0"/>
        <w:adjustRightInd/>
        <w:snapToGrid/>
        <w:spacing w:line="360" w:lineRule="auto"/>
        <w:ind w:firstLine="523" w:firstLineChars="218"/>
        <w:contextualSpacing/>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根据《环境影响评价技术导则 地下水环境》（HJ610-2016），三级评价的建设项目，一般不少于1个，应至少在建设项目场地下游布置1个。项目所在地地下水流向由西北流向东南，因此，在本项目牛舍区下游50m处设置1口地下水跟踪监控井。定期对地下水环境进行跟踪监测并进行信息公开。运营期的地下水保护目标应定为氨氮监测浓度≤0.5mg/L、COD监测浓度≤15mg/L，如果在跟踪监测的过程氨氮检出浓度大于0.5mg/L、COD检出浓度大于15mg/L，则有可能说明粪污发生泄漏，建设单位应组织开展检查工作确定是否发生泄漏事故。当明确发生泄漏事故时，应根据泄漏位置将泄漏单元的污染物立即用清污车清走，同时应委托具有专业资质的环境监测单位进行更全面的地下水污染跟踪监测，以便明确泄漏事故的范围和程度。建设单位应将泄漏事故上报给生态环境主管部门。同时应委托有专业技术能力的机构进行地下水影响的修复工作。</w:t>
      </w:r>
    </w:p>
    <w:p w14:paraId="5D733565">
      <w:pPr>
        <w:keepNext w:val="0"/>
        <w:keepLines w:val="0"/>
        <w:pageBreakBefore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综上所述，认真落实“源头控制、分区防控、污染监控、应急响应”措施，项目建成后不会对地下水产生影响。地下水污染防治措施可行。</w:t>
      </w:r>
    </w:p>
    <w:p w14:paraId="645A9FB9">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3"/>
        <w:rPr>
          <w:rFonts w:hint="default" w:ascii="Times New Roman" w:hAnsi="Times New Roman" w:eastAsia="Times New Roman" w:cs="Times New Roman"/>
          <w:b/>
          <w:bCs/>
          <w:color w:val="auto"/>
          <w:spacing w:val="-3"/>
          <w:sz w:val="30"/>
          <w:szCs w:val="30"/>
          <w:highlight w:val="none"/>
          <w:lang w:val="en-US"/>
        </w:rPr>
      </w:pPr>
      <w:r>
        <w:rPr>
          <w:rFonts w:hint="default" w:ascii="Times New Roman" w:hAnsi="Times New Roman" w:eastAsia="宋体" w:cs="Times New Roman"/>
          <w:b/>
          <w:bCs/>
          <w:color w:val="auto"/>
          <w:sz w:val="24"/>
          <w:szCs w:val="24"/>
          <w:highlight w:val="none"/>
          <w:lang w:val="en-US" w:eastAsia="zh-CN"/>
        </w:rPr>
        <w:t>9.1.4.4噪声污染防治措施可行性结论</w:t>
      </w:r>
    </w:p>
    <w:p w14:paraId="322436E1">
      <w:pPr>
        <w:keepNext w:val="0"/>
        <w:keepLines w:val="0"/>
        <w:pageBreakBefore w:val="0"/>
        <w:kinsoku/>
        <w:wordWrap/>
        <w:overflowPunct/>
        <w:topLinePunct w:val="0"/>
        <w:autoSpaceDE/>
        <w:autoSpaceDN/>
        <w:bidi w:val="0"/>
        <w:adjustRightInd/>
        <w:snapToGrid/>
        <w:spacing w:line="360" w:lineRule="auto"/>
        <w:ind w:firstLine="523" w:firstLineChars="218"/>
        <w:contextualSpacing/>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运营期严格管理、勤于维护，采用低噪声设备、安装基础减振、隔声措施，加强场区绿化，厂界外1m处可满足《工业企业厂界环境噪声排放标准》（GB12348-2008）表1中1类标准限值的要求。</w:t>
      </w:r>
    </w:p>
    <w:p w14:paraId="30298BEA">
      <w:pPr>
        <w:keepNext w:val="0"/>
        <w:keepLines w:val="0"/>
        <w:pageBreakBefore w:val="0"/>
        <w:kinsoku/>
        <w:wordWrap/>
        <w:overflowPunct/>
        <w:topLinePunct w:val="0"/>
        <w:autoSpaceDE/>
        <w:autoSpaceDN/>
        <w:bidi w:val="0"/>
        <w:adjustRightInd/>
        <w:snapToGrid/>
        <w:spacing w:line="360" w:lineRule="auto"/>
        <w:ind w:firstLine="523" w:firstLineChars="218"/>
        <w:contextualSpacing/>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综上所述，本项目采取上述防噪措施后，噪声对周围环境影响可以接受。</w:t>
      </w:r>
    </w:p>
    <w:p w14:paraId="18EB39CB">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3"/>
        <w:rPr>
          <w:rFonts w:hint="default" w:ascii="Times New Roman" w:hAnsi="Times New Roman" w:eastAsia="Times New Roman" w:cs="Times New Roman"/>
          <w:b/>
          <w:bCs/>
          <w:color w:val="auto"/>
          <w:spacing w:val="-3"/>
          <w:sz w:val="30"/>
          <w:szCs w:val="30"/>
          <w:highlight w:val="none"/>
          <w:lang w:val="en-US"/>
        </w:rPr>
      </w:pPr>
      <w:r>
        <w:rPr>
          <w:rFonts w:hint="default" w:ascii="Times New Roman" w:hAnsi="Times New Roman" w:eastAsia="宋体" w:cs="Times New Roman"/>
          <w:b/>
          <w:bCs/>
          <w:color w:val="auto"/>
          <w:sz w:val="24"/>
          <w:szCs w:val="24"/>
          <w:highlight w:val="none"/>
          <w:lang w:val="en-US" w:eastAsia="zh-CN"/>
        </w:rPr>
        <w:t>9.1.4.5固体废物污染防治措施可行性结论</w:t>
      </w:r>
    </w:p>
    <w:p w14:paraId="57B64AC7">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本项目生活垃圾委托环卫部门处理、牛舍更换的发酵床垫料外售至有机肥厂，实现资源化利用；病死牛</w:t>
      </w:r>
      <w:r>
        <w:rPr>
          <w:rFonts w:hint="eastAsia" w:ascii="Times New Roman" w:hAnsi="Times New Roman" w:eastAsia="宋体" w:cs="Times New Roman"/>
          <w:b w:val="0"/>
          <w:bCs w:val="0"/>
          <w:snapToGrid w:val="0"/>
          <w:color w:val="auto"/>
          <w:kern w:val="2"/>
          <w:sz w:val="24"/>
          <w:szCs w:val="24"/>
          <w:highlight w:val="none"/>
          <w:lang w:val="en-US" w:eastAsia="zh-CN" w:bidi="ar-SA"/>
        </w:rPr>
        <w:t>、分娩废物</w:t>
      </w:r>
      <w:r>
        <w:rPr>
          <w:rFonts w:hint="default" w:ascii="Times New Roman" w:hAnsi="Times New Roman" w:eastAsia="宋体" w:cs="Times New Roman"/>
          <w:b w:val="0"/>
          <w:bCs w:val="0"/>
          <w:snapToGrid w:val="0"/>
          <w:color w:val="auto"/>
          <w:kern w:val="2"/>
          <w:sz w:val="24"/>
          <w:szCs w:val="24"/>
          <w:highlight w:val="none"/>
          <w:lang w:val="en-US" w:eastAsia="zh-CN" w:bidi="ar-SA"/>
        </w:rPr>
        <w:t>委托有资质单位处置；防疫、治疗过程产生的废注射器和废药瓶暂存于医疗废物暂存间内交由有资质单位处置。</w:t>
      </w:r>
    </w:p>
    <w:p w14:paraId="55FCB91F">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综合分析，本项目所采取的各项污染防治措施从技术经济角度分析均具有可行性，且在项目建设方认真落实报告所述各项污染防治措施后，可使区域环境质量得到明显改善。</w:t>
      </w:r>
    </w:p>
    <w:p w14:paraId="1928B72D">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3"/>
        <w:rPr>
          <w:rFonts w:hint="default" w:ascii="Times New Roman" w:hAnsi="Times New Roman" w:eastAsia="Times New Roman" w:cs="Times New Roman"/>
          <w:b/>
          <w:bCs/>
          <w:color w:val="auto"/>
          <w:spacing w:val="-3"/>
          <w:sz w:val="30"/>
          <w:szCs w:val="30"/>
          <w:highlight w:val="none"/>
          <w:lang w:val="en-US"/>
        </w:rPr>
      </w:pPr>
      <w:r>
        <w:rPr>
          <w:rFonts w:hint="default" w:ascii="Times New Roman" w:hAnsi="Times New Roman" w:eastAsia="宋体" w:cs="Times New Roman"/>
          <w:b/>
          <w:bCs/>
          <w:color w:val="auto"/>
          <w:sz w:val="24"/>
          <w:szCs w:val="24"/>
          <w:highlight w:val="none"/>
          <w:lang w:val="en-US" w:eastAsia="zh-CN"/>
        </w:rPr>
        <w:t>9.1.4.6土壤污染防治措施可行性结论</w:t>
      </w:r>
    </w:p>
    <w:p w14:paraId="06F0EEBA">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snapToGrid w:val="0"/>
          <w:color w:val="auto"/>
          <w:kern w:val="2"/>
          <w:sz w:val="24"/>
          <w:szCs w:val="24"/>
          <w:highlight w:val="none"/>
          <w:lang w:val="en-US" w:eastAsia="zh-CN" w:bidi="ar-SA"/>
        </w:rPr>
      </w:pPr>
      <w:r>
        <w:rPr>
          <w:rFonts w:hint="default" w:ascii="Times New Roman" w:hAnsi="Times New Roman" w:eastAsia="宋体" w:cs="Times New Roman"/>
          <w:b w:val="0"/>
          <w:bCs w:val="0"/>
          <w:snapToGrid w:val="0"/>
          <w:color w:val="auto"/>
          <w:kern w:val="2"/>
          <w:sz w:val="24"/>
          <w:szCs w:val="24"/>
          <w:highlight w:val="none"/>
          <w:lang w:val="en-US" w:eastAsia="zh-CN" w:bidi="ar-SA"/>
        </w:rPr>
        <w:t>建设项目在认真落实土壤环境保护措施，强化环境管理，严格控制和消除土壤污染源。严防因“三废”处理不合理或处理措施不当对土壤污染事件的发生，正常状况下，不会对</w:t>
      </w:r>
      <w:r>
        <w:rPr>
          <w:rFonts w:hint="default" w:ascii="Times New Roman" w:hAnsi="Times New Roman" w:eastAsia="宋体" w:cs="Times New Roman"/>
          <w:b w:val="0"/>
          <w:bCs w:val="0"/>
          <w:color w:val="auto"/>
          <w:sz w:val="24"/>
          <w:szCs w:val="24"/>
          <w:highlight w:val="none"/>
          <w:lang w:val="en-US" w:eastAsia="zh-CN"/>
        </w:rPr>
        <w:t>措施</w:t>
      </w:r>
      <w:r>
        <w:rPr>
          <w:rFonts w:hint="default" w:ascii="Times New Roman" w:hAnsi="Times New Roman" w:eastAsia="宋体" w:cs="Times New Roman"/>
          <w:b w:val="0"/>
          <w:bCs w:val="0"/>
          <w:snapToGrid w:val="0"/>
          <w:color w:val="auto"/>
          <w:kern w:val="2"/>
          <w:sz w:val="24"/>
          <w:szCs w:val="24"/>
          <w:highlight w:val="none"/>
          <w:lang w:val="en-US" w:eastAsia="zh-CN" w:bidi="ar-SA"/>
        </w:rPr>
        <w:t>土壤环境产生不良影响。</w:t>
      </w:r>
    </w:p>
    <w:p w14:paraId="4928B44B">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3"/>
        <w:rPr>
          <w:rFonts w:hint="default" w:ascii="Times New Roman" w:hAnsi="Times New Roman" w:eastAsia="Times New Roman" w:cs="Times New Roman"/>
          <w:b/>
          <w:bCs/>
          <w:color w:val="auto"/>
          <w:spacing w:val="-3"/>
          <w:sz w:val="30"/>
          <w:szCs w:val="30"/>
          <w:highlight w:val="none"/>
          <w:lang w:val="en-US"/>
        </w:rPr>
      </w:pPr>
      <w:r>
        <w:rPr>
          <w:rFonts w:hint="default" w:ascii="Times New Roman" w:hAnsi="Times New Roman" w:eastAsia="宋体" w:cs="Times New Roman"/>
          <w:b/>
          <w:bCs/>
          <w:color w:val="auto"/>
          <w:sz w:val="24"/>
          <w:szCs w:val="24"/>
          <w:highlight w:val="none"/>
          <w:lang w:val="en-US" w:eastAsia="zh-CN"/>
        </w:rPr>
        <w:t>9.1.4.7风险防范措施可行性结论</w:t>
      </w:r>
    </w:p>
    <w:p w14:paraId="311560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建设单位运营过程中应从多方面积极采取</w:t>
      </w:r>
      <w:r>
        <w:rPr>
          <w:rFonts w:hint="default" w:ascii="Times New Roman" w:hAnsi="Times New Roman" w:eastAsia="宋体" w:cs="Times New Roman"/>
          <w:color w:val="auto"/>
          <w:sz w:val="24"/>
          <w:szCs w:val="24"/>
          <w:highlight w:val="none"/>
          <w:lang w:val="en-US" w:eastAsia="zh-CN"/>
        </w:rPr>
        <w:t>防范</w:t>
      </w:r>
      <w:r>
        <w:rPr>
          <w:rFonts w:hint="default" w:ascii="Times New Roman" w:hAnsi="Times New Roman" w:eastAsia="宋体" w:cs="Times New Roman"/>
          <w:color w:val="auto"/>
          <w:sz w:val="24"/>
          <w:szCs w:val="24"/>
          <w:highlight w:val="none"/>
        </w:rPr>
        <w:t>措施，制订突发环境</w:t>
      </w:r>
      <w:r>
        <w:rPr>
          <w:rFonts w:hint="default" w:ascii="Times New Roman" w:hAnsi="Times New Roman" w:eastAsia="宋体" w:cs="Times New Roman"/>
          <w:color w:val="auto"/>
          <w:sz w:val="24"/>
          <w:szCs w:val="24"/>
          <w:highlight w:val="none"/>
          <w:lang w:val="en-US" w:eastAsia="zh-CN"/>
        </w:rPr>
        <w:t>事件</w:t>
      </w:r>
      <w:r>
        <w:rPr>
          <w:rFonts w:hint="default" w:ascii="Times New Roman" w:hAnsi="Times New Roman" w:eastAsia="宋体" w:cs="Times New Roman"/>
          <w:color w:val="auto"/>
          <w:sz w:val="24"/>
          <w:szCs w:val="24"/>
          <w:highlight w:val="none"/>
        </w:rPr>
        <w:t>应急预案，一旦</w:t>
      </w:r>
      <w:r>
        <w:rPr>
          <w:rFonts w:hint="default" w:ascii="Times New Roman" w:hAnsi="Times New Roman" w:eastAsia="宋体" w:cs="Times New Roman"/>
          <w:color w:val="auto"/>
          <w:sz w:val="24"/>
          <w:szCs w:val="24"/>
          <w:highlight w:val="none"/>
          <w:lang w:val="en-US" w:eastAsia="zh-CN"/>
        </w:rPr>
        <w:t>发生</w:t>
      </w:r>
      <w:r>
        <w:rPr>
          <w:rFonts w:hint="default" w:ascii="Times New Roman" w:hAnsi="Times New Roman" w:eastAsia="宋体" w:cs="Times New Roman"/>
          <w:color w:val="auto"/>
          <w:sz w:val="24"/>
          <w:szCs w:val="24"/>
          <w:highlight w:val="none"/>
        </w:rPr>
        <w:t>环境风险</w:t>
      </w:r>
      <w:r>
        <w:rPr>
          <w:rFonts w:hint="default" w:ascii="Times New Roman" w:hAnsi="Times New Roman" w:eastAsia="宋体" w:cs="Times New Roman"/>
          <w:color w:val="auto"/>
          <w:sz w:val="24"/>
          <w:szCs w:val="24"/>
          <w:highlight w:val="none"/>
          <w:lang w:val="en-US" w:eastAsia="zh-CN"/>
        </w:rPr>
        <w:t>事故</w:t>
      </w:r>
      <w:r>
        <w:rPr>
          <w:rFonts w:hint="default" w:ascii="Times New Roman" w:hAnsi="Times New Roman" w:eastAsia="宋体" w:cs="Times New Roman"/>
          <w:color w:val="auto"/>
          <w:sz w:val="24"/>
          <w:szCs w:val="24"/>
          <w:highlight w:val="none"/>
        </w:rPr>
        <w:t>，立即按应急预案提到的紧急处理、救援、监测方案等进行紧急救援，项目可以</w:t>
      </w:r>
      <w:r>
        <w:rPr>
          <w:rFonts w:hint="eastAsia" w:ascii="Times New Roman" w:hAnsi="Times New Roman" w:eastAsia="宋体" w:cs="Times New Roman"/>
          <w:color w:val="auto"/>
          <w:sz w:val="24"/>
          <w:szCs w:val="24"/>
          <w:highlight w:val="none"/>
          <w:lang w:eastAsia="zh-CN"/>
        </w:rPr>
        <w:t>有效地</w:t>
      </w:r>
      <w:r>
        <w:rPr>
          <w:rFonts w:hint="default" w:ascii="Times New Roman" w:hAnsi="Times New Roman" w:eastAsia="宋体" w:cs="Times New Roman"/>
          <w:color w:val="auto"/>
          <w:sz w:val="24"/>
          <w:szCs w:val="24"/>
          <w:highlight w:val="none"/>
        </w:rPr>
        <w:t>防范风险事故发生或对事故的发生进行有效处置，项目发生的环境风险可以控制在较低水平。</w:t>
      </w:r>
    </w:p>
    <w:p w14:paraId="2EB532E3">
      <w:pPr>
        <w:pStyle w:val="40"/>
        <w:pageBreakBefore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auto"/>
          <w:sz w:val="24"/>
          <w:szCs w:val="24"/>
          <w:highlight w:val="none"/>
        </w:rPr>
        <w:t>综上所述，建设项目的事故风险处于可接受水平。本工程建设从环境风险角度分析是可行的。</w:t>
      </w:r>
    </w:p>
    <w:p w14:paraId="76B35752">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2"/>
        <w:rPr>
          <w:rFonts w:hint="default" w:ascii="Times New Roman" w:hAnsi="Times New Roman" w:eastAsia="Times New Roman" w:cs="Times New Roman"/>
          <w:b/>
          <w:bCs/>
          <w:color w:val="auto"/>
          <w:spacing w:val="-3"/>
          <w:sz w:val="30"/>
          <w:szCs w:val="30"/>
          <w:highlight w:val="none"/>
          <w:lang w:val="en-US"/>
        </w:rPr>
      </w:pPr>
      <w:bookmarkStart w:id="289" w:name="_Toc28965"/>
      <w:r>
        <w:rPr>
          <w:rFonts w:hint="default" w:ascii="Times New Roman" w:hAnsi="Times New Roman" w:eastAsia="宋体" w:cs="Times New Roman"/>
          <w:b/>
          <w:bCs/>
          <w:color w:val="auto"/>
          <w:sz w:val="24"/>
          <w:szCs w:val="24"/>
          <w:highlight w:val="none"/>
          <w:lang w:val="en-US" w:eastAsia="zh-CN"/>
        </w:rPr>
        <w:t>9.1.5</w:t>
      </w:r>
      <w:r>
        <w:rPr>
          <w:rFonts w:hint="default" w:ascii="Times New Roman" w:hAnsi="Times New Roman" w:eastAsia="宋体" w:cs="Times New Roman"/>
          <w:b/>
          <w:bCs/>
          <w:color w:val="auto"/>
          <w:sz w:val="24"/>
          <w:szCs w:val="24"/>
          <w:highlight w:val="none"/>
        </w:rPr>
        <w:t>经济损益分析结论</w:t>
      </w:r>
      <w:bookmarkEnd w:id="289"/>
    </w:p>
    <w:p w14:paraId="1CE4F9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en-US"/>
        </w:rPr>
      </w:pPr>
      <w:r>
        <w:rPr>
          <w:rFonts w:hint="default" w:ascii="Times New Roman" w:hAnsi="Times New Roman" w:eastAsia="宋体" w:cs="Times New Roman"/>
          <w:color w:val="auto"/>
          <w:sz w:val="24"/>
          <w:szCs w:val="24"/>
          <w:highlight w:val="none"/>
          <w:lang w:val="en-US" w:eastAsia="en-US"/>
        </w:rPr>
        <w:t>通过社会、经济、环境效益的综合分析</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en-US"/>
        </w:rPr>
        <w:t>本项目具有明显的社会</w:t>
      </w:r>
      <w:r>
        <w:rPr>
          <w:rFonts w:hint="eastAsia" w:ascii="Times New Roman" w:hAnsi="Times New Roman" w:eastAsia="宋体" w:cs="Times New Roman"/>
          <w:color w:val="auto"/>
          <w:sz w:val="24"/>
          <w:szCs w:val="24"/>
          <w:highlight w:val="none"/>
          <w:lang w:val="en-US" w:eastAsia="zh-CN"/>
        </w:rPr>
        <w:t>和</w:t>
      </w:r>
      <w:r>
        <w:rPr>
          <w:rFonts w:hint="default" w:ascii="Times New Roman" w:hAnsi="Times New Roman" w:eastAsia="宋体" w:cs="Times New Roman"/>
          <w:color w:val="auto"/>
          <w:sz w:val="24"/>
          <w:szCs w:val="24"/>
          <w:highlight w:val="none"/>
          <w:lang w:val="en-US" w:eastAsia="en-US"/>
        </w:rPr>
        <w:t>经济效益，在迅速提高企业市场竞争力和经济效益时，环境效益明显，能够实现企业发展经济、保护环境的战略目标。</w:t>
      </w:r>
    </w:p>
    <w:p w14:paraId="367A9203">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2"/>
        <w:rPr>
          <w:rFonts w:hint="default" w:ascii="Times New Roman" w:hAnsi="Times New Roman" w:eastAsia="Times New Roman" w:cs="Times New Roman"/>
          <w:b/>
          <w:bCs/>
          <w:color w:val="auto"/>
          <w:spacing w:val="-3"/>
          <w:sz w:val="30"/>
          <w:szCs w:val="30"/>
          <w:highlight w:val="none"/>
          <w:lang w:val="en-US"/>
        </w:rPr>
      </w:pPr>
      <w:bookmarkStart w:id="290" w:name="_Toc26198"/>
      <w:r>
        <w:rPr>
          <w:rFonts w:hint="default" w:ascii="Times New Roman" w:hAnsi="Times New Roman" w:eastAsia="宋体" w:cs="Times New Roman"/>
          <w:b/>
          <w:bCs/>
          <w:color w:val="auto"/>
          <w:sz w:val="24"/>
          <w:szCs w:val="24"/>
          <w:highlight w:val="none"/>
          <w:lang w:val="en-US" w:eastAsia="zh-CN"/>
        </w:rPr>
        <w:t>9.1.6环境</w:t>
      </w:r>
      <w:r>
        <w:rPr>
          <w:rFonts w:hint="default" w:ascii="Times New Roman" w:hAnsi="Times New Roman" w:eastAsia="宋体" w:cs="Times New Roman"/>
          <w:b/>
          <w:bCs/>
          <w:color w:val="auto"/>
          <w:sz w:val="24"/>
          <w:szCs w:val="24"/>
          <w:highlight w:val="none"/>
        </w:rPr>
        <w:t>管理与监测结论</w:t>
      </w:r>
      <w:bookmarkEnd w:id="290"/>
    </w:p>
    <w:p w14:paraId="61780C9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en-US"/>
        </w:rPr>
      </w:pPr>
      <w:r>
        <w:rPr>
          <w:rFonts w:hint="default" w:ascii="Times New Roman" w:hAnsi="Times New Roman" w:eastAsia="宋体" w:cs="Times New Roman"/>
          <w:color w:val="auto"/>
          <w:sz w:val="24"/>
          <w:szCs w:val="24"/>
          <w:highlight w:val="none"/>
          <w:lang w:val="en-US" w:eastAsia="en-US"/>
        </w:rPr>
        <w:t>项目运行期通过加强建设和运行的环境管理与监控，建立健全安全生产管理制度，制订科学严谨的操作规程，通过职工操作技能培训，提高危险</w:t>
      </w:r>
      <w:r>
        <w:rPr>
          <w:rFonts w:hint="eastAsia" w:ascii="Times New Roman" w:hAnsi="Times New Roman" w:eastAsia="宋体" w:cs="Times New Roman"/>
          <w:color w:val="auto"/>
          <w:sz w:val="24"/>
          <w:szCs w:val="24"/>
          <w:highlight w:val="none"/>
          <w:lang w:val="en-US" w:eastAsia="zh-CN"/>
        </w:rPr>
        <w:t>辨识</w:t>
      </w:r>
      <w:r>
        <w:rPr>
          <w:rFonts w:hint="default" w:ascii="Times New Roman" w:hAnsi="Times New Roman" w:eastAsia="宋体" w:cs="Times New Roman"/>
          <w:color w:val="auto"/>
          <w:sz w:val="24"/>
          <w:szCs w:val="24"/>
          <w:highlight w:val="none"/>
          <w:lang w:val="en-US" w:eastAsia="en-US"/>
        </w:rPr>
        <w:t>、防护和保护能力，落实责任到人。同时加强厂内各类</w:t>
      </w:r>
      <w:r>
        <w:rPr>
          <w:rFonts w:hint="default" w:ascii="Times New Roman" w:hAnsi="Times New Roman" w:eastAsia="宋体" w:cs="Times New Roman"/>
          <w:color w:val="auto"/>
          <w:sz w:val="24"/>
          <w:szCs w:val="24"/>
          <w:highlight w:val="none"/>
          <w:lang w:val="en-US" w:eastAsia="zh-CN"/>
        </w:rPr>
        <w:t>设施</w:t>
      </w:r>
      <w:r>
        <w:rPr>
          <w:rFonts w:hint="default" w:ascii="Times New Roman" w:hAnsi="Times New Roman" w:eastAsia="宋体" w:cs="Times New Roman"/>
          <w:color w:val="auto"/>
          <w:sz w:val="24"/>
          <w:szCs w:val="24"/>
          <w:highlight w:val="none"/>
          <w:lang w:val="en-US" w:eastAsia="en-US"/>
        </w:rPr>
        <w:t>包括污染治理设施的日常运行管理和维护，对生产</w:t>
      </w:r>
      <w:r>
        <w:rPr>
          <w:rFonts w:hint="default" w:ascii="Times New Roman" w:hAnsi="Times New Roman" w:eastAsia="宋体" w:cs="Times New Roman"/>
          <w:color w:val="auto"/>
          <w:sz w:val="24"/>
          <w:szCs w:val="24"/>
          <w:highlight w:val="none"/>
          <w:lang w:val="en-US" w:eastAsia="zh-CN"/>
        </w:rPr>
        <w:t>设施</w:t>
      </w:r>
      <w:r>
        <w:rPr>
          <w:rFonts w:hint="default" w:ascii="Times New Roman" w:hAnsi="Times New Roman" w:eastAsia="宋体" w:cs="Times New Roman"/>
          <w:color w:val="auto"/>
          <w:sz w:val="24"/>
          <w:szCs w:val="24"/>
          <w:highlight w:val="none"/>
          <w:lang w:val="en-US" w:eastAsia="en-US"/>
        </w:rPr>
        <w:t>进行定期检测，对关键</w:t>
      </w:r>
      <w:r>
        <w:rPr>
          <w:rFonts w:hint="default" w:ascii="Times New Roman" w:hAnsi="Times New Roman" w:eastAsia="宋体" w:cs="Times New Roman"/>
          <w:color w:val="auto"/>
          <w:sz w:val="24"/>
          <w:szCs w:val="24"/>
          <w:highlight w:val="none"/>
          <w:lang w:val="en-US" w:eastAsia="zh-CN"/>
        </w:rPr>
        <w:t>设施</w:t>
      </w:r>
      <w:r>
        <w:rPr>
          <w:rFonts w:hint="default" w:ascii="Times New Roman" w:hAnsi="Times New Roman" w:eastAsia="宋体" w:cs="Times New Roman"/>
          <w:color w:val="auto"/>
          <w:sz w:val="24"/>
          <w:szCs w:val="24"/>
          <w:highlight w:val="none"/>
          <w:lang w:val="en-US" w:eastAsia="en-US"/>
        </w:rPr>
        <w:t>进行不定期探伤测试。增强岗位职责和环保、安全意识，保证生产设施和环保治理设施运行的可靠性、稳定性。</w:t>
      </w:r>
    </w:p>
    <w:p w14:paraId="114DAB32">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2"/>
        <w:rPr>
          <w:rFonts w:hint="default" w:ascii="Times New Roman" w:hAnsi="Times New Roman" w:eastAsia="Times New Roman" w:cs="Times New Roman"/>
          <w:b/>
          <w:bCs/>
          <w:color w:val="auto"/>
          <w:spacing w:val="-3"/>
          <w:sz w:val="30"/>
          <w:szCs w:val="30"/>
          <w:highlight w:val="none"/>
          <w:lang w:val="en-US"/>
        </w:rPr>
      </w:pPr>
      <w:bookmarkStart w:id="291" w:name="_Toc5353"/>
      <w:r>
        <w:rPr>
          <w:rFonts w:hint="default" w:ascii="Times New Roman" w:hAnsi="Times New Roman" w:eastAsia="宋体" w:cs="Times New Roman"/>
          <w:b/>
          <w:bCs/>
          <w:color w:val="auto"/>
          <w:sz w:val="24"/>
          <w:szCs w:val="24"/>
          <w:highlight w:val="none"/>
          <w:lang w:val="en-US" w:eastAsia="zh-CN"/>
        </w:rPr>
        <w:t>9.1.7</w:t>
      </w:r>
      <w:r>
        <w:rPr>
          <w:rFonts w:hint="default" w:ascii="Times New Roman" w:hAnsi="Times New Roman" w:eastAsia="宋体" w:cs="Times New Roman"/>
          <w:b/>
          <w:bCs/>
          <w:color w:val="auto"/>
          <w:sz w:val="24"/>
          <w:szCs w:val="24"/>
          <w:highlight w:val="none"/>
        </w:rPr>
        <w:t>公众意见采纳情况</w:t>
      </w:r>
      <w:bookmarkEnd w:id="291"/>
    </w:p>
    <w:p w14:paraId="49CF7734">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建设单位于202</w:t>
      </w:r>
      <w:r>
        <w:rPr>
          <w:rFonts w:hint="default" w:ascii="Times New Roman" w:hAnsi="Times New Roman" w:eastAsia="宋体" w:cs="Times New Roman"/>
          <w:snapToGrid w:val="0"/>
          <w:color w:val="auto"/>
          <w:kern w:val="0"/>
          <w:sz w:val="24"/>
          <w:szCs w:val="24"/>
          <w:highlight w:val="none"/>
          <w:lang w:val="en-US" w:eastAsia="zh-CN" w:bidi="ar-SA"/>
        </w:rPr>
        <w:t>5</w:t>
      </w:r>
      <w:r>
        <w:rPr>
          <w:rFonts w:hint="default" w:ascii="Times New Roman" w:hAnsi="Times New Roman" w:eastAsia="宋体" w:cs="Times New Roman"/>
          <w:snapToGrid w:val="0"/>
          <w:color w:val="auto"/>
          <w:kern w:val="0"/>
          <w:sz w:val="24"/>
          <w:szCs w:val="24"/>
          <w:highlight w:val="none"/>
          <w:lang w:val="en-US" w:eastAsia="en-US" w:bidi="ar-SA"/>
        </w:rPr>
        <w:t>年</w:t>
      </w:r>
      <w:r>
        <w:rPr>
          <w:rFonts w:hint="default" w:ascii="Times New Roman" w:hAnsi="Times New Roman" w:eastAsia="宋体" w:cs="Times New Roman"/>
          <w:snapToGrid w:val="0"/>
          <w:color w:val="auto"/>
          <w:kern w:val="0"/>
          <w:sz w:val="24"/>
          <w:szCs w:val="24"/>
          <w:highlight w:val="none"/>
          <w:lang w:val="en-US" w:eastAsia="zh-CN" w:bidi="ar-SA"/>
        </w:rPr>
        <w:t>5</w:t>
      </w:r>
      <w:r>
        <w:rPr>
          <w:rFonts w:hint="default" w:ascii="Times New Roman" w:hAnsi="Times New Roman" w:eastAsia="宋体" w:cs="Times New Roman"/>
          <w:snapToGrid w:val="0"/>
          <w:color w:val="auto"/>
          <w:kern w:val="0"/>
          <w:sz w:val="24"/>
          <w:szCs w:val="24"/>
          <w:highlight w:val="none"/>
          <w:lang w:val="en-US" w:eastAsia="en-US" w:bidi="ar-SA"/>
        </w:rPr>
        <w:t>月</w:t>
      </w:r>
      <w:r>
        <w:rPr>
          <w:rFonts w:hint="default" w:ascii="Times New Roman" w:hAnsi="Times New Roman" w:eastAsia="宋体" w:cs="Times New Roman"/>
          <w:snapToGrid w:val="0"/>
          <w:color w:val="auto"/>
          <w:kern w:val="0"/>
          <w:sz w:val="24"/>
          <w:szCs w:val="24"/>
          <w:highlight w:val="none"/>
          <w:lang w:val="en-US" w:eastAsia="zh-CN" w:bidi="ar-SA"/>
        </w:rPr>
        <w:t>08</w:t>
      </w:r>
      <w:r>
        <w:rPr>
          <w:rFonts w:hint="default" w:ascii="Times New Roman" w:hAnsi="Times New Roman" w:eastAsia="宋体" w:cs="Times New Roman"/>
          <w:snapToGrid w:val="0"/>
          <w:color w:val="auto"/>
          <w:kern w:val="0"/>
          <w:sz w:val="24"/>
          <w:szCs w:val="24"/>
          <w:highlight w:val="none"/>
          <w:lang w:val="en-US" w:eastAsia="en-US" w:bidi="ar-SA"/>
        </w:rPr>
        <w:t>日在</w:t>
      </w:r>
      <w:r>
        <w:rPr>
          <w:rFonts w:hint="default" w:ascii="Times New Roman" w:hAnsi="Times New Roman" w:eastAsia="宋体" w:cs="Times New Roman"/>
          <w:snapToGrid w:val="0"/>
          <w:color w:val="auto"/>
          <w:kern w:val="0"/>
          <w:sz w:val="24"/>
          <w:szCs w:val="24"/>
          <w:highlight w:val="none"/>
          <w:lang w:val="en-US" w:eastAsia="zh-CN" w:bidi="ar-SA"/>
        </w:rPr>
        <w:t>黑龙江省新闻网</w:t>
      </w:r>
      <w:r>
        <w:rPr>
          <w:rFonts w:hint="default" w:ascii="Times New Roman" w:hAnsi="Times New Roman" w:eastAsia="宋体" w:cs="Times New Roman"/>
          <w:snapToGrid w:val="0"/>
          <w:color w:val="auto"/>
          <w:kern w:val="0"/>
          <w:sz w:val="24"/>
          <w:szCs w:val="24"/>
          <w:highlight w:val="none"/>
          <w:lang w:val="en-US" w:eastAsia="en-US" w:bidi="ar-SA"/>
        </w:rPr>
        <w:t>对</w:t>
      </w:r>
      <w:r>
        <w:rPr>
          <w:rFonts w:hint="default" w:ascii="Times New Roman" w:hAnsi="Times New Roman" w:eastAsia="宋体" w:cs="Times New Roman"/>
          <w:color w:val="auto"/>
          <w:spacing w:val="-1"/>
          <w:sz w:val="24"/>
          <w:szCs w:val="24"/>
          <w:highlight w:val="none"/>
        </w:rPr>
        <w:t>双鸭山市</w:t>
      </w:r>
      <w:r>
        <w:rPr>
          <w:rFonts w:hint="default" w:ascii="Times New Roman" w:hAnsi="Times New Roman" w:eastAsia="宋体" w:cs="Times New Roman"/>
          <w:color w:val="auto"/>
          <w:spacing w:val="-1"/>
          <w:sz w:val="24"/>
          <w:szCs w:val="24"/>
          <w:highlight w:val="none"/>
          <w:lang w:val="en-US" w:eastAsia="zh-CN"/>
        </w:rPr>
        <w:t>永胜农机合作社肉牛养殖基地</w:t>
      </w:r>
      <w:r>
        <w:rPr>
          <w:rFonts w:hint="default" w:ascii="Times New Roman" w:hAnsi="Times New Roman" w:eastAsia="宋体" w:cs="Times New Roman"/>
          <w:color w:val="auto"/>
          <w:spacing w:val="-1"/>
          <w:sz w:val="24"/>
          <w:szCs w:val="24"/>
          <w:highlight w:val="none"/>
        </w:rPr>
        <w:t>项目</w:t>
      </w:r>
      <w:r>
        <w:rPr>
          <w:rFonts w:hint="default" w:ascii="Times New Roman" w:hAnsi="Times New Roman" w:eastAsia="宋体" w:cs="Times New Roman"/>
          <w:snapToGrid w:val="0"/>
          <w:color w:val="auto"/>
          <w:kern w:val="0"/>
          <w:sz w:val="24"/>
          <w:szCs w:val="24"/>
          <w:highlight w:val="none"/>
          <w:lang w:val="en-US" w:eastAsia="en-US" w:bidi="ar-SA"/>
        </w:rPr>
        <w:t>进行了第一次公示；202</w:t>
      </w:r>
      <w:r>
        <w:rPr>
          <w:rFonts w:hint="default" w:ascii="Times New Roman" w:hAnsi="Times New Roman" w:eastAsia="宋体" w:cs="Times New Roman"/>
          <w:snapToGrid w:val="0"/>
          <w:color w:val="auto"/>
          <w:kern w:val="0"/>
          <w:sz w:val="24"/>
          <w:szCs w:val="24"/>
          <w:highlight w:val="none"/>
          <w:lang w:val="en-US" w:eastAsia="zh-CN" w:bidi="ar-SA"/>
        </w:rPr>
        <w:t>5</w:t>
      </w:r>
      <w:r>
        <w:rPr>
          <w:rFonts w:hint="default" w:ascii="Times New Roman" w:hAnsi="Times New Roman" w:eastAsia="宋体" w:cs="Times New Roman"/>
          <w:snapToGrid w:val="0"/>
          <w:color w:val="auto"/>
          <w:kern w:val="0"/>
          <w:sz w:val="24"/>
          <w:szCs w:val="24"/>
          <w:highlight w:val="none"/>
          <w:lang w:val="en-US" w:eastAsia="en-US" w:bidi="ar-SA"/>
        </w:rPr>
        <w:t>年</w:t>
      </w:r>
      <w:r>
        <w:rPr>
          <w:rFonts w:hint="default" w:ascii="Times New Roman" w:hAnsi="Times New Roman" w:eastAsia="宋体" w:cs="Times New Roman"/>
          <w:snapToGrid w:val="0"/>
          <w:color w:val="auto"/>
          <w:kern w:val="0"/>
          <w:sz w:val="24"/>
          <w:szCs w:val="24"/>
          <w:highlight w:val="none"/>
          <w:lang w:val="en-US" w:eastAsia="zh-CN" w:bidi="ar-SA"/>
        </w:rPr>
        <w:t>7</w:t>
      </w:r>
      <w:r>
        <w:rPr>
          <w:rFonts w:hint="default" w:ascii="Times New Roman" w:hAnsi="Times New Roman" w:eastAsia="宋体" w:cs="Times New Roman"/>
          <w:snapToGrid w:val="0"/>
          <w:color w:val="auto"/>
          <w:kern w:val="0"/>
          <w:sz w:val="24"/>
          <w:szCs w:val="24"/>
          <w:highlight w:val="none"/>
          <w:lang w:val="en-US" w:eastAsia="en-US" w:bidi="ar-SA"/>
        </w:rPr>
        <w:t>月</w:t>
      </w:r>
      <w:r>
        <w:rPr>
          <w:rFonts w:hint="default" w:ascii="Times New Roman" w:hAnsi="Times New Roman" w:eastAsia="宋体" w:cs="Times New Roman"/>
          <w:snapToGrid w:val="0"/>
          <w:color w:val="auto"/>
          <w:kern w:val="0"/>
          <w:sz w:val="24"/>
          <w:szCs w:val="24"/>
          <w:highlight w:val="none"/>
          <w:lang w:val="en-US" w:eastAsia="zh-CN" w:bidi="ar-SA"/>
        </w:rPr>
        <w:t>27</w:t>
      </w:r>
      <w:r>
        <w:rPr>
          <w:rFonts w:hint="default" w:ascii="Times New Roman" w:hAnsi="Times New Roman" w:eastAsia="宋体" w:cs="Times New Roman"/>
          <w:snapToGrid w:val="0"/>
          <w:color w:val="auto"/>
          <w:kern w:val="0"/>
          <w:sz w:val="24"/>
          <w:szCs w:val="24"/>
          <w:highlight w:val="none"/>
          <w:lang w:val="en-US" w:eastAsia="en-US" w:bidi="ar-SA"/>
        </w:rPr>
        <w:t>日编制完成了《双鸭山市永胜农机合作社肉牛养殖基地项目环境影响报告书》征求意见稿后，于202</w:t>
      </w:r>
      <w:r>
        <w:rPr>
          <w:rFonts w:hint="default" w:ascii="Times New Roman" w:hAnsi="Times New Roman" w:eastAsia="宋体" w:cs="Times New Roman"/>
          <w:snapToGrid w:val="0"/>
          <w:color w:val="auto"/>
          <w:kern w:val="0"/>
          <w:sz w:val="24"/>
          <w:szCs w:val="24"/>
          <w:highlight w:val="none"/>
          <w:lang w:val="en-US" w:eastAsia="zh-CN" w:bidi="ar-SA"/>
        </w:rPr>
        <w:t>5</w:t>
      </w:r>
      <w:r>
        <w:rPr>
          <w:rFonts w:hint="default" w:ascii="Times New Roman" w:hAnsi="Times New Roman" w:eastAsia="宋体" w:cs="Times New Roman"/>
          <w:snapToGrid w:val="0"/>
          <w:color w:val="auto"/>
          <w:kern w:val="0"/>
          <w:sz w:val="24"/>
          <w:szCs w:val="24"/>
          <w:highlight w:val="none"/>
          <w:lang w:val="en-US" w:eastAsia="en-US" w:bidi="ar-SA"/>
        </w:rPr>
        <w:t>年</w:t>
      </w:r>
      <w:r>
        <w:rPr>
          <w:rFonts w:hint="default" w:ascii="Times New Roman" w:hAnsi="Times New Roman" w:eastAsia="宋体" w:cs="Times New Roman"/>
          <w:snapToGrid w:val="0"/>
          <w:color w:val="auto"/>
          <w:kern w:val="0"/>
          <w:sz w:val="24"/>
          <w:szCs w:val="24"/>
          <w:highlight w:val="none"/>
          <w:lang w:val="en-US" w:eastAsia="zh-CN" w:bidi="ar-SA"/>
        </w:rPr>
        <w:t>7</w:t>
      </w:r>
      <w:r>
        <w:rPr>
          <w:rFonts w:hint="default" w:ascii="Times New Roman" w:hAnsi="Times New Roman" w:eastAsia="宋体" w:cs="Times New Roman"/>
          <w:snapToGrid w:val="0"/>
          <w:color w:val="auto"/>
          <w:kern w:val="0"/>
          <w:sz w:val="24"/>
          <w:szCs w:val="24"/>
          <w:highlight w:val="none"/>
          <w:lang w:val="en-US" w:eastAsia="en-US" w:bidi="ar-SA"/>
        </w:rPr>
        <w:t>月</w:t>
      </w:r>
      <w:r>
        <w:rPr>
          <w:rFonts w:hint="default" w:ascii="Times New Roman" w:hAnsi="Times New Roman" w:eastAsia="宋体" w:cs="Times New Roman"/>
          <w:snapToGrid w:val="0"/>
          <w:color w:val="auto"/>
          <w:kern w:val="0"/>
          <w:sz w:val="24"/>
          <w:szCs w:val="24"/>
          <w:highlight w:val="none"/>
          <w:lang w:val="en-US" w:eastAsia="zh-CN" w:bidi="ar-SA"/>
        </w:rPr>
        <w:t>28</w:t>
      </w:r>
      <w:r>
        <w:rPr>
          <w:rFonts w:hint="default" w:ascii="Times New Roman" w:hAnsi="Times New Roman" w:eastAsia="宋体" w:cs="Times New Roman"/>
          <w:snapToGrid w:val="0"/>
          <w:color w:val="auto"/>
          <w:kern w:val="0"/>
          <w:sz w:val="24"/>
          <w:szCs w:val="24"/>
          <w:highlight w:val="none"/>
          <w:lang w:val="en-US" w:eastAsia="en-US" w:bidi="ar-SA"/>
        </w:rPr>
        <w:t>日在</w:t>
      </w:r>
      <w:r>
        <w:rPr>
          <w:rFonts w:hint="default" w:ascii="Times New Roman" w:hAnsi="Times New Roman" w:eastAsia="宋体" w:cs="Times New Roman"/>
          <w:snapToGrid w:val="0"/>
          <w:color w:val="auto"/>
          <w:kern w:val="0"/>
          <w:sz w:val="24"/>
          <w:szCs w:val="24"/>
          <w:highlight w:val="none"/>
          <w:lang w:val="en-US" w:eastAsia="zh-CN" w:bidi="ar-SA"/>
        </w:rPr>
        <w:t>黑龙江省新闻网</w:t>
      </w:r>
      <w:r>
        <w:rPr>
          <w:rFonts w:hint="default" w:ascii="Times New Roman" w:hAnsi="Times New Roman" w:eastAsia="宋体" w:cs="Times New Roman"/>
          <w:snapToGrid w:val="0"/>
          <w:color w:val="auto"/>
          <w:kern w:val="0"/>
          <w:sz w:val="24"/>
          <w:szCs w:val="24"/>
          <w:highlight w:val="none"/>
          <w:lang w:val="en-US" w:eastAsia="en-US" w:bidi="ar-SA"/>
        </w:rPr>
        <w:t>对环境影响报告书的征求意见稿进行了公示，在此期间，分别于202</w:t>
      </w:r>
      <w:r>
        <w:rPr>
          <w:rFonts w:hint="default" w:ascii="Times New Roman" w:hAnsi="Times New Roman" w:eastAsia="宋体" w:cs="Times New Roman"/>
          <w:snapToGrid w:val="0"/>
          <w:color w:val="auto"/>
          <w:kern w:val="0"/>
          <w:sz w:val="24"/>
          <w:szCs w:val="24"/>
          <w:highlight w:val="none"/>
          <w:lang w:val="en-US" w:eastAsia="zh-CN" w:bidi="ar-SA"/>
        </w:rPr>
        <w:t>5</w:t>
      </w:r>
      <w:r>
        <w:rPr>
          <w:rFonts w:hint="default" w:ascii="Times New Roman" w:hAnsi="Times New Roman" w:eastAsia="宋体" w:cs="Times New Roman"/>
          <w:snapToGrid w:val="0"/>
          <w:color w:val="auto"/>
          <w:kern w:val="0"/>
          <w:sz w:val="24"/>
          <w:szCs w:val="24"/>
          <w:highlight w:val="none"/>
          <w:lang w:val="en-US" w:eastAsia="en-US" w:bidi="ar-SA"/>
        </w:rPr>
        <w:t>年</w:t>
      </w:r>
      <w:r>
        <w:rPr>
          <w:rFonts w:hint="default" w:ascii="Times New Roman" w:hAnsi="Times New Roman" w:eastAsia="宋体" w:cs="Times New Roman"/>
          <w:snapToGrid w:val="0"/>
          <w:color w:val="auto"/>
          <w:kern w:val="0"/>
          <w:sz w:val="24"/>
          <w:szCs w:val="24"/>
          <w:highlight w:val="none"/>
          <w:lang w:val="en-US" w:eastAsia="zh-CN" w:bidi="ar-SA"/>
        </w:rPr>
        <w:t>8</w:t>
      </w:r>
      <w:r>
        <w:rPr>
          <w:rFonts w:hint="default" w:ascii="Times New Roman" w:hAnsi="Times New Roman" w:eastAsia="宋体" w:cs="Times New Roman"/>
          <w:snapToGrid w:val="0"/>
          <w:color w:val="auto"/>
          <w:kern w:val="0"/>
          <w:sz w:val="24"/>
          <w:szCs w:val="24"/>
          <w:highlight w:val="none"/>
          <w:lang w:val="en-US" w:eastAsia="en-US" w:bidi="ar-SA"/>
        </w:rPr>
        <w:t>月</w:t>
      </w:r>
      <w:r>
        <w:rPr>
          <w:rFonts w:hint="default" w:ascii="Times New Roman" w:hAnsi="Times New Roman" w:eastAsia="宋体" w:cs="Times New Roman"/>
          <w:snapToGrid w:val="0"/>
          <w:color w:val="auto"/>
          <w:kern w:val="0"/>
          <w:sz w:val="24"/>
          <w:szCs w:val="24"/>
          <w:highlight w:val="none"/>
          <w:lang w:val="en-US" w:eastAsia="zh-CN" w:bidi="ar-SA"/>
        </w:rPr>
        <w:t>1</w:t>
      </w:r>
      <w:r>
        <w:rPr>
          <w:rFonts w:hint="default" w:ascii="Times New Roman" w:hAnsi="Times New Roman" w:eastAsia="宋体" w:cs="Times New Roman"/>
          <w:snapToGrid w:val="0"/>
          <w:color w:val="auto"/>
          <w:kern w:val="0"/>
          <w:sz w:val="24"/>
          <w:szCs w:val="24"/>
          <w:highlight w:val="none"/>
          <w:lang w:val="en-US" w:eastAsia="en-US" w:bidi="ar-SA"/>
        </w:rPr>
        <w:t>日和</w:t>
      </w:r>
      <w:r>
        <w:rPr>
          <w:rFonts w:hint="default" w:ascii="Times New Roman" w:hAnsi="Times New Roman" w:eastAsia="宋体" w:cs="Times New Roman"/>
          <w:snapToGrid w:val="0"/>
          <w:color w:val="auto"/>
          <w:kern w:val="0"/>
          <w:sz w:val="24"/>
          <w:szCs w:val="24"/>
          <w:highlight w:val="none"/>
          <w:lang w:val="en-US" w:eastAsia="zh-CN" w:bidi="ar-SA"/>
        </w:rPr>
        <w:t>8</w:t>
      </w:r>
      <w:r>
        <w:rPr>
          <w:rFonts w:hint="default" w:ascii="Times New Roman" w:hAnsi="Times New Roman" w:eastAsia="宋体" w:cs="Times New Roman"/>
          <w:snapToGrid w:val="0"/>
          <w:color w:val="auto"/>
          <w:kern w:val="0"/>
          <w:sz w:val="24"/>
          <w:szCs w:val="24"/>
          <w:highlight w:val="none"/>
          <w:lang w:val="en-US" w:eastAsia="en-US" w:bidi="ar-SA"/>
        </w:rPr>
        <w:t>月</w:t>
      </w:r>
      <w:r>
        <w:rPr>
          <w:rFonts w:hint="default" w:ascii="Times New Roman" w:hAnsi="Times New Roman" w:eastAsia="宋体" w:cs="Times New Roman"/>
          <w:snapToGrid w:val="0"/>
          <w:color w:val="auto"/>
          <w:kern w:val="0"/>
          <w:sz w:val="24"/>
          <w:szCs w:val="24"/>
          <w:highlight w:val="none"/>
          <w:lang w:val="en-US" w:eastAsia="zh-CN" w:bidi="ar-SA"/>
        </w:rPr>
        <w:t>4</w:t>
      </w:r>
      <w:r>
        <w:rPr>
          <w:rFonts w:hint="default" w:ascii="Times New Roman" w:hAnsi="Times New Roman" w:eastAsia="宋体" w:cs="Times New Roman"/>
          <w:snapToGrid w:val="0"/>
          <w:color w:val="auto"/>
          <w:kern w:val="0"/>
          <w:sz w:val="24"/>
          <w:szCs w:val="24"/>
          <w:highlight w:val="none"/>
          <w:lang w:val="en-US" w:eastAsia="en-US" w:bidi="ar-SA"/>
        </w:rPr>
        <w:t>日在</w:t>
      </w:r>
      <w:r>
        <w:rPr>
          <w:rFonts w:hint="default" w:ascii="Times New Roman" w:hAnsi="Times New Roman" w:eastAsia="宋体" w:cs="Times New Roman"/>
          <w:snapToGrid w:val="0"/>
          <w:color w:val="auto"/>
          <w:kern w:val="0"/>
          <w:sz w:val="24"/>
          <w:szCs w:val="24"/>
          <w:highlight w:val="none"/>
          <w:lang w:val="en-US" w:eastAsia="zh-CN" w:bidi="ar-SA"/>
        </w:rPr>
        <w:t>黑龙江日报</w:t>
      </w:r>
      <w:r>
        <w:rPr>
          <w:rFonts w:hint="default" w:ascii="Times New Roman" w:hAnsi="Times New Roman" w:eastAsia="宋体" w:cs="Times New Roman"/>
          <w:snapToGrid w:val="0"/>
          <w:color w:val="auto"/>
          <w:kern w:val="0"/>
          <w:sz w:val="24"/>
          <w:szCs w:val="24"/>
          <w:highlight w:val="none"/>
          <w:lang w:val="en-US" w:eastAsia="en-US" w:bidi="ar-SA"/>
        </w:rPr>
        <w:t>上报纸公示了2次，且在附近村子张贴了布告栏公示。于202</w:t>
      </w:r>
      <w:r>
        <w:rPr>
          <w:rFonts w:hint="default" w:ascii="Times New Roman" w:hAnsi="Times New Roman" w:eastAsia="宋体" w:cs="Times New Roman"/>
          <w:snapToGrid w:val="0"/>
          <w:color w:val="auto"/>
          <w:kern w:val="0"/>
          <w:sz w:val="24"/>
          <w:szCs w:val="24"/>
          <w:highlight w:val="none"/>
          <w:lang w:val="en-US" w:eastAsia="zh-CN" w:bidi="ar-SA"/>
        </w:rPr>
        <w:t>5</w:t>
      </w:r>
      <w:r>
        <w:rPr>
          <w:rFonts w:hint="default" w:ascii="Times New Roman" w:hAnsi="Times New Roman" w:eastAsia="宋体" w:cs="Times New Roman"/>
          <w:snapToGrid w:val="0"/>
          <w:color w:val="auto"/>
          <w:kern w:val="0"/>
          <w:sz w:val="24"/>
          <w:szCs w:val="24"/>
          <w:highlight w:val="none"/>
          <w:lang w:val="en-US" w:eastAsia="en-US" w:bidi="ar-SA"/>
        </w:rPr>
        <w:t>年</w:t>
      </w:r>
      <w:r>
        <w:rPr>
          <w:rFonts w:hint="default" w:ascii="Times New Roman" w:hAnsi="Times New Roman" w:eastAsia="宋体" w:cs="Times New Roman"/>
          <w:snapToGrid w:val="0"/>
          <w:color w:val="auto"/>
          <w:kern w:val="0"/>
          <w:sz w:val="24"/>
          <w:szCs w:val="24"/>
          <w:highlight w:val="none"/>
          <w:lang w:val="en-US" w:eastAsia="zh-CN" w:bidi="ar-SA"/>
        </w:rPr>
        <w:t>8</w:t>
      </w:r>
      <w:r>
        <w:rPr>
          <w:rFonts w:hint="default" w:ascii="Times New Roman" w:hAnsi="Times New Roman" w:eastAsia="宋体" w:cs="Times New Roman"/>
          <w:snapToGrid w:val="0"/>
          <w:color w:val="auto"/>
          <w:kern w:val="0"/>
          <w:sz w:val="24"/>
          <w:szCs w:val="24"/>
          <w:highlight w:val="none"/>
          <w:lang w:val="en-US" w:eastAsia="en-US" w:bidi="ar-SA"/>
        </w:rPr>
        <w:t>月</w:t>
      </w:r>
      <w:r>
        <w:rPr>
          <w:rFonts w:hint="default" w:ascii="Times New Roman" w:hAnsi="Times New Roman" w:eastAsia="宋体" w:cs="Times New Roman"/>
          <w:snapToGrid w:val="0"/>
          <w:color w:val="auto"/>
          <w:kern w:val="0"/>
          <w:sz w:val="24"/>
          <w:szCs w:val="24"/>
          <w:highlight w:val="none"/>
          <w:lang w:val="en-US" w:eastAsia="zh-CN" w:bidi="ar-SA"/>
        </w:rPr>
        <w:t>1</w:t>
      </w:r>
      <w:r>
        <w:rPr>
          <w:rFonts w:hint="eastAsia" w:ascii="Times New Roman" w:hAnsi="Times New Roman" w:eastAsia="宋体" w:cs="Times New Roman"/>
          <w:snapToGrid w:val="0"/>
          <w:color w:val="auto"/>
          <w:kern w:val="0"/>
          <w:sz w:val="24"/>
          <w:szCs w:val="24"/>
          <w:highlight w:val="none"/>
          <w:lang w:val="en-US" w:eastAsia="zh-CN" w:bidi="ar-SA"/>
        </w:rPr>
        <w:t xml:space="preserve"> </w:t>
      </w:r>
      <w:r>
        <w:rPr>
          <w:rFonts w:hint="default" w:ascii="Times New Roman" w:hAnsi="Times New Roman" w:eastAsia="宋体" w:cs="Times New Roman"/>
          <w:snapToGrid w:val="0"/>
          <w:color w:val="auto"/>
          <w:kern w:val="0"/>
          <w:sz w:val="24"/>
          <w:szCs w:val="24"/>
          <w:highlight w:val="none"/>
          <w:lang w:val="en-US" w:eastAsia="zh-CN" w:bidi="ar-SA"/>
        </w:rPr>
        <w:t>2</w:t>
      </w:r>
      <w:r>
        <w:rPr>
          <w:rFonts w:hint="default" w:ascii="Times New Roman" w:hAnsi="Times New Roman" w:eastAsia="宋体" w:cs="Times New Roman"/>
          <w:snapToGrid w:val="0"/>
          <w:color w:val="auto"/>
          <w:kern w:val="0"/>
          <w:sz w:val="24"/>
          <w:szCs w:val="24"/>
          <w:highlight w:val="none"/>
          <w:lang w:val="en-US" w:eastAsia="en-US" w:bidi="ar-SA"/>
        </w:rPr>
        <w:t>日在</w:t>
      </w:r>
      <w:r>
        <w:rPr>
          <w:rFonts w:hint="default" w:ascii="Times New Roman" w:hAnsi="Times New Roman" w:eastAsia="宋体" w:cs="Times New Roman"/>
          <w:snapToGrid w:val="0"/>
          <w:color w:val="auto"/>
          <w:kern w:val="0"/>
          <w:sz w:val="24"/>
          <w:szCs w:val="24"/>
          <w:highlight w:val="none"/>
          <w:lang w:val="en-US" w:eastAsia="zh-CN" w:bidi="ar-SA"/>
        </w:rPr>
        <w:t>黑龙江省新闻网</w:t>
      </w:r>
      <w:r>
        <w:rPr>
          <w:rFonts w:hint="default" w:ascii="Times New Roman" w:hAnsi="Times New Roman" w:eastAsia="宋体" w:cs="Times New Roman"/>
          <w:snapToGrid w:val="0"/>
          <w:color w:val="auto"/>
          <w:kern w:val="0"/>
          <w:sz w:val="24"/>
          <w:szCs w:val="24"/>
          <w:highlight w:val="none"/>
          <w:lang w:val="en-US" w:eastAsia="en-US" w:bidi="ar-SA"/>
        </w:rPr>
        <w:t>进行了报批前公示。项目信息公告公示期间，均未收到公众以电话、信件或电子邮件等任何形式发回的反馈意见。</w:t>
      </w:r>
    </w:p>
    <w:p w14:paraId="5409077A">
      <w:pPr>
        <w:keepNext w:val="0"/>
        <w:keepLines w:val="0"/>
        <w:pageBreakBefore w:val="0"/>
        <w:widowControl/>
        <w:kinsoku/>
        <w:wordWrap w:val="0"/>
        <w:overflowPunct/>
        <w:topLinePunct/>
        <w:autoSpaceDE/>
        <w:autoSpaceDN/>
        <w:bidi w:val="0"/>
        <w:adjustRightInd w:val="0"/>
        <w:snapToGrid w:val="0"/>
        <w:spacing w:before="44" w:line="360" w:lineRule="auto"/>
        <w:ind w:left="38"/>
        <w:textAlignment w:val="baseline"/>
        <w:outlineLvl w:val="2"/>
        <w:rPr>
          <w:rFonts w:hint="default" w:ascii="Times New Roman" w:hAnsi="Times New Roman" w:eastAsia="宋体" w:cs="Times New Roman"/>
          <w:b/>
          <w:bCs/>
          <w:color w:val="auto"/>
          <w:spacing w:val="-3"/>
          <w:sz w:val="30"/>
          <w:szCs w:val="30"/>
          <w:highlight w:val="none"/>
          <w:lang w:val="en-US" w:eastAsia="zh-CN"/>
        </w:rPr>
      </w:pPr>
      <w:bookmarkStart w:id="292" w:name="_Toc12334"/>
      <w:r>
        <w:rPr>
          <w:rFonts w:hint="default" w:ascii="Times New Roman" w:hAnsi="Times New Roman" w:eastAsia="宋体" w:cs="Times New Roman"/>
          <w:b/>
          <w:bCs/>
          <w:color w:val="auto"/>
          <w:sz w:val="24"/>
          <w:szCs w:val="24"/>
          <w:highlight w:val="none"/>
          <w:lang w:val="en-US" w:eastAsia="zh-CN"/>
        </w:rPr>
        <w:t>9.1.8总结</w:t>
      </w:r>
      <w:bookmarkEnd w:id="292"/>
    </w:p>
    <w:p w14:paraId="4F83CFB6">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本项目符合国家产业政策要求，工程污染治理措施符合《畜禽养殖业污染防治技术规范》（HJ/T81-2001）的技术要求，项目对肉牛集约养殖产生的粪污采取的源头污染控制工程措施切实可行，可实现污水零排放、粪污得到资源化综合利用，在认真落实报告书所述各项污染防治措施后，可实现污染物稳定达标排放，不会对周围环境产生明显不利影响。</w:t>
      </w:r>
    </w:p>
    <w:p w14:paraId="060D9D4D">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因此，从环境保护角度分析，本项目具有可行性。</w:t>
      </w:r>
    </w:p>
    <w:p w14:paraId="6B2AF38A">
      <w:pPr>
        <w:keepNext w:val="0"/>
        <w:keepLines w:val="0"/>
        <w:pageBreakBefore w:val="0"/>
        <w:widowControl/>
        <w:kinsoku/>
        <w:wordWrap w:val="0"/>
        <w:overflowPunct/>
        <w:topLinePunct/>
        <w:autoSpaceDE/>
        <w:autoSpaceDN/>
        <w:bidi w:val="0"/>
        <w:adjustRightInd w:val="0"/>
        <w:snapToGrid w:val="0"/>
        <w:spacing w:line="360" w:lineRule="auto"/>
        <w:ind w:left="0"/>
        <w:textAlignment w:val="baseline"/>
        <w:outlineLvl w:val="1"/>
        <w:rPr>
          <w:rFonts w:hint="default" w:ascii="Times New Roman" w:hAnsi="Times New Roman" w:eastAsia="宋体" w:cs="Times New Roman"/>
          <w:color w:val="auto"/>
          <w:sz w:val="28"/>
          <w:szCs w:val="28"/>
          <w:highlight w:val="none"/>
          <w:lang w:eastAsia="zh-CN"/>
        </w:rPr>
      </w:pPr>
      <w:bookmarkStart w:id="293" w:name="_Toc13586"/>
      <w:r>
        <w:rPr>
          <w:rFonts w:hint="default" w:ascii="Times New Roman" w:hAnsi="Times New Roman" w:eastAsia="宋体" w:cs="Times New Roman"/>
          <w:b/>
          <w:bCs/>
          <w:color w:val="auto"/>
          <w:spacing w:val="-2"/>
          <w:sz w:val="28"/>
          <w:szCs w:val="28"/>
          <w:highlight w:val="none"/>
          <w:lang w:val="en-US" w:eastAsia="zh-CN"/>
        </w:rPr>
        <w:t>9</w:t>
      </w:r>
      <w:r>
        <w:rPr>
          <w:rFonts w:hint="default" w:ascii="Times New Roman" w:hAnsi="Times New Roman" w:eastAsia="Times New Roman" w:cs="Times New Roman"/>
          <w:b/>
          <w:bCs/>
          <w:color w:val="auto"/>
          <w:spacing w:val="-2"/>
          <w:sz w:val="28"/>
          <w:szCs w:val="28"/>
          <w:highlight w:val="none"/>
        </w:rPr>
        <w:t>.</w:t>
      </w:r>
      <w:r>
        <w:rPr>
          <w:rFonts w:hint="default" w:ascii="Times New Roman" w:hAnsi="Times New Roman" w:eastAsia="宋体" w:cs="Times New Roman"/>
          <w:b/>
          <w:bCs/>
          <w:color w:val="auto"/>
          <w:spacing w:val="-2"/>
          <w:sz w:val="28"/>
          <w:szCs w:val="28"/>
          <w:highlight w:val="none"/>
          <w:lang w:val="en-US" w:eastAsia="zh-CN"/>
        </w:rPr>
        <w:t>2  建议</w:t>
      </w:r>
      <w:bookmarkEnd w:id="293"/>
    </w:p>
    <w:p w14:paraId="25039AFB">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（1）建设单位在项目实施过程中，应认真落实本项目的各项治理措施，加强对环保设施的运行管理，制定有效的管理规章制度，建立环保管理机制。</w:t>
      </w:r>
    </w:p>
    <w:p w14:paraId="79B01716">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（2）建设单位在项目实施过程中应严格执行国家</w:t>
      </w:r>
      <w:r>
        <w:rPr>
          <w:rFonts w:hint="default" w:ascii="Times New Roman" w:hAnsi="Times New Roman" w:eastAsia="宋体" w:cs="Times New Roman"/>
          <w:snapToGrid w:val="0"/>
          <w:color w:val="auto"/>
          <w:kern w:val="0"/>
          <w:sz w:val="24"/>
          <w:szCs w:val="24"/>
          <w:highlight w:val="none"/>
          <w:lang w:val="en-US" w:eastAsia="zh-CN" w:bidi="ar-SA"/>
        </w:rPr>
        <w:t>环境保护</w:t>
      </w:r>
      <w:r>
        <w:rPr>
          <w:rFonts w:hint="default" w:ascii="Times New Roman" w:hAnsi="Times New Roman" w:eastAsia="宋体" w:cs="Times New Roman"/>
          <w:snapToGrid w:val="0"/>
          <w:color w:val="auto"/>
          <w:kern w:val="0"/>
          <w:sz w:val="24"/>
          <w:szCs w:val="24"/>
          <w:highlight w:val="none"/>
          <w:lang w:val="en-US" w:eastAsia="en-US" w:bidi="ar-SA"/>
        </w:rPr>
        <w:t>总局颁布的《畜禽养殖业污染防治技术规范》（HJ/T81-2001）。</w:t>
      </w:r>
    </w:p>
    <w:p w14:paraId="6686190E">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（3）严格执行“三同时”制度，落实各项环保措施，平时注意各项环保设施的维护，及时发现处理设备的隐患，确保处理系统正常运行；开、停、检修要有预案，有严密周全的计划，确保不发生非正常排放。</w:t>
      </w:r>
    </w:p>
    <w:p w14:paraId="66E4D1A5">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宋体" w:cs="Times New Roman"/>
          <w:snapToGrid w:val="0"/>
          <w:color w:val="auto"/>
          <w:kern w:val="0"/>
          <w:sz w:val="24"/>
          <w:szCs w:val="24"/>
          <w:highlight w:val="none"/>
          <w:lang w:val="en-US" w:eastAsia="en-US" w:bidi="ar-SA"/>
        </w:rPr>
      </w:pPr>
      <w:r>
        <w:rPr>
          <w:rFonts w:hint="default" w:ascii="Times New Roman" w:hAnsi="Times New Roman" w:eastAsia="宋体" w:cs="Times New Roman"/>
          <w:snapToGrid w:val="0"/>
          <w:color w:val="auto"/>
          <w:kern w:val="0"/>
          <w:sz w:val="24"/>
          <w:szCs w:val="24"/>
          <w:highlight w:val="none"/>
          <w:lang w:val="en-US" w:eastAsia="en-US" w:bidi="ar-SA"/>
        </w:rPr>
        <w:t>（4）饲养人员每年应至少进行一次身体检查，如发现患有危害人、畜禽的传染病者，应及时调离，以防传染。</w:t>
      </w:r>
    </w:p>
    <w:p w14:paraId="0B858D7E">
      <w:pPr>
        <w:pStyle w:val="40"/>
        <w:keepNext w:val="0"/>
        <w:keepLines w:val="0"/>
        <w:pageBreakBefore w:val="0"/>
        <w:widowControl/>
        <w:kinsoku/>
        <w:wordWrap/>
        <w:overflowPunct/>
        <w:topLinePunct w:val="0"/>
        <w:autoSpaceDE/>
        <w:autoSpaceDN/>
        <w:bidi w:val="0"/>
        <w:adjustRightInd/>
        <w:snapToGrid/>
        <w:spacing w:line="360" w:lineRule="auto"/>
        <w:ind w:firstLine="480" w:firstLineChars="200"/>
        <w:contextualSpacing/>
        <w:jc w:val="both"/>
        <w:textAlignment w:val="auto"/>
        <w:rPr>
          <w:rFonts w:hint="default" w:ascii="Times New Roman" w:hAnsi="Times New Roman" w:eastAsia="Times New Roman" w:cs="Times New Roman"/>
          <w:b/>
          <w:bCs/>
          <w:color w:val="auto"/>
          <w:spacing w:val="-3"/>
          <w:sz w:val="30"/>
          <w:szCs w:val="30"/>
          <w:highlight w:val="none"/>
        </w:rPr>
      </w:pPr>
      <w:r>
        <w:rPr>
          <w:rFonts w:hint="default" w:ascii="Times New Roman" w:hAnsi="Times New Roman" w:eastAsia="宋体" w:cs="Times New Roman"/>
          <w:snapToGrid w:val="0"/>
          <w:color w:val="auto"/>
          <w:kern w:val="0"/>
          <w:sz w:val="24"/>
          <w:szCs w:val="24"/>
          <w:highlight w:val="none"/>
          <w:lang w:val="en-US" w:eastAsia="en-US" w:bidi="ar-SA"/>
        </w:rPr>
        <w:t>（5）尽可能多的吸收场区周围农民为本项目工作人员，并对其进行技术培训，提高当地居民的收入。</w:t>
      </w:r>
    </w:p>
    <w:bookmarkEnd w:id="287"/>
    <w:bookmarkEnd w:id="288"/>
    <w:p w14:paraId="2E0982D8">
      <w:pPr>
        <w:outlineLvl w:val="9"/>
        <w:rPr>
          <w:rFonts w:hint="default" w:ascii="Times New Roman" w:hAnsi="Times New Roman" w:eastAsia="Times New Roman" w:cs="Times New Roman"/>
          <w:b/>
          <w:bCs/>
          <w:color w:val="auto"/>
          <w:spacing w:val="5"/>
          <w:sz w:val="31"/>
          <w:szCs w:val="31"/>
          <w:highlight w:val="none"/>
        </w:rPr>
      </w:pPr>
      <w:bookmarkStart w:id="294" w:name="_Toc18350"/>
      <w:bookmarkStart w:id="295" w:name="_Toc12462"/>
      <w:r>
        <w:rPr>
          <w:rFonts w:hint="default" w:ascii="Times New Roman" w:hAnsi="Times New Roman" w:eastAsia="Times New Roman" w:cs="Times New Roman"/>
          <w:b/>
          <w:bCs/>
          <w:color w:val="auto"/>
          <w:spacing w:val="5"/>
          <w:sz w:val="31"/>
          <w:szCs w:val="31"/>
          <w:highlight w:val="none"/>
        </w:rPr>
        <w:br w:type="page"/>
      </w:r>
    </w:p>
    <w:p w14:paraId="3AC5A4E0">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0"/>
        <w:rPr>
          <w:rFonts w:hint="default" w:ascii="Times New Roman" w:hAnsi="Times New Roman" w:eastAsia="Times New Roman" w:cs="Times New Roman"/>
          <w:b/>
          <w:bCs/>
          <w:color w:val="auto"/>
          <w:spacing w:val="5"/>
          <w:sz w:val="31"/>
          <w:szCs w:val="31"/>
          <w:highlight w:val="none"/>
          <w:lang w:val="en-US" w:eastAsia="zh-CN"/>
        </w:rPr>
      </w:pPr>
      <w:bookmarkStart w:id="296" w:name="_Toc32574"/>
      <w:r>
        <w:rPr>
          <w:rFonts w:hint="default" w:ascii="Times New Roman" w:hAnsi="Times New Roman" w:eastAsia="Times New Roman" w:cs="Times New Roman"/>
          <w:b/>
          <w:bCs/>
          <w:color w:val="auto"/>
          <w:spacing w:val="5"/>
          <w:sz w:val="31"/>
          <w:szCs w:val="31"/>
          <w:highlight w:val="none"/>
          <w:lang w:val="en-US" w:eastAsia="zh-CN"/>
        </w:rPr>
        <w:t>附表</w:t>
      </w:r>
      <w:bookmarkEnd w:id="296"/>
    </w:p>
    <w:p w14:paraId="6EF12C21">
      <w:pPr>
        <w:keepNext w:val="0"/>
        <w:keepLines w:val="0"/>
        <w:pageBreakBefore w:val="0"/>
        <w:widowControl/>
        <w:tabs>
          <w:tab w:val="left" w:pos="720"/>
        </w:tabs>
        <w:overflowPunct/>
        <w:bidi w:val="0"/>
        <w:adjustRightInd w:val="0"/>
        <w:snapToGrid w:val="0"/>
        <w:spacing w:line="360" w:lineRule="auto"/>
        <w:jc w:val="left"/>
        <w:textAlignment w:val="baseline"/>
        <w:outlineLvl w:val="1"/>
        <w:rPr>
          <w:rFonts w:hint="default" w:ascii="Times New Roman" w:hAnsi="Times New Roman" w:eastAsia="宋体" w:cs="Times New Roman"/>
          <w:b/>
          <w:color w:val="auto"/>
          <w:sz w:val="24"/>
          <w:highlight w:val="none"/>
        </w:rPr>
      </w:pPr>
      <w:bookmarkStart w:id="297" w:name="_Toc16226"/>
      <w:r>
        <w:rPr>
          <w:rFonts w:hint="default" w:ascii="Times New Roman" w:hAnsi="Times New Roman" w:eastAsia="宋体" w:cs="Times New Roman"/>
          <w:b/>
          <w:color w:val="auto"/>
          <w:sz w:val="24"/>
          <w:highlight w:val="none"/>
          <w:lang w:val="en-US" w:eastAsia="zh-CN"/>
        </w:rPr>
        <w:t>附表1：</w:t>
      </w:r>
      <w:r>
        <w:rPr>
          <w:rFonts w:hint="default" w:ascii="Times New Roman" w:hAnsi="Times New Roman" w:eastAsia="宋体" w:cs="Times New Roman"/>
          <w:b/>
          <w:color w:val="auto"/>
          <w:sz w:val="24"/>
          <w:highlight w:val="none"/>
        </w:rPr>
        <w:t>建设项目大气环境影响评价自查表</w:t>
      </w:r>
      <w:bookmarkEnd w:id="297"/>
    </w:p>
    <w:tbl>
      <w:tblPr>
        <w:tblStyle w:val="26"/>
        <w:tblW w:w="924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49"/>
        <w:gridCol w:w="1796"/>
        <w:gridCol w:w="940"/>
        <w:gridCol w:w="287"/>
        <w:gridCol w:w="134"/>
        <w:gridCol w:w="178"/>
        <w:gridCol w:w="19"/>
        <w:gridCol w:w="78"/>
        <w:gridCol w:w="17"/>
        <w:gridCol w:w="992"/>
        <w:gridCol w:w="221"/>
        <w:gridCol w:w="268"/>
        <w:gridCol w:w="37"/>
        <w:gridCol w:w="290"/>
        <w:gridCol w:w="318"/>
        <w:gridCol w:w="190"/>
        <w:gridCol w:w="646"/>
        <w:gridCol w:w="82"/>
        <w:gridCol w:w="482"/>
        <w:gridCol w:w="142"/>
        <w:gridCol w:w="287"/>
        <w:gridCol w:w="1087"/>
      </w:tblGrid>
      <w:tr w14:paraId="507967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545" w:type="dxa"/>
            <w:gridSpan w:val="2"/>
            <w:tcBorders>
              <w:top w:val="single" w:color="000000" w:sz="12" w:space="0"/>
              <w:left w:val="single" w:color="000000" w:sz="12" w:space="0"/>
              <w:bottom w:val="single" w:color="000000" w:sz="4" w:space="0"/>
              <w:right w:val="single" w:color="000000" w:sz="4" w:space="0"/>
            </w:tcBorders>
            <w:vAlign w:val="center"/>
          </w:tcPr>
          <w:p w14:paraId="7C6FE8A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工作内容</w:t>
            </w:r>
          </w:p>
        </w:tc>
        <w:tc>
          <w:tcPr>
            <w:tcW w:w="6695" w:type="dxa"/>
            <w:gridSpan w:val="20"/>
            <w:tcBorders>
              <w:top w:val="single" w:color="000000" w:sz="12" w:space="0"/>
              <w:left w:val="single" w:color="000000" w:sz="4" w:space="0"/>
              <w:bottom w:val="single" w:color="000000" w:sz="4" w:space="0"/>
              <w:right w:val="single" w:color="000000" w:sz="12" w:space="0"/>
            </w:tcBorders>
            <w:vAlign w:val="center"/>
          </w:tcPr>
          <w:p w14:paraId="596226E7">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自查项目</w:t>
            </w:r>
          </w:p>
        </w:tc>
      </w:tr>
      <w:tr w14:paraId="7C7E3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restart"/>
            <w:tcBorders>
              <w:top w:val="single" w:color="000000" w:sz="4" w:space="0"/>
              <w:left w:val="single" w:color="000000" w:sz="12" w:space="0"/>
              <w:bottom w:val="single" w:color="000000" w:sz="4" w:space="0"/>
              <w:right w:val="single" w:color="000000" w:sz="4" w:space="0"/>
            </w:tcBorders>
            <w:vAlign w:val="center"/>
          </w:tcPr>
          <w:p w14:paraId="43BCB84E">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评价等级与范围</w:t>
            </w:r>
          </w:p>
        </w:tc>
        <w:tc>
          <w:tcPr>
            <w:tcW w:w="1796" w:type="dxa"/>
            <w:tcBorders>
              <w:top w:val="single" w:color="000000" w:sz="4" w:space="0"/>
              <w:left w:val="single" w:color="000000" w:sz="4" w:space="0"/>
              <w:bottom w:val="single" w:color="000000" w:sz="4" w:space="0"/>
              <w:right w:val="single" w:color="000000" w:sz="4" w:space="0"/>
            </w:tcBorders>
            <w:vAlign w:val="center"/>
          </w:tcPr>
          <w:p w14:paraId="38177B8B">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评价等级</w:t>
            </w:r>
          </w:p>
        </w:tc>
        <w:tc>
          <w:tcPr>
            <w:tcW w:w="1558" w:type="dxa"/>
            <w:gridSpan w:val="5"/>
            <w:tcBorders>
              <w:top w:val="single" w:color="000000" w:sz="4" w:space="0"/>
              <w:left w:val="single" w:color="000000" w:sz="4" w:space="0"/>
              <w:bottom w:val="single" w:color="000000" w:sz="4" w:space="0"/>
              <w:right w:val="single" w:color="000000" w:sz="4" w:space="0"/>
            </w:tcBorders>
            <w:vAlign w:val="center"/>
          </w:tcPr>
          <w:p w14:paraId="2CAFE1B5">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一级□</w:t>
            </w:r>
          </w:p>
        </w:tc>
        <w:tc>
          <w:tcPr>
            <w:tcW w:w="3139" w:type="dxa"/>
            <w:gridSpan w:val="11"/>
            <w:tcBorders>
              <w:top w:val="single" w:color="000000" w:sz="4" w:space="0"/>
              <w:left w:val="single" w:color="000000" w:sz="4" w:space="0"/>
              <w:bottom w:val="single" w:color="000000" w:sz="4" w:space="0"/>
              <w:right w:val="single" w:color="000000" w:sz="4" w:space="0"/>
            </w:tcBorders>
            <w:vAlign w:val="center"/>
          </w:tcPr>
          <w:p w14:paraId="34569C94">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二级√</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3294CF79">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三级□</w:t>
            </w:r>
          </w:p>
        </w:tc>
      </w:tr>
      <w:tr w14:paraId="30B1A3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2" w:hRule="atLeast"/>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584E4E6D">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0508FB9C">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评价范围</w:t>
            </w:r>
          </w:p>
        </w:tc>
        <w:tc>
          <w:tcPr>
            <w:tcW w:w="1558" w:type="dxa"/>
            <w:gridSpan w:val="5"/>
            <w:tcBorders>
              <w:top w:val="single" w:color="000000" w:sz="4" w:space="0"/>
              <w:left w:val="single" w:color="000000" w:sz="4" w:space="0"/>
              <w:bottom w:val="single" w:color="000000" w:sz="4" w:space="0"/>
              <w:right w:val="single" w:color="000000" w:sz="4" w:space="0"/>
            </w:tcBorders>
            <w:vAlign w:val="center"/>
          </w:tcPr>
          <w:p w14:paraId="1CB100BE">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边长=50km□</w:t>
            </w:r>
          </w:p>
        </w:tc>
        <w:tc>
          <w:tcPr>
            <w:tcW w:w="3139" w:type="dxa"/>
            <w:gridSpan w:val="11"/>
            <w:tcBorders>
              <w:top w:val="single" w:color="000000" w:sz="4" w:space="0"/>
              <w:left w:val="single" w:color="000000" w:sz="4" w:space="0"/>
              <w:bottom w:val="single" w:color="000000" w:sz="4" w:space="0"/>
              <w:right w:val="single" w:color="000000" w:sz="4" w:space="0"/>
            </w:tcBorders>
            <w:vAlign w:val="center"/>
          </w:tcPr>
          <w:p w14:paraId="4F2F6D1C">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边长5~50km□</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4F87A7F0">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边长=5km√</w:t>
            </w:r>
          </w:p>
        </w:tc>
      </w:tr>
      <w:tr w14:paraId="4D2FDF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restart"/>
            <w:tcBorders>
              <w:top w:val="single" w:color="000000" w:sz="4" w:space="0"/>
              <w:left w:val="single" w:color="000000" w:sz="12" w:space="0"/>
              <w:bottom w:val="single" w:color="000000" w:sz="4" w:space="0"/>
              <w:right w:val="single" w:color="000000" w:sz="4" w:space="0"/>
            </w:tcBorders>
            <w:vAlign w:val="center"/>
          </w:tcPr>
          <w:p w14:paraId="506C9C7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评价因子</w:t>
            </w:r>
          </w:p>
        </w:tc>
        <w:tc>
          <w:tcPr>
            <w:tcW w:w="1796" w:type="dxa"/>
            <w:tcBorders>
              <w:top w:val="single" w:color="000000" w:sz="4" w:space="0"/>
              <w:left w:val="single" w:color="000000" w:sz="4" w:space="0"/>
              <w:bottom w:val="single" w:color="000000" w:sz="4" w:space="0"/>
              <w:right w:val="single" w:color="000000" w:sz="4" w:space="0"/>
            </w:tcBorders>
            <w:vAlign w:val="center"/>
          </w:tcPr>
          <w:p w14:paraId="13666EB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SO</w:t>
            </w:r>
            <w:r>
              <w:rPr>
                <w:rFonts w:hint="default" w:ascii="Times New Roman" w:hAnsi="Times New Roman" w:eastAsia="宋体" w:cs="Times New Roman"/>
                <w:bCs/>
                <w:color w:val="auto"/>
                <w:kern w:val="0"/>
                <w:szCs w:val="21"/>
                <w:highlight w:val="none"/>
                <w:vertAlign w:val="subscript"/>
              </w:rPr>
              <w:t>2</w:t>
            </w:r>
            <w:r>
              <w:rPr>
                <w:rFonts w:hint="default" w:ascii="Times New Roman" w:hAnsi="Times New Roman" w:eastAsia="宋体" w:cs="Times New Roman"/>
                <w:bCs/>
                <w:color w:val="auto"/>
                <w:kern w:val="0"/>
                <w:szCs w:val="21"/>
                <w:highlight w:val="none"/>
              </w:rPr>
              <w:t>+NO</w:t>
            </w:r>
            <w:r>
              <w:rPr>
                <w:rFonts w:hint="default" w:ascii="Times New Roman" w:hAnsi="Times New Roman" w:eastAsia="宋体" w:cs="Times New Roman"/>
                <w:bCs/>
                <w:color w:val="auto"/>
                <w:kern w:val="0"/>
                <w:szCs w:val="21"/>
                <w:highlight w:val="none"/>
                <w:vertAlign w:val="subscript"/>
              </w:rPr>
              <w:t>X</w:t>
            </w:r>
            <w:r>
              <w:rPr>
                <w:rFonts w:hint="default" w:ascii="Times New Roman" w:hAnsi="Times New Roman" w:eastAsia="宋体" w:cs="Times New Roman"/>
                <w:bCs/>
                <w:color w:val="auto"/>
                <w:kern w:val="0"/>
                <w:szCs w:val="21"/>
                <w:highlight w:val="none"/>
              </w:rPr>
              <w:t>排放量</w:t>
            </w:r>
          </w:p>
        </w:tc>
        <w:tc>
          <w:tcPr>
            <w:tcW w:w="1558" w:type="dxa"/>
            <w:gridSpan w:val="5"/>
            <w:tcBorders>
              <w:top w:val="single" w:color="000000" w:sz="4" w:space="0"/>
              <w:left w:val="single" w:color="000000" w:sz="4" w:space="0"/>
              <w:bottom w:val="single" w:color="000000" w:sz="4" w:space="0"/>
              <w:right w:val="single" w:color="000000" w:sz="4" w:space="0"/>
            </w:tcBorders>
            <w:vAlign w:val="center"/>
          </w:tcPr>
          <w:p w14:paraId="505DD9C4">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≥2000t/a□</w:t>
            </w:r>
          </w:p>
        </w:tc>
        <w:tc>
          <w:tcPr>
            <w:tcW w:w="3139" w:type="dxa"/>
            <w:gridSpan w:val="11"/>
            <w:tcBorders>
              <w:top w:val="single" w:color="000000" w:sz="4" w:space="0"/>
              <w:left w:val="single" w:color="000000" w:sz="4" w:space="0"/>
              <w:bottom w:val="single" w:color="000000" w:sz="4" w:space="0"/>
              <w:right w:val="single" w:color="000000" w:sz="4" w:space="0"/>
            </w:tcBorders>
            <w:vAlign w:val="center"/>
          </w:tcPr>
          <w:p w14:paraId="423C09EA">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500~2000t/a□</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750A01B9">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&lt;500t/a√</w:t>
            </w:r>
          </w:p>
        </w:tc>
      </w:tr>
      <w:tr w14:paraId="418A56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47687A83">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5567F175">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评价因子</w:t>
            </w:r>
          </w:p>
        </w:tc>
        <w:tc>
          <w:tcPr>
            <w:tcW w:w="4697" w:type="dxa"/>
            <w:gridSpan w:val="16"/>
            <w:tcBorders>
              <w:top w:val="single" w:color="000000" w:sz="4" w:space="0"/>
              <w:left w:val="single" w:color="000000" w:sz="4" w:space="0"/>
              <w:bottom w:val="single" w:color="000000" w:sz="4" w:space="0"/>
              <w:right w:val="single" w:color="000000" w:sz="4" w:space="0"/>
            </w:tcBorders>
            <w:vAlign w:val="center"/>
          </w:tcPr>
          <w:p w14:paraId="7C56DE6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基本污染物（PM</w:t>
            </w:r>
            <w:r>
              <w:rPr>
                <w:rFonts w:hint="default" w:ascii="Times New Roman" w:hAnsi="Times New Roman" w:eastAsia="宋体" w:cs="Times New Roman"/>
                <w:bCs/>
                <w:color w:val="auto"/>
                <w:kern w:val="0"/>
                <w:szCs w:val="21"/>
                <w:highlight w:val="none"/>
                <w:vertAlign w:val="subscript"/>
              </w:rPr>
              <w:t>10</w:t>
            </w:r>
            <w:r>
              <w:rPr>
                <w:rFonts w:hint="default" w:ascii="Times New Roman" w:hAnsi="Times New Roman" w:eastAsia="宋体" w:cs="Times New Roman"/>
                <w:bCs/>
                <w:color w:val="auto"/>
                <w:kern w:val="0"/>
                <w:szCs w:val="21"/>
                <w:highlight w:val="none"/>
              </w:rPr>
              <w:t>、PM</w:t>
            </w:r>
            <w:r>
              <w:rPr>
                <w:rFonts w:hint="default" w:ascii="Times New Roman" w:hAnsi="Times New Roman" w:eastAsia="宋体" w:cs="Times New Roman"/>
                <w:bCs/>
                <w:color w:val="auto"/>
                <w:kern w:val="0"/>
                <w:szCs w:val="21"/>
                <w:highlight w:val="none"/>
                <w:vertAlign w:val="subscript"/>
              </w:rPr>
              <w:t>2.5</w:t>
            </w:r>
            <w:r>
              <w:rPr>
                <w:rFonts w:hint="default" w:ascii="Times New Roman" w:hAnsi="Times New Roman" w:eastAsia="宋体" w:cs="Times New Roman"/>
                <w:bCs/>
                <w:color w:val="auto"/>
                <w:kern w:val="0"/>
                <w:szCs w:val="21"/>
                <w:highlight w:val="none"/>
              </w:rPr>
              <w:t>、SO</w:t>
            </w:r>
            <w:r>
              <w:rPr>
                <w:rFonts w:hint="default" w:ascii="Times New Roman" w:hAnsi="Times New Roman" w:eastAsia="宋体" w:cs="Times New Roman"/>
                <w:bCs/>
                <w:color w:val="auto"/>
                <w:kern w:val="0"/>
                <w:szCs w:val="21"/>
                <w:highlight w:val="none"/>
                <w:vertAlign w:val="subscript"/>
              </w:rPr>
              <w:t>2</w:t>
            </w:r>
            <w:r>
              <w:rPr>
                <w:rFonts w:hint="default" w:ascii="Times New Roman" w:hAnsi="Times New Roman" w:eastAsia="宋体" w:cs="Times New Roman"/>
                <w:bCs/>
                <w:color w:val="auto"/>
                <w:kern w:val="0"/>
                <w:szCs w:val="21"/>
                <w:highlight w:val="none"/>
              </w:rPr>
              <w:t>、NO</w:t>
            </w:r>
            <w:r>
              <w:rPr>
                <w:rFonts w:hint="default" w:ascii="Times New Roman" w:hAnsi="Times New Roman" w:eastAsia="宋体" w:cs="Times New Roman"/>
                <w:bCs/>
                <w:color w:val="auto"/>
                <w:kern w:val="0"/>
                <w:szCs w:val="21"/>
                <w:highlight w:val="none"/>
                <w:vertAlign w:val="subscript"/>
              </w:rPr>
              <w:t>2</w:t>
            </w:r>
            <w:r>
              <w:rPr>
                <w:rFonts w:hint="default" w:ascii="Times New Roman" w:hAnsi="Times New Roman" w:eastAsia="宋体" w:cs="Times New Roman"/>
                <w:bCs/>
                <w:color w:val="auto"/>
                <w:kern w:val="0"/>
                <w:szCs w:val="21"/>
                <w:highlight w:val="none"/>
              </w:rPr>
              <w:t>、CO、O</w:t>
            </w:r>
            <w:r>
              <w:rPr>
                <w:rFonts w:hint="default" w:ascii="Times New Roman" w:hAnsi="Times New Roman" w:eastAsia="宋体" w:cs="Times New Roman"/>
                <w:bCs/>
                <w:color w:val="auto"/>
                <w:kern w:val="0"/>
                <w:szCs w:val="21"/>
                <w:highlight w:val="none"/>
                <w:vertAlign w:val="subscript"/>
              </w:rPr>
              <w:t>3</w:t>
            </w:r>
            <w:r>
              <w:rPr>
                <w:rFonts w:hint="default" w:ascii="Times New Roman" w:hAnsi="Times New Roman" w:eastAsia="宋体" w:cs="Times New Roman"/>
                <w:bCs/>
                <w:color w:val="auto"/>
                <w:kern w:val="0"/>
                <w:szCs w:val="21"/>
                <w:highlight w:val="none"/>
              </w:rPr>
              <w:t>）其他污染物（</w:t>
            </w:r>
            <w:r>
              <w:rPr>
                <w:rFonts w:hint="default" w:ascii="Times New Roman" w:hAnsi="Times New Roman" w:eastAsia="宋体" w:cs="Times New Roman"/>
                <w:color w:val="auto"/>
                <w:sz w:val="21"/>
                <w:szCs w:val="21"/>
                <w:highlight w:val="none"/>
                <w:lang w:val="zh-CN" w:eastAsia="zh-CN"/>
              </w:rPr>
              <w:t>NH</w:t>
            </w:r>
            <w:r>
              <w:rPr>
                <w:rFonts w:hint="default" w:ascii="Times New Roman" w:hAnsi="Times New Roman" w:eastAsia="宋体" w:cs="Times New Roman"/>
                <w:color w:val="auto"/>
                <w:sz w:val="21"/>
                <w:szCs w:val="21"/>
                <w:highlight w:val="none"/>
                <w:vertAlign w:val="subscript"/>
                <w:lang w:val="zh-CN" w:eastAsia="zh-CN"/>
              </w:rPr>
              <w:t>3</w:t>
            </w:r>
            <w:r>
              <w:rPr>
                <w:rFonts w:hint="default" w:ascii="Times New Roman" w:hAnsi="Times New Roman" w:eastAsia="宋体" w:cs="Times New Roman"/>
                <w:color w:val="auto"/>
                <w:sz w:val="21"/>
                <w:szCs w:val="21"/>
                <w:highlight w:val="none"/>
                <w:lang w:val="zh-CN"/>
              </w:rPr>
              <w:t>、H</w:t>
            </w:r>
            <w:r>
              <w:rPr>
                <w:rFonts w:hint="default" w:ascii="Times New Roman" w:hAnsi="Times New Roman" w:eastAsia="宋体" w:cs="Times New Roman"/>
                <w:color w:val="auto"/>
                <w:sz w:val="21"/>
                <w:szCs w:val="21"/>
                <w:highlight w:val="none"/>
                <w:vertAlign w:val="subscript"/>
                <w:lang w:val="zh-CN"/>
              </w:rPr>
              <w:t>2</w:t>
            </w:r>
            <w:r>
              <w:rPr>
                <w:rFonts w:hint="default" w:ascii="Times New Roman" w:hAnsi="Times New Roman" w:eastAsia="宋体" w:cs="Times New Roman"/>
                <w:color w:val="auto"/>
                <w:sz w:val="21"/>
                <w:szCs w:val="21"/>
                <w:highlight w:val="none"/>
                <w:lang w:val="zh-CN"/>
              </w:rPr>
              <w:t>S</w:t>
            </w:r>
            <w:r>
              <w:rPr>
                <w:rFonts w:hint="default" w:ascii="Times New Roman" w:hAnsi="Times New Roman" w:eastAsia="宋体" w:cs="Times New Roman"/>
                <w:bCs/>
                <w:color w:val="auto"/>
                <w:kern w:val="0"/>
                <w:szCs w:val="21"/>
                <w:highlight w:val="none"/>
              </w:rPr>
              <w:t>）</w:t>
            </w:r>
          </w:p>
        </w:tc>
        <w:tc>
          <w:tcPr>
            <w:tcW w:w="1998" w:type="dxa"/>
            <w:gridSpan w:val="4"/>
            <w:tcBorders>
              <w:top w:val="single" w:color="000000" w:sz="4" w:space="0"/>
              <w:left w:val="single" w:color="auto" w:sz="4" w:space="0"/>
              <w:bottom w:val="single" w:color="000000" w:sz="4" w:space="0"/>
              <w:right w:val="single" w:color="000000" w:sz="12" w:space="0"/>
            </w:tcBorders>
            <w:vAlign w:val="center"/>
          </w:tcPr>
          <w:p w14:paraId="4736B27C">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 xml:space="preserve">  包括二次PM</w:t>
            </w:r>
            <w:r>
              <w:rPr>
                <w:rFonts w:hint="default" w:ascii="Times New Roman" w:hAnsi="Times New Roman" w:eastAsia="宋体" w:cs="Times New Roman"/>
                <w:bCs/>
                <w:color w:val="auto"/>
                <w:kern w:val="0"/>
                <w:szCs w:val="21"/>
                <w:highlight w:val="none"/>
                <w:vertAlign w:val="subscript"/>
              </w:rPr>
              <w:t>2.5</w:t>
            </w:r>
            <w:r>
              <w:rPr>
                <w:rFonts w:hint="default" w:ascii="Times New Roman" w:hAnsi="Times New Roman" w:eastAsia="宋体" w:cs="Times New Roman"/>
                <w:bCs/>
                <w:color w:val="auto"/>
                <w:kern w:val="0"/>
                <w:szCs w:val="21"/>
                <w:highlight w:val="none"/>
              </w:rPr>
              <w:t>□</w:t>
            </w:r>
          </w:p>
          <w:p w14:paraId="6B0B925D">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不包括二次PM</w:t>
            </w:r>
            <w:r>
              <w:rPr>
                <w:rFonts w:hint="default" w:ascii="Times New Roman" w:hAnsi="Times New Roman" w:eastAsia="宋体" w:cs="Times New Roman"/>
                <w:bCs/>
                <w:color w:val="auto"/>
                <w:kern w:val="0"/>
                <w:szCs w:val="21"/>
                <w:highlight w:val="none"/>
                <w:vertAlign w:val="subscript"/>
              </w:rPr>
              <w:t>2.5</w:t>
            </w:r>
            <w:r>
              <w:rPr>
                <w:rFonts w:hint="default" w:ascii="Times New Roman" w:hAnsi="Times New Roman" w:eastAsia="宋体" w:cs="Times New Roman"/>
                <w:bCs/>
                <w:color w:val="auto"/>
                <w:kern w:val="0"/>
                <w:szCs w:val="21"/>
                <w:highlight w:val="none"/>
              </w:rPr>
              <w:t>√</w:t>
            </w:r>
          </w:p>
        </w:tc>
      </w:tr>
      <w:tr w14:paraId="2425A0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tcBorders>
              <w:top w:val="single" w:color="000000" w:sz="4" w:space="0"/>
              <w:left w:val="single" w:color="000000" w:sz="12" w:space="0"/>
              <w:bottom w:val="single" w:color="000000" w:sz="4" w:space="0"/>
              <w:right w:val="single" w:color="000000" w:sz="4" w:space="0"/>
            </w:tcBorders>
            <w:vAlign w:val="center"/>
          </w:tcPr>
          <w:p w14:paraId="13BAD6E5">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评价标准</w:t>
            </w:r>
          </w:p>
        </w:tc>
        <w:tc>
          <w:tcPr>
            <w:tcW w:w="1796" w:type="dxa"/>
            <w:tcBorders>
              <w:top w:val="single" w:color="000000" w:sz="4" w:space="0"/>
              <w:left w:val="single" w:color="000000" w:sz="4" w:space="0"/>
              <w:bottom w:val="single" w:color="000000" w:sz="4" w:space="0"/>
              <w:right w:val="single" w:color="000000" w:sz="4" w:space="0"/>
            </w:tcBorders>
            <w:vAlign w:val="center"/>
          </w:tcPr>
          <w:p w14:paraId="4B875CE0">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评价标准</w:t>
            </w:r>
          </w:p>
        </w:tc>
        <w:tc>
          <w:tcPr>
            <w:tcW w:w="1227" w:type="dxa"/>
            <w:gridSpan w:val="2"/>
            <w:tcBorders>
              <w:top w:val="single" w:color="000000" w:sz="4" w:space="0"/>
              <w:left w:val="single" w:color="000000" w:sz="4" w:space="0"/>
              <w:bottom w:val="single" w:color="000000" w:sz="4" w:space="0"/>
              <w:right w:val="single" w:color="000000" w:sz="4" w:space="0"/>
            </w:tcBorders>
            <w:vAlign w:val="center"/>
          </w:tcPr>
          <w:p w14:paraId="2F430F35">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国家标准√</w:t>
            </w:r>
          </w:p>
        </w:tc>
        <w:tc>
          <w:tcPr>
            <w:tcW w:w="2742" w:type="dxa"/>
            <w:gridSpan w:val="12"/>
            <w:tcBorders>
              <w:top w:val="single" w:color="000000" w:sz="4" w:space="0"/>
              <w:left w:val="single" w:color="auto" w:sz="4" w:space="0"/>
              <w:bottom w:val="single" w:color="000000" w:sz="4" w:space="0"/>
              <w:right w:val="single" w:color="auto" w:sz="4" w:space="0"/>
            </w:tcBorders>
            <w:vAlign w:val="center"/>
          </w:tcPr>
          <w:p w14:paraId="65045979">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地方标准□</w:t>
            </w:r>
          </w:p>
        </w:tc>
        <w:tc>
          <w:tcPr>
            <w:tcW w:w="1210" w:type="dxa"/>
            <w:gridSpan w:val="3"/>
            <w:tcBorders>
              <w:top w:val="single" w:color="000000" w:sz="4" w:space="0"/>
              <w:left w:val="single" w:color="auto" w:sz="4" w:space="0"/>
              <w:bottom w:val="single" w:color="000000" w:sz="4" w:space="0"/>
              <w:right w:val="single" w:color="auto" w:sz="4" w:space="0"/>
            </w:tcBorders>
            <w:vAlign w:val="center"/>
          </w:tcPr>
          <w:p w14:paraId="28F04A6D">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附录D√</w:t>
            </w:r>
          </w:p>
        </w:tc>
        <w:tc>
          <w:tcPr>
            <w:tcW w:w="1516" w:type="dxa"/>
            <w:gridSpan w:val="3"/>
            <w:tcBorders>
              <w:top w:val="single" w:color="000000" w:sz="4" w:space="0"/>
              <w:left w:val="single" w:color="auto" w:sz="4" w:space="0"/>
              <w:bottom w:val="single" w:color="000000" w:sz="4" w:space="0"/>
              <w:right w:val="single" w:color="000000" w:sz="12" w:space="0"/>
            </w:tcBorders>
            <w:vAlign w:val="center"/>
          </w:tcPr>
          <w:p w14:paraId="74FE90E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其他标准□</w:t>
            </w:r>
          </w:p>
        </w:tc>
      </w:tr>
      <w:tr w14:paraId="7AB2EA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restart"/>
            <w:tcBorders>
              <w:top w:val="single" w:color="000000" w:sz="4" w:space="0"/>
              <w:left w:val="single" w:color="000000" w:sz="12" w:space="0"/>
              <w:bottom w:val="single" w:color="000000" w:sz="4" w:space="0"/>
              <w:right w:val="single" w:color="000000" w:sz="4" w:space="0"/>
            </w:tcBorders>
            <w:vAlign w:val="center"/>
          </w:tcPr>
          <w:p w14:paraId="0125D883">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现状评价</w:t>
            </w:r>
          </w:p>
        </w:tc>
        <w:tc>
          <w:tcPr>
            <w:tcW w:w="1796" w:type="dxa"/>
            <w:tcBorders>
              <w:top w:val="single" w:color="000000" w:sz="4" w:space="0"/>
              <w:left w:val="single" w:color="000000" w:sz="4" w:space="0"/>
              <w:bottom w:val="single" w:color="000000" w:sz="4" w:space="0"/>
              <w:right w:val="single" w:color="000000" w:sz="4" w:space="0"/>
            </w:tcBorders>
            <w:vAlign w:val="center"/>
          </w:tcPr>
          <w:p w14:paraId="39482159">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环境功能区</w:t>
            </w:r>
          </w:p>
        </w:tc>
        <w:tc>
          <w:tcPr>
            <w:tcW w:w="1558" w:type="dxa"/>
            <w:gridSpan w:val="5"/>
            <w:tcBorders>
              <w:top w:val="single" w:color="000000" w:sz="4" w:space="0"/>
              <w:left w:val="single" w:color="000000" w:sz="4" w:space="0"/>
              <w:bottom w:val="single" w:color="000000" w:sz="4" w:space="0"/>
              <w:right w:val="single" w:color="000000" w:sz="4" w:space="0"/>
            </w:tcBorders>
            <w:vAlign w:val="center"/>
          </w:tcPr>
          <w:p w14:paraId="67EF5919">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一类区□</w:t>
            </w:r>
          </w:p>
        </w:tc>
        <w:tc>
          <w:tcPr>
            <w:tcW w:w="3139" w:type="dxa"/>
            <w:gridSpan w:val="11"/>
            <w:tcBorders>
              <w:top w:val="single" w:color="000000" w:sz="4" w:space="0"/>
              <w:left w:val="single" w:color="000000" w:sz="4" w:space="0"/>
              <w:bottom w:val="single" w:color="000000" w:sz="4" w:space="0"/>
              <w:right w:val="single" w:color="000000" w:sz="4" w:space="0"/>
            </w:tcBorders>
            <w:vAlign w:val="center"/>
          </w:tcPr>
          <w:p w14:paraId="63CAAAD2">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二类区√</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177FBD60">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一类区和二类区□</w:t>
            </w:r>
          </w:p>
        </w:tc>
      </w:tr>
      <w:tr w14:paraId="1BE504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2E8E4079">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55C8764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评价基准年</w:t>
            </w:r>
          </w:p>
        </w:tc>
        <w:tc>
          <w:tcPr>
            <w:tcW w:w="6695" w:type="dxa"/>
            <w:gridSpan w:val="20"/>
            <w:tcBorders>
              <w:top w:val="single" w:color="000000" w:sz="4" w:space="0"/>
              <w:left w:val="single" w:color="000000" w:sz="4" w:space="0"/>
              <w:bottom w:val="single" w:color="000000" w:sz="4" w:space="0"/>
              <w:right w:val="single" w:color="000000" w:sz="12" w:space="0"/>
            </w:tcBorders>
            <w:vAlign w:val="center"/>
          </w:tcPr>
          <w:p w14:paraId="55667EF3">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（20</w:t>
            </w:r>
            <w:r>
              <w:rPr>
                <w:rFonts w:hint="default" w:ascii="Times New Roman" w:hAnsi="Times New Roman" w:eastAsia="宋体" w:cs="Times New Roman"/>
                <w:bCs/>
                <w:color w:val="auto"/>
                <w:kern w:val="0"/>
                <w:szCs w:val="21"/>
                <w:highlight w:val="none"/>
                <w:lang w:val="en-US" w:eastAsia="zh-CN"/>
              </w:rPr>
              <w:t>24</w:t>
            </w:r>
            <w:r>
              <w:rPr>
                <w:rFonts w:hint="default" w:ascii="Times New Roman" w:hAnsi="Times New Roman" w:eastAsia="宋体" w:cs="Times New Roman"/>
                <w:bCs/>
                <w:color w:val="auto"/>
                <w:kern w:val="0"/>
                <w:szCs w:val="21"/>
                <w:highlight w:val="none"/>
              </w:rPr>
              <w:t>）年</w:t>
            </w:r>
          </w:p>
        </w:tc>
      </w:tr>
      <w:tr w14:paraId="412040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38315850">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2844C3E3">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环境空气质量现状调查数据来源</w:t>
            </w:r>
          </w:p>
        </w:tc>
        <w:tc>
          <w:tcPr>
            <w:tcW w:w="1558" w:type="dxa"/>
            <w:gridSpan w:val="5"/>
            <w:tcBorders>
              <w:top w:val="single" w:color="000000" w:sz="4" w:space="0"/>
              <w:left w:val="single" w:color="000000" w:sz="4" w:space="0"/>
              <w:bottom w:val="single" w:color="000000" w:sz="4" w:space="0"/>
              <w:right w:val="single" w:color="000000" w:sz="4" w:space="0"/>
            </w:tcBorders>
            <w:vAlign w:val="center"/>
          </w:tcPr>
          <w:p w14:paraId="3764F24F">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长期例行监测数据□</w:t>
            </w:r>
          </w:p>
        </w:tc>
        <w:tc>
          <w:tcPr>
            <w:tcW w:w="3139" w:type="dxa"/>
            <w:gridSpan w:val="11"/>
            <w:tcBorders>
              <w:top w:val="single" w:color="000000" w:sz="4" w:space="0"/>
              <w:left w:val="single" w:color="000000" w:sz="4" w:space="0"/>
              <w:bottom w:val="single" w:color="000000" w:sz="4" w:space="0"/>
              <w:right w:val="single" w:color="000000" w:sz="4" w:space="0"/>
            </w:tcBorders>
            <w:vAlign w:val="center"/>
          </w:tcPr>
          <w:p w14:paraId="7B9DE9AD">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主管部门发布的数据√</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4CBF14DE">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现状补充监测√</w:t>
            </w:r>
          </w:p>
        </w:tc>
      </w:tr>
      <w:tr w14:paraId="378C3A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58C70088">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3C81BEDA">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现状评价</w:t>
            </w:r>
          </w:p>
        </w:tc>
        <w:tc>
          <w:tcPr>
            <w:tcW w:w="3171" w:type="dxa"/>
            <w:gridSpan w:val="11"/>
            <w:tcBorders>
              <w:top w:val="single" w:color="000000" w:sz="4" w:space="0"/>
              <w:left w:val="single" w:color="000000" w:sz="4" w:space="0"/>
              <w:bottom w:val="single" w:color="000000" w:sz="4" w:space="0"/>
              <w:right w:val="single" w:color="000000" w:sz="4" w:space="0"/>
            </w:tcBorders>
            <w:vAlign w:val="center"/>
          </w:tcPr>
          <w:p w14:paraId="7517AF3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达标区√</w:t>
            </w:r>
          </w:p>
        </w:tc>
        <w:tc>
          <w:tcPr>
            <w:tcW w:w="3524" w:type="dxa"/>
            <w:gridSpan w:val="9"/>
            <w:tcBorders>
              <w:top w:val="single" w:color="000000" w:sz="4" w:space="0"/>
              <w:left w:val="single" w:color="auto" w:sz="4" w:space="0"/>
              <w:bottom w:val="single" w:color="000000" w:sz="4" w:space="0"/>
              <w:right w:val="single" w:color="000000" w:sz="12" w:space="0"/>
            </w:tcBorders>
            <w:vAlign w:val="center"/>
          </w:tcPr>
          <w:p w14:paraId="6403487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不达标区□</w:t>
            </w:r>
          </w:p>
        </w:tc>
      </w:tr>
      <w:tr w14:paraId="14D4EC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tcBorders>
              <w:top w:val="single" w:color="000000" w:sz="4" w:space="0"/>
              <w:left w:val="single" w:color="000000" w:sz="12" w:space="0"/>
              <w:bottom w:val="single" w:color="000000" w:sz="4" w:space="0"/>
              <w:right w:val="single" w:color="000000" w:sz="4" w:space="0"/>
            </w:tcBorders>
            <w:vAlign w:val="center"/>
          </w:tcPr>
          <w:p w14:paraId="557EFC5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污染源调查</w:t>
            </w:r>
          </w:p>
        </w:tc>
        <w:tc>
          <w:tcPr>
            <w:tcW w:w="1796" w:type="dxa"/>
            <w:tcBorders>
              <w:top w:val="single" w:color="000000" w:sz="4" w:space="0"/>
              <w:left w:val="single" w:color="000000" w:sz="4" w:space="0"/>
              <w:bottom w:val="single" w:color="000000" w:sz="4" w:space="0"/>
              <w:right w:val="single" w:color="000000" w:sz="4" w:space="0"/>
            </w:tcBorders>
            <w:vAlign w:val="center"/>
          </w:tcPr>
          <w:p w14:paraId="3AF5382C">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调查内容</w:t>
            </w:r>
          </w:p>
        </w:tc>
        <w:tc>
          <w:tcPr>
            <w:tcW w:w="1653" w:type="dxa"/>
            <w:gridSpan w:val="7"/>
            <w:tcBorders>
              <w:top w:val="single" w:color="000000" w:sz="4" w:space="0"/>
              <w:left w:val="single" w:color="000000" w:sz="4" w:space="0"/>
              <w:bottom w:val="single" w:color="000000" w:sz="4" w:space="0"/>
              <w:right w:val="single" w:color="000000" w:sz="4" w:space="0"/>
            </w:tcBorders>
            <w:vAlign w:val="center"/>
          </w:tcPr>
          <w:p w14:paraId="3293A25A">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本项目正常排放源√</w:t>
            </w:r>
          </w:p>
          <w:p w14:paraId="1EFB7A70">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本项目非正常排放源√</w:t>
            </w:r>
          </w:p>
          <w:p w14:paraId="7658F15F">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现有污染源□</w:t>
            </w:r>
          </w:p>
        </w:tc>
        <w:tc>
          <w:tcPr>
            <w:tcW w:w="1808" w:type="dxa"/>
            <w:gridSpan w:val="5"/>
            <w:tcBorders>
              <w:top w:val="single" w:color="000000" w:sz="4" w:space="0"/>
              <w:left w:val="single" w:color="000000" w:sz="4" w:space="0"/>
              <w:bottom w:val="single" w:color="000000" w:sz="4" w:space="0"/>
              <w:right w:val="single" w:color="000000" w:sz="4" w:space="0"/>
            </w:tcBorders>
            <w:vAlign w:val="center"/>
          </w:tcPr>
          <w:p w14:paraId="17255F34">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拟替代的污染源□</w:t>
            </w:r>
          </w:p>
        </w:tc>
        <w:tc>
          <w:tcPr>
            <w:tcW w:w="1860" w:type="dxa"/>
            <w:gridSpan w:val="6"/>
            <w:tcBorders>
              <w:top w:val="single" w:color="000000" w:sz="4" w:space="0"/>
              <w:left w:val="single" w:color="000000" w:sz="4" w:space="0"/>
              <w:bottom w:val="single" w:color="000000" w:sz="4" w:space="0"/>
              <w:right w:val="single" w:color="000000" w:sz="4" w:space="0"/>
            </w:tcBorders>
            <w:vAlign w:val="center"/>
          </w:tcPr>
          <w:p w14:paraId="4A6A727A">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其他在建、拟建项目污染源□</w:t>
            </w:r>
          </w:p>
        </w:tc>
        <w:tc>
          <w:tcPr>
            <w:tcW w:w="1374" w:type="dxa"/>
            <w:gridSpan w:val="2"/>
            <w:tcBorders>
              <w:top w:val="single" w:color="000000" w:sz="4" w:space="0"/>
              <w:left w:val="single" w:color="000000" w:sz="4" w:space="0"/>
              <w:bottom w:val="single" w:color="000000" w:sz="4" w:space="0"/>
              <w:right w:val="single" w:color="000000" w:sz="12" w:space="0"/>
            </w:tcBorders>
            <w:vAlign w:val="center"/>
          </w:tcPr>
          <w:p w14:paraId="3C5303C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区域污染源□</w:t>
            </w:r>
          </w:p>
        </w:tc>
      </w:tr>
      <w:tr w14:paraId="57B793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restart"/>
            <w:tcBorders>
              <w:top w:val="single" w:color="000000" w:sz="4" w:space="0"/>
              <w:left w:val="single" w:color="000000" w:sz="12" w:space="0"/>
              <w:bottom w:val="single" w:color="000000" w:sz="4" w:space="0"/>
              <w:right w:val="single" w:color="000000" w:sz="4" w:space="0"/>
            </w:tcBorders>
            <w:vAlign w:val="center"/>
          </w:tcPr>
          <w:p w14:paraId="35B93032">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大气环境影响预测与评价</w:t>
            </w:r>
          </w:p>
        </w:tc>
        <w:tc>
          <w:tcPr>
            <w:tcW w:w="1796" w:type="dxa"/>
            <w:tcBorders>
              <w:top w:val="single" w:color="000000" w:sz="4" w:space="0"/>
              <w:left w:val="single" w:color="000000" w:sz="4" w:space="0"/>
              <w:bottom w:val="single" w:color="000000" w:sz="4" w:space="0"/>
              <w:right w:val="single" w:color="000000" w:sz="4" w:space="0"/>
            </w:tcBorders>
            <w:vAlign w:val="center"/>
          </w:tcPr>
          <w:p w14:paraId="0048D260">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预测模型</w:t>
            </w:r>
          </w:p>
        </w:tc>
        <w:tc>
          <w:tcPr>
            <w:tcW w:w="940" w:type="dxa"/>
            <w:tcBorders>
              <w:top w:val="single" w:color="000000" w:sz="4" w:space="0"/>
              <w:left w:val="single" w:color="000000" w:sz="4" w:space="0"/>
              <w:bottom w:val="single" w:color="000000" w:sz="4" w:space="0"/>
              <w:right w:val="single" w:color="000000" w:sz="4" w:space="0"/>
            </w:tcBorders>
            <w:vAlign w:val="center"/>
          </w:tcPr>
          <w:p w14:paraId="70F53242">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AERMOD□</w:t>
            </w:r>
          </w:p>
        </w:tc>
        <w:tc>
          <w:tcPr>
            <w:tcW w:w="713" w:type="dxa"/>
            <w:gridSpan w:val="6"/>
            <w:tcBorders>
              <w:top w:val="single" w:color="000000" w:sz="4" w:space="0"/>
              <w:left w:val="single" w:color="000000" w:sz="4" w:space="0"/>
              <w:bottom w:val="single" w:color="000000" w:sz="4" w:space="0"/>
              <w:right w:val="single" w:color="000000" w:sz="4" w:space="0"/>
            </w:tcBorders>
            <w:vAlign w:val="center"/>
          </w:tcPr>
          <w:p w14:paraId="44C46EA7">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ADMS□</w:t>
            </w:r>
          </w:p>
        </w:tc>
        <w:tc>
          <w:tcPr>
            <w:tcW w:w="992" w:type="dxa"/>
            <w:tcBorders>
              <w:top w:val="single" w:color="000000" w:sz="4" w:space="0"/>
              <w:left w:val="single" w:color="000000" w:sz="4" w:space="0"/>
              <w:bottom w:val="single" w:color="000000" w:sz="4" w:space="0"/>
              <w:right w:val="single" w:color="000000" w:sz="4" w:space="0"/>
            </w:tcBorders>
            <w:vAlign w:val="center"/>
          </w:tcPr>
          <w:p w14:paraId="49384D4D">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AUSTAL2000□</w:t>
            </w:r>
          </w:p>
        </w:tc>
        <w:tc>
          <w:tcPr>
            <w:tcW w:w="1134" w:type="dxa"/>
            <w:gridSpan w:val="5"/>
            <w:tcBorders>
              <w:top w:val="single" w:color="000000" w:sz="4" w:space="0"/>
              <w:left w:val="single" w:color="000000" w:sz="4" w:space="0"/>
              <w:bottom w:val="single" w:color="000000" w:sz="4" w:space="0"/>
              <w:right w:val="single" w:color="000000" w:sz="4" w:space="0"/>
            </w:tcBorders>
            <w:vAlign w:val="center"/>
          </w:tcPr>
          <w:p w14:paraId="234416A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EDMS/AEDT□</w:t>
            </w:r>
          </w:p>
        </w:tc>
        <w:tc>
          <w:tcPr>
            <w:tcW w:w="836" w:type="dxa"/>
            <w:gridSpan w:val="2"/>
            <w:tcBorders>
              <w:top w:val="single" w:color="000000" w:sz="4" w:space="0"/>
              <w:left w:val="single" w:color="000000" w:sz="4" w:space="0"/>
              <w:bottom w:val="single" w:color="000000" w:sz="4" w:space="0"/>
              <w:right w:val="single" w:color="000000" w:sz="4" w:space="0"/>
            </w:tcBorders>
            <w:vAlign w:val="center"/>
          </w:tcPr>
          <w:p w14:paraId="480AAEE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CALPUFF□</w:t>
            </w:r>
          </w:p>
        </w:tc>
        <w:tc>
          <w:tcPr>
            <w:tcW w:w="993" w:type="dxa"/>
            <w:gridSpan w:val="4"/>
            <w:tcBorders>
              <w:top w:val="single" w:color="000000" w:sz="4" w:space="0"/>
              <w:left w:val="single" w:color="000000" w:sz="4" w:space="0"/>
              <w:bottom w:val="single" w:color="000000" w:sz="4" w:space="0"/>
              <w:right w:val="single" w:color="000000" w:sz="4" w:space="0"/>
            </w:tcBorders>
            <w:vAlign w:val="center"/>
          </w:tcPr>
          <w:p w14:paraId="1859BDD9">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网格模型□</w:t>
            </w:r>
          </w:p>
        </w:tc>
        <w:tc>
          <w:tcPr>
            <w:tcW w:w="1087" w:type="dxa"/>
            <w:tcBorders>
              <w:top w:val="single" w:color="000000" w:sz="4" w:space="0"/>
              <w:left w:val="single" w:color="000000" w:sz="4" w:space="0"/>
              <w:bottom w:val="single" w:color="000000" w:sz="4" w:space="0"/>
              <w:right w:val="single" w:color="000000" w:sz="12" w:space="0"/>
            </w:tcBorders>
            <w:vAlign w:val="center"/>
          </w:tcPr>
          <w:p w14:paraId="0B3694F2">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其他√</w:t>
            </w:r>
          </w:p>
        </w:tc>
      </w:tr>
      <w:tr w14:paraId="6FC9DF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627764A7">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79C79DCD">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预测范围</w:t>
            </w:r>
          </w:p>
        </w:tc>
        <w:tc>
          <w:tcPr>
            <w:tcW w:w="1636" w:type="dxa"/>
            <w:gridSpan w:val="6"/>
            <w:tcBorders>
              <w:top w:val="single" w:color="000000" w:sz="4" w:space="0"/>
              <w:left w:val="single" w:color="000000" w:sz="4" w:space="0"/>
              <w:bottom w:val="single" w:color="000000" w:sz="4" w:space="0"/>
              <w:right w:val="single" w:color="000000" w:sz="4" w:space="0"/>
            </w:tcBorders>
            <w:vAlign w:val="center"/>
          </w:tcPr>
          <w:p w14:paraId="6932CE2E">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边长≥50km□</w:t>
            </w:r>
          </w:p>
        </w:tc>
        <w:tc>
          <w:tcPr>
            <w:tcW w:w="3061" w:type="dxa"/>
            <w:gridSpan w:val="10"/>
            <w:tcBorders>
              <w:top w:val="single" w:color="000000" w:sz="4" w:space="0"/>
              <w:left w:val="single" w:color="000000" w:sz="4" w:space="0"/>
              <w:bottom w:val="single" w:color="000000" w:sz="4" w:space="0"/>
              <w:right w:val="single" w:color="000000" w:sz="4" w:space="0"/>
            </w:tcBorders>
            <w:vAlign w:val="center"/>
          </w:tcPr>
          <w:p w14:paraId="2C24021B">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边长5~50km□</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7D6AC95F">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边长=5km√</w:t>
            </w:r>
          </w:p>
        </w:tc>
      </w:tr>
      <w:tr w14:paraId="6A598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24979435">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0F27A614">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预测因子</w:t>
            </w:r>
          </w:p>
        </w:tc>
        <w:tc>
          <w:tcPr>
            <w:tcW w:w="3969" w:type="dxa"/>
            <w:gridSpan w:val="14"/>
            <w:tcBorders>
              <w:top w:val="single" w:color="000000" w:sz="4" w:space="0"/>
              <w:left w:val="single" w:color="000000" w:sz="4" w:space="0"/>
              <w:bottom w:val="single" w:color="000000" w:sz="4" w:space="0"/>
              <w:right w:val="single" w:color="000000" w:sz="4" w:space="0"/>
            </w:tcBorders>
            <w:vAlign w:val="center"/>
          </w:tcPr>
          <w:p w14:paraId="77CB3DBF">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预测因子（</w:t>
            </w:r>
            <w:r>
              <w:rPr>
                <w:rFonts w:hint="default" w:ascii="Times New Roman" w:hAnsi="Times New Roman" w:eastAsia="宋体" w:cs="Times New Roman"/>
                <w:snapToGrid w:val="0"/>
                <w:color w:val="auto"/>
                <w:kern w:val="0"/>
                <w:sz w:val="21"/>
                <w:szCs w:val="21"/>
                <w:highlight w:val="none"/>
              </w:rPr>
              <w:t>NH</w:t>
            </w:r>
            <w:r>
              <w:rPr>
                <w:rFonts w:hint="default" w:ascii="Times New Roman" w:hAnsi="Times New Roman" w:eastAsia="宋体" w:cs="Times New Roman"/>
                <w:snapToGrid w:val="0"/>
                <w:color w:val="auto"/>
                <w:kern w:val="0"/>
                <w:sz w:val="21"/>
                <w:szCs w:val="21"/>
                <w:highlight w:val="none"/>
                <w:vertAlign w:val="subscript"/>
              </w:rPr>
              <w:t>3</w:t>
            </w:r>
            <w:r>
              <w:rPr>
                <w:rFonts w:hint="default" w:ascii="Times New Roman" w:hAnsi="Times New Roman" w:eastAsia="宋体" w:cs="Times New Roman"/>
                <w:b w:val="0"/>
                <w:bCs/>
                <w:snapToGrid w:val="0"/>
                <w:color w:val="auto"/>
                <w:kern w:val="0"/>
                <w:sz w:val="21"/>
                <w:szCs w:val="21"/>
                <w:highlight w:val="none"/>
                <w:vertAlign w:val="baseline"/>
                <w:lang w:val="en-US" w:eastAsia="zh-CN"/>
              </w:rPr>
              <w:t>、</w:t>
            </w:r>
            <w:r>
              <w:rPr>
                <w:rFonts w:hint="default" w:ascii="Times New Roman" w:hAnsi="Times New Roman" w:eastAsia="宋体" w:cs="Times New Roman"/>
                <w:snapToGrid w:val="0"/>
                <w:color w:val="auto"/>
                <w:kern w:val="0"/>
                <w:sz w:val="21"/>
                <w:szCs w:val="21"/>
                <w:highlight w:val="none"/>
              </w:rPr>
              <w:t>H</w:t>
            </w:r>
            <w:r>
              <w:rPr>
                <w:rFonts w:hint="default" w:ascii="Times New Roman" w:hAnsi="Times New Roman" w:eastAsia="宋体" w:cs="Times New Roman"/>
                <w:snapToGrid w:val="0"/>
                <w:color w:val="auto"/>
                <w:kern w:val="0"/>
                <w:sz w:val="21"/>
                <w:szCs w:val="21"/>
                <w:highlight w:val="none"/>
                <w:vertAlign w:val="subscript"/>
              </w:rPr>
              <w:t>2</w:t>
            </w:r>
            <w:r>
              <w:rPr>
                <w:rFonts w:hint="default" w:ascii="Times New Roman" w:hAnsi="Times New Roman" w:eastAsia="宋体" w:cs="Times New Roman"/>
                <w:snapToGrid w:val="0"/>
                <w:color w:val="auto"/>
                <w:kern w:val="0"/>
                <w:sz w:val="21"/>
                <w:szCs w:val="21"/>
                <w:highlight w:val="none"/>
              </w:rPr>
              <w:t>S</w:t>
            </w:r>
            <w:r>
              <w:rPr>
                <w:rFonts w:hint="default" w:ascii="Times New Roman" w:hAnsi="Times New Roman" w:eastAsia="宋体" w:cs="Times New Roman"/>
                <w:bCs/>
                <w:color w:val="auto"/>
                <w:kern w:val="0"/>
                <w:szCs w:val="21"/>
                <w:highlight w:val="none"/>
              </w:rPr>
              <w:t>）</w:t>
            </w:r>
          </w:p>
        </w:tc>
        <w:tc>
          <w:tcPr>
            <w:tcW w:w="2726" w:type="dxa"/>
            <w:gridSpan w:val="6"/>
            <w:tcBorders>
              <w:top w:val="single" w:color="000000" w:sz="4" w:space="0"/>
              <w:left w:val="single" w:color="auto" w:sz="4" w:space="0"/>
              <w:bottom w:val="single" w:color="000000" w:sz="4" w:space="0"/>
              <w:right w:val="single" w:color="000000" w:sz="12" w:space="0"/>
            </w:tcBorders>
            <w:vAlign w:val="center"/>
          </w:tcPr>
          <w:p w14:paraId="03FC5A0E">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 xml:space="preserve">  包括二次PM</w:t>
            </w:r>
            <w:r>
              <w:rPr>
                <w:rFonts w:hint="default" w:ascii="Times New Roman" w:hAnsi="Times New Roman" w:eastAsia="宋体" w:cs="Times New Roman"/>
                <w:bCs/>
                <w:color w:val="auto"/>
                <w:kern w:val="0"/>
                <w:szCs w:val="21"/>
                <w:highlight w:val="none"/>
                <w:vertAlign w:val="subscript"/>
              </w:rPr>
              <w:t>2.5</w:t>
            </w:r>
            <w:r>
              <w:rPr>
                <w:rFonts w:hint="default" w:ascii="Times New Roman" w:hAnsi="Times New Roman" w:eastAsia="宋体" w:cs="Times New Roman"/>
                <w:bCs/>
                <w:color w:val="auto"/>
                <w:kern w:val="0"/>
                <w:szCs w:val="21"/>
                <w:highlight w:val="none"/>
              </w:rPr>
              <w:t>□</w:t>
            </w:r>
          </w:p>
          <w:p w14:paraId="3B3564FA">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不包括二次PM</w:t>
            </w:r>
            <w:r>
              <w:rPr>
                <w:rFonts w:hint="default" w:ascii="Times New Roman" w:hAnsi="Times New Roman" w:eastAsia="宋体" w:cs="Times New Roman"/>
                <w:bCs/>
                <w:color w:val="auto"/>
                <w:kern w:val="0"/>
                <w:szCs w:val="21"/>
                <w:highlight w:val="none"/>
                <w:vertAlign w:val="subscript"/>
              </w:rPr>
              <w:t>2.5</w:t>
            </w:r>
            <w:r>
              <w:rPr>
                <w:rFonts w:hint="default" w:ascii="Times New Roman" w:hAnsi="Times New Roman" w:eastAsia="宋体" w:cs="Times New Roman"/>
                <w:bCs/>
                <w:color w:val="auto"/>
                <w:kern w:val="0"/>
                <w:szCs w:val="21"/>
                <w:highlight w:val="none"/>
              </w:rPr>
              <w:t>√</w:t>
            </w:r>
          </w:p>
        </w:tc>
      </w:tr>
      <w:tr w14:paraId="20860E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1025A8AF">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5FC0416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正常排放短期浓度贡献值</w:t>
            </w:r>
          </w:p>
        </w:tc>
        <w:tc>
          <w:tcPr>
            <w:tcW w:w="3969" w:type="dxa"/>
            <w:gridSpan w:val="14"/>
            <w:tcBorders>
              <w:top w:val="single" w:color="000000" w:sz="4" w:space="0"/>
              <w:left w:val="single" w:color="000000" w:sz="4" w:space="0"/>
              <w:bottom w:val="single" w:color="000000" w:sz="4" w:space="0"/>
              <w:right w:val="single" w:color="000000" w:sz="4" w:space="0"/>
            </w:tcBorders>
            <w:vAlign w:val="center"/>
          </w:tcPr>
          <w:p w14:paraId="6B5EAEC7">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本项目</w:t>
            </w:r>
            <w:r>
              <w:rPr>
                <w:rFonts w:hint="default" w:ascii="Times New Roman" w:hAnsi="Times New Roman" w:eastAsia="宋体" w:cs="Times New Roman"/>
                <w:bCs/>
                <w:color w:val="auto"/>
                <w:kern w:val="0"/>
                <w:szCs w:val="21"/>
                <w:highlight w:val="none"/>
              </w:rPr>
              <w:t>最大占标率≤100%√</w:t>
            </w:r>
          </w:p>
        </w:tc>
        <w:tc>
          <w:tcPr>
            <w:tcW w:w="2726" w:type="dxa"/>
            <w:gridSpan w:val="6"/>
            <w:tcBorders>
              <w:top w:val="single" w:color="000000" w:sz="4" w:space="0"/>
              <w:left w:val="single" w:color="auto" w:sz="4" w:space="0"/>
              <w:bottom w:val="single" w:color="000000" w:sz="4" w:space="0"/>
              <w:right w:val="single" w:color="000000" w:sz="12" w:space="0"/>
            </w:tcBorders>
            <w:vAlign w:val="center"/>
          </w:tcPr>
          <w:p w14:paraId="6142C59F">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本项目</w:t>
            </w:r>
            <w:r>
              <w:rPr>
                <w:rFonts w:hint="default" w:ascii="Times New Roman" w:hAnsi="Times New Roman" w:eastAsia="宋体" w:cs="Times New Roman"/>
                <w:bCs/>
                <w:color w:val="auto"/>
                <w:kern w:val="0"/>
                <w:szCs w:val="21"/>
                <w:highlight w:val="none"/>
              </w:rPr>
              <w:t>最大占标率&gt;100%□</w:t>
            </w:r>
          </w:p>
        </w:tc>
      </w:tr>
      <w:tr w14:paraId="582907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55010ECB">
            <w:pPr>
              <w:widowControl/>
              <w:jc w:val="left"/>
              <w:rPr>
                <w:rFonts w:hint="default" w:ascii="Times New Roman" w:hAnsi="Times New Roman" w:eastAsia="宋体" w:cs="Times New Roman"/>
                <w:bCs/>
                <w:color w:val="auto"/>
                <w:kern w:val="0"/>
                <w:szCs w:val="21"/>
                <w:highlight w:val="none"/>
              </w:rPr>
            </w:pPr>
          </w:p>
        </w:tc>
        <w:tc>
          <w:tcPr>
            <w:tcW w:w="1796" w:type="dxa"/>
            <w:vMerge w:val="restart"/>
            <w:tcBorders>
              <w:top w:val="single" w:color="000000" w:sz="4" w:space="0"/>
              <w:left w:val="single" w:color="000000" w:sz="4" w:space="0"/>
              <w:bottom w:val="single" w:color="000000" w:sz="4" w:space="0"/>
              <w:right w:val="single" w:color="000000" w:sz="4" w:space="0"/>
            </w:tcBorders>
            <w:vAlign w:val="center"/>
          </w:tcPr>
          <w:p w14:paraId="45743A4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正常排放年均浓度贡献值</w:t>
            </w:r>
          </w:p>
        </w:tc>
        <w:tc>
          <w:tcPr>
            <w:tcW w:w="940" w:type="dxa"/>
            <w:tcBorders>
              <w:top w:val="single" w:color="000000" w:sz="4" w:space="0"/>
              <w:left w:val="single" w:color="000000" w:sz="4" w:space="0"/>
              <w:bottom w:val="single" w:color="000000" w:sz="4" w:space="0"/>
              <w:right w:val="single" w:color="000000" w:sz="4" w:space="0"/>
            </w:tcBorders>
            <w:vAlign w:val="center"/>
          </w:tcPr>
          <w:p w14:paraId="5B6052C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一类区</w:t>
            </w:r>
          </w:p>
        </w:tc>
        <w:tc>
          <w:tcPr>
            <w:tcW w:w="3029" w:type="dxa"/>
            <w:gridSpan w:val="13"/>
            <w:tcBorders>
              <w:top w:val="single" w:color="000000" w:sz="4" w:space="0"/>
              <w:left w:val="single" w:color="000000" w:sz="4" w:space="0"/>
              <w:bottom w:val="single" w:color="000000" w:sz="4" w:space="0"/>
              <w:right w:val="single" w:color="000000" w:sz="4" w:space="0"/>
            </w:tcBorders>
            <w:vAlign w:val="center"/>
          </w:tcPr>
          <w:p w14:paraId="4341726C">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本项目</w:t>
            </w:r>
            <w:r>
              <w:rPr>
                <w:rFonts w:hint="default" w:ascii="Times New Roman" w:hAnsi="Times New Roman" w:eastAsia="宋体" w:cs="Times New Roman"/>
                <w:bCs/>
                <w:color w:val="auto"/>
                <w:kern w:val="0"/>
                <w:szCs w:val="21"/>
                <w:highlight w:val="none"/>
              </w:rPr>
              <w:t>最大占标率≤10%□</w:t>
            </w:r>
          </w:p>
        </w:tc>
        <w:tc>
          <w:tcPr>
            <w:tcW w:w="2726" w:type="dxa"/>
            <w:gridSpan w:val="6"/>
            <w:tcBorders>
              <w:top w:val="single" w:color="000000" w:sz="4" w:space="0"/>
              <w:left w:val="single" w:color="000000" w:sz="4" w:space="0"/>
              <w:bottom w:val="single" w:color="000000" w:sz="4" w:space="0"/>
              <w:right w:val="single" w:color="000000" w:sz="12" w:space="0"/>
            </w:tcBorders>
            <w:vAlign w:val="center"/>
          </w:tcPr>
          <w:p w14:paraId="263CBEB3">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本项目</w:t>
            </w:r>
            <w:r>
              <w:rPr>
                <w:rFonts w:hint="default" w:ascii="Times New Roman" w:hAnsi="Times New Roman" w:eastAsia="宋体" w:cs="Times New Roman"/>
                <w:bCs/>
                <w:color w:val="auto"/>
                <w:kern w:val="0"/>
                <w:szCs w:val="21"/>
                <w:highlight w:val="none"/>
              </w:rPr>
              <w:t>最大占标率&gt;10%□</w:t>
            </w:r>
          </w:p>
        </w:tc>
      </w:tr>
      <w:tr w14:paraId="301C1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4C3A78C8">
            <w:pPr>
              <w:widowControl/>
              <w:jc w:val="left"/>
              <w:rPr>
                <w:rFonts w:hint="default" w:ascii="Times New Roman" w:hAnsi="Times New Roman" w:eastAsia="宋体" w:cs="Times New Roman"/>
                <w:bCs/>
                <w:color w:val="auto"/>
                <w:kern w:val="0"/>
                <w:szCs w:val="21"/>
                <w:highlight w:val="none"/>
              </w:rPr>
            </w:pPr>
          </w:p>
        </w:tc>
        <w:tc>
          <w:tcPr>
            <w:tcW w:w="1796" w:type="dxa"/>
            <w:vMerge w:val="continue"/>
            <w:tcBorders>
              <w:top w:val="single" w:color="000000" w:sz="4" w:space="0"/>
              <w:left w:val="single" w:color="000000" w:sz="4" w:space="0"/>
              <w:bottom w:val="single" w:color="000000" w:sz="4" w:space="0"/>
              <w:right w:val="single" w:color="000000" w:sz="4" w:space="0"/>
            </w:tcBorders>
            <w:vAlign w:val="center"/>
          </w:tcPr>
          <w:p w14:paraId="27C3816B">
            <w:pPr>
              <w:widowControl/>
              <w:jc w:val="left"/>
              <w:rPr>
                <w:rFonts w:hint="default" w:ascii="Times New Roman" w:hAnsi="Times New Roman" w:eastAsia="宋体" w:cs="Times New Roman"/>
                <w:bCs/>
                <w:color w:val="auto"/>
                <w:kern w:val="0"/>
                <w:szCs w:val="21"/>
                <w:highlight w:val="none"/>
              </w:rPr>
            </w:pPr>
          </w:p>
        </w:tc>
        <w:tc>
          <w:tcPr>
            <w:tcW w:w="940" w:type="dxa"/>
            <w:tcBorders>
              <w:top w:val="single" w:color="000000" w:sz="4" w:space="0"/>
              <w:left w:val="single" w:color="000000" w:sz="4" w:space="0"/>
              <w:bottom w:val="single" w:color="000000" w:sz="4" w:space="0"/>
              <w:right w:val="single" w:color="000000" w:sz="4" w:space="0"/>
            </w:tcBorders>
            <w:vAlign w:val="center"/>
          </w:tcPr>
          <w:p w14:paraId="1663E4F7">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二类区</w:t>
            </w:r>
          </w:p>
        </w:tc>
        <w:tc>
          <w:tcPr>
            <w:tcW w:w="3029" w:type="dxa"/>
            <w:gridSpan w:val="13"/>
            <w:tcBorders>
              <w:top w:val="single" w:color="000000" w:sz="4" w:space="0"/>
              <w:left w:val="single" w:color="000000" w:sz="4" w:space="0"/>
              <w:bottom w:val="single" w:color="000000" w:sz="4" w:space="0"/>
              <w:right w:val="single" w:color="000000" w:sz="4" w:space="0"/>
            </w:tcBorders>
            <w:vAlign w:val="center"/>
          </w:tcPr>
          <w:p w14:paraId="49FB0D4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本项目</w:t>
            </w:r>
            <w:r>
              <w:rPr>
                <w:rFonts w:hint="default" w:ascii="Times New Roman" w:hAnsi="Times New Roman" w:eastAsia="宋体" w:cs="Times New Roman"/>
                <w:bCs/>
                <w:color w:val="auto"/>
                <w:kern w:val="0"/>
                <w:szCs w:val="21"/>
                <w:highlight w:val="none"/>
              </w:rPr>
              <w:t>最大占标率≤30%□</w:t>
            </w:r>
          </w:p>
        </w:tc>
        <w:tc>
          <w:tcPr>
            <w:tcW w:w="2726" w:type="dxa"/>
            <w:gridSpan w:val="6"/>
            <w:tcBorders>
              <w:top w:val="single" w:color="000000" w:sz="4" w:space="0"/>
              <w:left w:val="single" w:color="000000" w:sz="4" w:space="0"/>
              <w:bottom w:val="single" w:color="000000" w:sz="4" w:space="0"/>
              <w:right w:val="single" w:color="000000" w:sz="12" w:space="0"/>
            </w:tcBorders>
            <w:vAlign w:val="center"/>
          </w:tcPr>
          <w:p w14:paraId="69948345">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本项目</w:t>
            </w:r>
            <w:r>
              <w:rPr>
                <w:rFonts w:hint="default" w:ascii="Times New Roman" w:hAnsi="Times New Roman" w:eastAsia="宋体" w:cs="Times New Roman"/>
                <w:bCs/>
                <w:color w:val="auto"/>
                <w:kern w:val="0"/>
                <w:szCs w:val="21"/>
                <w:highlight w:val="none"/>
              </w:rPr>
              <w:t>最大占标率&gt;30%□</w:t>
            </w:r>
          </w:p>
        </w:tc>
      </w:tr>
      <w:tr w14:paraId="30B386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23EAAB5F">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3418475E">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非正常排放1h浓度贡献值</w:t>
            </w:r>
          </w:p>
        </w:tc>
        <w:tc>
          <w:tcPr>
            <w:tcW w:w="1361" w:type="dxa"/>
            <w:gridSpan w:val="3"/>
            <w:tcBorders>
              <w:top w:val="single" w:color="000000" w:sz="4" w:space="0"/>
              <w:left w:val="single" w:color="000000" w:sz="4" w:space="0"/>
              <w:bottom w:val="single" w:color="000000" w:sz="4" w:space="0"/>
              <w:right w:val="single" w:color="000000" w:sz="4" w:space="0"/>
            </w:tcBorders>
            <w:vAlign w:val="center"/>
          </w:tcPr>
          <w:p w14:paraId="61D1BD3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非正常持续时长（）h</w:t>
            </w:r>
          </w:p>
        </w:tc>
        <w:tc>
          <w:tcPr>
            <w:tcW w:w="2608" w:type="dxa"/>
            <w:gridSpan w:val="11"/>
            <w:tcBorders>
              <w:top w:val="single" w:color="000000" w:sz="4" w:space="0"/>
              <w:left w:val="single" w:color="000000" w:sz="4" w:space="0"/>
              <w:bottom w:val="single" w:color="000000" w:sz="4" w:space="0"/>
              <w:right w:val="single" w:color="000000" w:sz="4" w:space="0"/>
            </w:tcBorders>
            <w:vAlign w:val="center"/>
          </w:tcPr>
          <w:p w14:paraId="2C73A8FE">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非正常</w:t>
            </w:r>
            <w:r>
              <w:rPr>
                <w:rFonts w:hint="default" w:ascii="Times New Roman" w:hAnsi="Times New Roman" w:eastAsia="宋体" w:cs="Times New Roman"/>
                <w:bCs/>
                <w:color w:val="auto"/>
                <w:kern w:val="0"/>
                <w:szCs w:val="21"/>
                <w:highlight w:val="none"/>
              </w:rPr>
              <w:t>占标率≤100%□</w:t>
            </w:r>
          </w:p>
        </w:tc>
        <w:tc>
          <w:tcPr>
            <w:tcW w:w="2726" w:type="dxa"/>
            <w:gridSpan w:val="6"/>
            <w:tcBorders>
              <w:top w:val="single" w:color="000000" w:sz="4" w:space="0"/>
              <w:left w:val="single" w:color="000000" w:sz="4" w:space="0"/>
              <w:bottom w:val="single" w:color="000000" w:sz="4" w:space="0"/>
              <w:right w:val="single" w:color="000000" w:sz="12" w:space="0"/>
            </w:tcBorders>
            <w:vAlign w:val="center"/>
          </w:tcPr>
          <w:p w14:paraId="26714455">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非正常</w:t>
            </w:r>
            <w:r>
              <w:rPr>
                <w:rFonts w:hint="default" w:ascii="Times New Roman" w:hAnsi="Times New Roman" w:eastAsia="宋体" w:cs="Times New Roman"/>
                <w:bCs/>
                <w:color w:val="auto"/>
                <w:kern w:val="0"/>
                <w:szCs w:val="21"/>
                <w:highlight w:val="none"/>
              </w:rPr>
              <w:t>占标率&gt;100%□</w:t>
            </w:r>
          </w:p>
        </w:tc>
      </w:tr>
      <w:tr w14:paraId="109D15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7B2CC86B">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7E1069A2">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保证率日平均浓度和年平均浓度叠加值</w:t>
            </w:r>
          </w:p>
        </w:tc>
        <w:tc>
          <w:tcPr>
            <w:tcW w:w="3134" w:type="dxa"/>
            <w:gridSpan w:val="10"/>
            <w:tcBorders>
              <w:top w:val="single" w:color="000000" w:sz="4" w:space="0"/>
              <w:left w:val="single" w:color="000000" w:sz="4" w:space="0"/>
              <w:bottom w:val="single" w:color="000000" w:sz="4" w:space="0"/>
              <w:right w:val="single" w:color="000000" w:sz="4" w:space="0"/>
            </w:tcBorders>
            <w:vAlign w:val="center"/>
          </w:tcPr>
          <w:p w14:paraId="57986FC7">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叠加</w:t>
            </w:r>
            <w:r>
              <w:rPr>
                <w:rFonts w:hint="default" w:ascii="Times New Roman" w:hAnsi="Times New Roman" w:eastAsia="宋体" w:cs="Times New Roman"/>
                <w:bCs/>
                <w:color w:val="auto"/>
                <w:kern w:val="0"/>
                <w:szCs w:val="21"/>
                <w:highlight w:val="none"/>
              </w:rPr>
              <w:t>达标□</w:t>
            </w:r>
          </w:p>
        </w:tc>
        <w:tc>
          <w:tcPr>
            <w:tcW w:w="3561" w:type="dxa"/>
            <w:gridSpan w:val="10"/>
            <w:tcBorders>
              <w:top w:val="single" w:color="000000" w:sz="4" w:space="0"/>
              <w:left w:val="single" w:color="000000" w:sz="4" w:space="0"/>
              <w:bottom w:val="single" w:color="000000" w:sz="4" w:space="0"/>
              <w:right w:val="single" w:color="000000" w:sz="12" w:space="0"/>
            </w:tcBorders>
            <w:vAlign w:val="center"/>
          </w:tcPr>
          <w:p w14:paraId="7E84912A">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C</w:t>
            </w:r>
            <w:r>
              <w:rPr>
                <w:rFonts w:hint="default" w:ascii="Times New Roman" w:hAnsi="Times New Roman" w:eastAsia="宋体" w:cs="Times New Roman"/>
                <w:bCs/>
                <w:color w:val="auto"/>
                <w:kern w:val="0"/>
                <w:szCs w:val="21"/>
                <w:highlight w:val="none"/>
                <w:vertAlign w:val="subscript"/>
              </w:rPr>
              <w:t>叠加</w:t>
            </w:r>
            <w:r>
              <w:rPr>
                <w:rFonts w:hint="default" w:ascii="Times New Roman" w:hAnsi="Times New Roman" w:eastAsia="宋体" w:cs="Times New Roman"/>
                <w:bCs/>
                <w:color w:val="auto"/>
                <w:kern w:val="0"/>
                <w:szCs w:val="21"/>
                <w:highlight w:val="none"/>
              </w:rPr>
              <w:t>不达标□</w:t>
            </w:r>
          </w:p>
        </w:tc>
      </w:tr>
      <w:tr w14:paraId="7D016B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5D4859F8">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6DC67EF4">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区域环境质量的整体变化情况</w:t>
            </w:r>
          </w:p>
        </w:tc>
        <w:tc>
          <w:tcPr>
            <w:tcW w:w="3134" w:type="dxa"/>
            <w:gridSpan w:val="10"/>
            <w:tcBorders>
              <w:top w:val="single" w:color="000000" w:sz="4" w:space="0"/>
              <w:left w:val="single" w:color="000000" w:sz="4" w:space="0"/>
              <w:bottom w:val="single" w:color="000000" w:sz="4" w:space="0"/>
              <w:right w:val="single" w:color="000000" w:sz="4" w:space="0"/>
            </w:tcBorders>
            <w:vAlign w:val="center"/>
          </w:tcPr>
          <w:p w14:paraId="5380B14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k≤-20%□</w:t>
            </w:r>
          </w:p>
        </w:tc>
        <w:tc>
          <w:tcPr>
            <w:tcW w:w="3561" w:type="dxa"/>
            <w:gridSpan w:val="10"/>
            <w:tcBorders>
              <w:top w:val="single" w:color="000000" w:sz="4" w:space="0"/>
              <w:left w:val="single" w:color="000000" w:sz="4" w:space="0"/>
              <w:bottom w:val="single" w:color="000000" w:sz="4" w:space="0"/>
              <w:right w:val="single" w:color="000000" w:sz="12" w:space="0"/>
            </w:tcBorders>
            <w:vAlign w:val="center"/>
          </w:tcPr>
          <w:p w14:paraId="2AE1C6A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k&gt;-20%□</w:t>
            </w:r>
          </w:p>
        </w:tc>
      </w:tr>
      <w:tr w14:paraId="3DCFC1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restart"/>
            <w:tcBorders>
              <w:top w:val="single" w:color="000000" w:sz="4" w:space="0"/>
              <w:left w:val="single" w:color="000000" w:sz="12" w:space="0"/>
              <w:bottom w:val="single" w:color="000000" w:sz="4" w:space="0"/>
              <w:right w:val="single" w:color="000000" w:sz="4" w:space="0"/>
            </w:tcBorders>
            <w:vAlign w:val="center"/>
          </w:tcPr>
          <w:p w14:paraId="35929BE4">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环境监测计划</w:t>
            </w:r>
          </w:p>
        </w:tc>
        <w:tc>
          <w:tcPr>
            <w:tcW w:w="1796" w:type="dxa"/>
            <w:tcBorders>
              <w:top w:val="single" w:color="000000" w:sz="4" w:space="0"/>
              <w:left w:val="single" w:color="000000" w:sz="4" w:space="0"/>
              <w:bottom w:val="single" w:color="000000" w:sz="4" w:space="0"/>
              <w:right w:val="single" w:color="000000" w:sz="4" w:space="0"/>
            </w:tcBorders>
            <w:vAlign w:val="center"/>
          </w:tcPr>
          <w:p w14:paraId="00F7B98F">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污染源监测</w:t>
            </w:r>
          </w:p>
        </w:tc>
        <w:tc>
          <w:tcPr>
            <w:tcW w:w="2866" w:type="dxa"/>
            <w:gridSpan w:val="9"/>
            <w:tcBorders>
              <w:top w:val="single" w:color="000000" w:sz="4" w:space="0"/>
              <w:left w:val="single" w:color="000000" w:sz="4" w:space="0"/>
              <w:bottom w:val="single" w:color="000000" w:sz="4" w:space="0"/>
              <w:right w:val="single" w:color="000000" w:sz="4" w:space="0"/>
            </w:tcBorders>
            <w:vAlign w:val="center"/>
          </w:tcPr>
          <w:p w14:paraId="77692EC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监测因子：（臭气浓度、</w:t>
            </w:r>
            <w:r>
              <w:rPr>
                <w:rFonts w:hint="default" w:ascii="Times New Roman" w:hAnsi="Times New Roman" w:eastAsia="宋体" w:cs="Times New Roman"/>
                <w:snapToGrid w:val="0"/>
                <w:color w:val="auto"/>
                <w:kern w:val="0"/>
                <w:sz w:val="21"/>
                <w:szCs w:val="21"/>
                <w:highlight w:val="none"/>
              </w:rPr>
              <w:t>NH</w:t>
            </w:r>
            <w:r>
              <w:rPr>
                <w:rFonts w:hint="default" w:ascii="Times New Roman" w:hAnsi="Times New Roman" w:eastAsia="宋体" w:cs="Times New Roman"/>
                <w:snapToGrid w:val="0"/>
                <w:color w:val="auto"/>
                <w:kern w:val="0"/>
                <w:sz w:val="21"/>
                <w:szCs w:val="21"/>
                <w:highlight w:val="none"/>
                <w:vertAlign w:val="subscript"/>
              </w:rPr>
              <w:t>3</w:t>
            </w:r>
            <w:r>
              <w:rPr>
                <w:rFonts w:hint="default" w:ascii="Times New Roman" w:hAnsi="Times New Roman" w:eastAsia="宋体" w:cs="Times New Roman"/>
                <w:b w:val="0"/>
                <w:bCs/>
                <w:snapToGrid w:val="0"/>
                <w:color w:val="auto"/>
                <w:kern w:val="0"/>
                <w:sz w:val="21"/>
                <w:szCs w:val="21"/>
                <w:highlight w:val="none"/>
                <w:vertAlign w:val="baseline"/>
                <w:lang w:val="en-US" w:eastAsia="zh-CN"/>
              </w:rPr>
              <w:t>、</w:t>
            </w:r>
            <w:r>
              <w:rPr>
                <w:rFonts w:hint="default" w:ascii="Times New Roman" w:hAnsi="Times New Roman" w:eastAsia="宋体" w:cs="Times New Roman"/>
                <w:snapToGrid w:val="0"/>
                <w:color w:val="auto"/>
                <w:kern w:val="0"/>
                <w:sz w:val="21"/>
                <w:szCs w:val="21"/>
                <w:highlight w:val="none"/>
              </w:rPr>
              <w:t>H</w:t>
            </w:r>
            <w:r>
              <w:rPr>
                <w:rFonts w:hint="default" w:ascii="Times New Roman" w:hAnsi="Times New Roman" w:eastAsia="宋体" w:cs="Times New Roman"/>
                <w:snapToGrid w:val="0"/>
                <w:color w:val="auto"/>
                <w:kern w:val="0"/>
                <w:sz w:val="21"/>
                <w:szCs w:val="21"/>
                <w:highlight w:val="none"/>
                <w:vertAlign w:val="subscript"/>
              </w:rPr>
              <w:t>2</w:t>
            </w:r>
            <w:r>
              <w:rPr>
                <w:rFonts w:hint="default" w:ascii="Times New Roman" w:hAnsi="Times New Roman" w:eastAsia="宋体" w:cs="Times New Roman"/>
                <w:snapToGrid w:val="0"/>
                <w:color w:val="auto"/>
                <w:kern w:val="0"/>
                <w:sz w:val="21"/>
                <w:szCs w:val="21"/>
                <w:highlight w:val="none"/>
              </w:rPr>
              <w:t>S</w:t>
            </w:r>
            <w:r>
              <w:rPr>
                <w:rFonts w:hint="default" w:ascii="Times New Roman" w:hAnsi="Times New Roman" w:eastAsia="宋体" w:cs="Times New Roman"/>
                <w:bCs/>
                <w:color w:val="auto"/>
                <w:kern w:val="0"/>
                <w:szCs w:val="21"/>
                <w:highlight w:val="none"/>
              </w:rPr>
              <w:t>）</w:t>
            </w:r>
          </w:p>
        </w:tc>
        <w:tc>
          <w:tcPr>
            <w:tcW w:w="1831" w:type="dxa"/>
            <w:gridSpan w:val="7"/>
            <w:tcBorders>
              <w:top w:val="single" w:color="000000" w:sz="4" w:space="0"/>
              <w:left w:val="single" w:color="000000" w:sz="4" w:space="0"/>
              <w:bottom w:val="single" w:color="000000" w:sz="4" w:space="0"/>
              <w:right w:val="single" w:color="000000" w:sz="4" w:space="0"/>
            </w:tcBorders>
            <w:vAlign w:val="center"/>
          </w:tcPr>
          <w:p w14:paraId="5B55494D">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有组织废气监测√</w:t>
            </w:r>
          </w:p>
          <w:p w14:paraId="54145F39">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无组织废气监测√</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0881D10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无监测□</w:t>
            </w:r>
          </w:p>
        </w:tc>
      </w:tr>
      <w:tr w14:paraId="509B6E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40EBA982">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789799D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环境质量监测</w:t>
            </w:r>
          </w:p>
        </w:tc>
        <w:tc>
          <w:tcPr>
            <w:tcW w:w="2866" w:type="dxa"/>
            <w:gridSpan w:val="9"/>
            <w:tcBorders>
              <w:top w:val="single" w:color="000000" w:sz="4" w:space="0"/>
              <w:left w:val="single" w:color="000000" w:sz="4" w:space="0"/>
              <w:bottom w:val="single" w:color="000000" w:sz="4" w:space="0"/>
              <w:right w:val="single" w:color="000000" w:sz="4" w:space="0"/>
            </w:tcBorders>
            <w:vAlign w:val="center"/>
          </w:tcPr>
          <w:p w14:paraId="27D6D0B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监测因子：（）</w:t>
            </w:r>
          </w:p>
        </w:tc>
        <w:tc>
          <w:tcPr>
            <w:tcW w:w="1831" w:type="dxa"/>
            <w:gridSpan w:val="7"/>
            <w:tcBorders>
              <w:top w:val="single" w:color="000000" w:sz="4" w:space="0"/>
              <w:left w:val="single" w:color="000000" w:sz="4" w:space="0"/>
              <w:bottom w:val="single" w:color="000000" w:sz="4" w:space="0"/>
              <w:right w:val="single" w:color="000000" w:sz="4" w:space="0"/>
            </w:tcBorders>
            <w:vAlign w:val="center"/>
          </w:tcPr>
          <w:p w14:paraId="7232DFD1">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监测点位数（）</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668429B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无监测□</w:t>
            </w:r>
          </w:p>
        </w:tc>
      </w:tr>
      <w:tr w14:paraId="38FF5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tcBorders>
              <w:top w:val="single" w:color="000000" w:sz="4" w:space="0"/>
              <w:left w:val="single" w:color="000000" w:sz="12" w:space="0"/>
              <w:bottom w:val="single" w:color="000000" w:sz="4" w:space="0"/>
              <w:right w:val="single" w:color="000000" w:sz="4" w:space="0"/>
            </w:tcBorders>
            <w:vAlign w:val="center"/>
          </w:tcPr>
          <w:p w14:paraId="6E839F4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评价结论</w:t>
            </w:r>
          </w:p>
        </w:tc>
        <w:tc>
          <w:tcPr>
            <w:tcW w:w="1796" w:type="dxa"/>
            <w:tcBorders>
              <w:top w:val="single" w:color="000000" w:sz="4" w:space="0"/>
              <w:left w:val="single" w:color="000000" w:sz="4" w:space="0"/>
              <w:bottom w:val="single" w:color="000000" w:sz="4" w:space="0"/>
              <w:right w:val="single" w:color="000000" w:sz="4" w:space="0"/>
            </w:tcBorders>
            <w:vAlign w:val="center"/>
          </w:tcPr>
          <w:p w14:paraId="67C29210">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环境影响</w:t>
            </w:r>
          </w:p>
        </w:tc>
        <w:tc>
          <w:tcPr>
            <w:tcW w:w="6695" w:type="dxa"/>
            <w:gridSpan w:val="20"/>
            <w:tcBorders>
              <w:top w:val="single" w:color="000000" w:sz="4" w:space="0"/>
              <w:left w:val="single" w:color="000000" w:sz="4" w:space="0"/>
              <w:bottom w:val="single" w:color="000000" w:sz="4" w:space="0"/>
              <w:right w:val="single" w:color="000000" w:sz="12" w:space="0"/>
            </w:tcBorders>
            <w:vAlign w:val="center"/>
          </w:tcPr>
          <w:p w14:paraId="116B0C5B">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可以接受√       不可以接受□</w:t>
            </w:r>
          </w:p>
        </w:tc>
      </w:tr>
      <w:tr w14:paraId="75378E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restart"/>
            <w:tcBorders>
              <w:top w:val="single" w:color="000000" w:sz="4" w:space="0"/>
              <w:left w:val="single" w:color="000000" w:sz="12" w:space="0"/>
              <w:bottom w:val="single" w:color="000000" w:sz="4" w:space="0"/>
              <w:right w:val="single" w:color="000000" w:sz="4" w:space="0"/>
            </w:tcBorders>
            <w:vAlign w:val="center"/>
          </w:tcPr>
          <w:p w14:paraId="6C24250F">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评价结论</w:t>
            </w:r>
          </w:p>
        </w:tc>
        <w:tc>
          <w:tcPr>
            <w:tcW w:w="1796" w:type="dxa"/>
            <w:tcBorders>
              <w:top w:val="single" w:color="000000" w:sz="4" w:space="0"/>
              <w:left w:val="single" w:color="000000" w:sz="4" w:space="0"/>
              <w:bottom w:val="single" w:color="000000" w:sz="4" w:space="0"/>
              <w:right w:val="single" w:color="000000" w:sz="4" w:space="0"/>
            </w:tcBorders>
            <w:vAlign w:val="center"/>
          </w:tcPr>
          <w:p w14:paraId="58127540">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大气环境防护距离</w:t>
            </w:r>
          </w:p>
        </w:tc>
        <w:tc>
          <w:tcPr>
            <w:tcW w:w="6695" w:type="dxa"/>
            <w:gridSpan w:val="20"/>
            <w:tcBorders>
              <w:top w:val="single" w:color="000000" w:sz="4" w:space="0"/>
              <w:left w:val="single" w:color="000000" w:sz="4" w:space="0"/>
              <w:bottom w:val="single" w:color="000000" w:sz="4" w:space="0"/>
              <w:right w:val="single" w:color="000000" w:sz="12" w:space="0"/>
            </w:tcBorders>
            <w:vAlign w:val="center"/>
          </w:tcPr>
          <w:p w14:paraId="7E026342">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距（</w:t>
            </w:r>
            <w:r>
              <w:rPr>
                <w:rFonts w:hint="default" w:ascii="Times New Roman" w:hAnsi="Times New Roman" w:eastAsia="宋体" w:cs="Times New Roman"/>
                <w:bCs/>
                <w:color w:val="auto"/>
                <w:kern w:val="0"/>
                <w:szCs w:val="21"/>
                <w:highlight w:val="none"/>
                <w:lang w:val="en-US" w:eastAsia="zh-CN"/>
              </w:rPr>
              <w:t>四周</w:t>
            </w:r>
            <w:r>
              <w:rPr>
                <w:rFonts w:hint="default" w:ascii="Times New Roman" w:hAnsi="Times New Roman" w:eastAsia="宋体" w:cs="Times New Roman"/>
                <w:bCs/>
                <w:color w:val="auto"/>
                <w:kern w:val="0"/>
                <w:szCs w:val="21"/>
                <w:highlight w:val="none"/>
              </w:rPr>
              <w:t>）厂界最远（</w:t>
            </w:r>
            <w:r>
              <w:rPr>
                <w:rFonts w:hint="default" w:ascii="Times New Roman" w:hAnsi="Times New Roman" w:eastAsia="宋体" w:cs="Times New Roman"/>
                <w:bCs/>
                <w:color w:val="auto"/>
                <w:kern w:val="0"/>
                <w:szCs w:val="21"/>
                <w:highlight w:val="none"/>
                <w:lang w:val="en-US" w:eastAsia="zh-CN"/>
              </w:rPr>
              <w:t>500</w:t>
            </w:r>
            <w:r>
              <w:rPr>
                <w:rFonts w:hint="default" w:ascii="Times New Roman" w:hAnsi="Times New Roman" w:eastAsia="宋体" w:cs="Times New Roman"/>
                <w:bCs/>
                <w:color w:val="auto"/>
                <w:kern w:val="0"/>
                <w:szCs w:val="21"/>
                <w:highlight w:val="none"/>
              </w:rPr>
              <w:t>）m</w:t>
            </w:r>
          </w:p>
        </w:tc>
      </w:tr>
      <w:tr w14:paraId="3EDBD4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49" w:type="dxa"/>
            <w:vMerge w:val="continue"/>
            <w:tcBorders>
              <w:top w:val="single" w:color="000000" w:sz="4" w:space="0"/>
              <w:left w:val="single" w:color="000000" w:sz="12" w:space="0"/>
              <w:bottom w:val="single" w:color="000000" w:sz="4" w:space="0"/>
              <w:right w:val="single" w:color="000000" w:sz="4" w:space="0"/>
            </w:tcBorders>
            <w:vAlign w:val="center"/>
          </w:tcPr>
          <w:p w14:paraId="74EB7D03">
            <w:pPr>
              <w:widowControl/>
              <w:jc w:val="left"/>
              <w:rPr>
                <w:rFonts w:hint="default" w:ascii="Times New Roman" w:hAnsi="Times New Roman" w:eastAsia="宋体" w:cs="Times New Roman"/>
                <w:bCs/>
                <w:color w:val="auto"/>
                <w:kern w:val="0"/>
                <w:szCs w:val="21"/>
                <w:highlight w:val="none"/>
              </w:rPr>
            </w:pPr>
          </w:p>
        </w:tc>
        <w:tc>
          <w:tcPr>
            <w:tcW w:w="1796" w:type="dxa"/>
            <w:tcBorders>
              <w:top w:val="single" w:color="000000" w:sz="4" w:space="0"/>
              <w:left w:val="single" w:color="000000" w:sz="4" w:space="0"/>
              <w:bottom w:val="single" w:color="000000" w:sz="4" w:space="0"/>
              <w:right w:val="single" w:color="000000" w:sz="4" w:space="0"/>
            </w:tcBorders>
            <w:vAlign w:val="center"/>
          </w:tcPr>
          <w:p w14:paraId="7986A926">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污染源年排放量</w:t>
            </w:r>
          </w:p>
        </w:tc>
        <w:tc>
          <w:tcPr>
            <w:tcW w:w="1539" w:type="dxa"/>
            <w:gridSpan w:val="4"/>
            <w:tcBorders>
              <w:top w:val="single" w:color="000000" w:sz="4" w:space="0"/>
              <w:left w:val="single" w:color="000000" w:sz="4" w:space="0"/>
              <w:bottom w:val="single" w:color="000000" w:sz="4" w:space="0"/>
              <w:right w:val="single" w:color="000000" w:sz="4" w:space="0"/>
            </w:tcBorders>
            <w:vAlign w:val="center"/>
          </w:tcPr>
          <w:p w14:paraId="68F24684">
            <w:pPr>
              <w:spacing w:line="0" w:lineRule="atLeast"/>
              <w:jc w:val="center"/>
              <w:rPr>
                <w:rFonts w:hint="default" w:ascii="Times New Roman" w:hAnsi="Times New Roman" w:eastAsia="宋体" w:cs="Times New Roman"/>
                <w:bCs/>
                <w:color w:val="auto"/>
                <w:kern w:val="0"/>
                <w:szCs w:val="21"/>
                <w:highlight w:val="none"/>
                <w:lang w:val="en-US" w:eastAsia="zh-CN"/>
              </w:rPr>
            </w:pPr>
            <w:r>
              <w:rPr>
                <w:rFonts w:hint="default" w:ascii="Times New Roman" w:hAnsi="Times New Roman" w:eastAsia="宋体" w:cs="Times New Roman"/>
                <w:bCs/>
                <w:color w:val="auto"/>
                <w:kern w:val="0"/>
                <w:szCs w:val="21"/>
                <w:highlight w:val="none"/>
              </w:rPr>
              <w:t>SO</w:t>
            </w:r>
            <w:r>
              <w:rPr>
                <w:rFonts w:hint="default" w:ascii="Times New Roman" w:hAnsi="Times New Roman" w:eastAsia="宋体" w:cs="Times New Roman"/>
                <w:bCs/>
                <w:color w:val="auto"/>
                <w:kern w:val="0"/>
                <w:szCs w:val="21"/>
                <w:highlight w:val="none"/>
                <w:vertAlign w:val="subscript"/>
              </w:rPr>
              <w:t>2</w:t>
            </w:r>
            <w:r>
              <w:rPr>
                <w:rFonts w:hint="default" w:ascii="Times New Roman" w:hAnsi="Times New Roman" w:eastAsia="宋体" w:cs="Times New Roman"/>
                <w:bCs/>
                <w:color w:val="auto"/>
                <w:kern w:val="0"/>
                <w:szCs w:val="21"/>
                <w:highlight w:val="none"/>
              </w:rPr>
              <w:t>：</w:t>
            </w:r>
            <w:r>
              <w:rPr>
                <w:rFonts w:hint="default" w:ascii="Times New Roman" w:hAnsi="Times New Roman" w:cs="Times New Roman"/>
                <w:bCs/>
                <w:color w:val="auto"/>
                <w:kern w:val="0"/>
                <w:szCs w:val="21"/>
                <w:highlight w:val="none"/>
                <w:lang w:val="en-US" w:eastAsia="zh-CN"/>
              </w:rPr>
              <w:t xml:space="preserve"> </w:t>
            </w:r>
          </w:p>
          <w:p w14:paraId="1D61B4FF">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w:t>
            </w:r>
            <w:r>
              <w:rPr>
                <w:rFonts w:hint="default" w:ascii="Times New Roman" w:hAnsi="Times New Roman" w:cs="Times New Roman"/>
                <w:color w:val="auto"/>
                <w:sz w:val="21"/>
                <w:szCs w:val="21"/>
                <w:highlight w:val="none"/>
                <w:lang w:val="en-US" w:eastAsia="zh-CN"/>
              </w:rPr>
              <w:t>/</w:t>
            </w:r>
            <w:r>
              <w:rPr>
                <w:rFonts w:hint="default" w:ascii="Times New Roman" w:hAnsi="Times New Roman" w:eastAsia="宋体" w:cs="Times New Roman"/>
                <w:bCs/>
                <w:color w:val="auto"/>
                <w:kern w:val="0"/>
                <w:szCs w:val="21"/>
                <w:highlight w:val="none"/>
              </w:rPr>
              <w:t>）t/a</w:t>
            </w:r>
          </w:p>
        </w:tc>
        <w:tc>
          <w:tcPr>
            <w:tcW w:w="1595" w:type="dxa"/>
            <w:gridSpan w:val="6"/>
            <w:tcBorders>
              <w:top w:val="single" w:color="000000" w:sz="4" w:space="0"/>
              <w:left w:val="single" w:color="000000" w:sz="4" w:space="0"/>
              <w:bottom w:val="single" w:color="000000" w:sz="4" w:space="0"/>
              <w:right w:val="single" w:color="000000" w:sz="4" w:space="0"/>
            </w:tcBorders>
            <w:vAlign w:val="center"/>
          </w:tcPr>
          <w:p w14:paraId="0FE08E4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NO</w:t>
            </w:r>
            <w:r>
              <w:rPr>
                <w:rFonts w:hint="default" w:ascii="Times New Roman" w:hAnsi="Times New Roman" w:eastAsia="宋体" w:cs="Times New Roman"/>
                <w:bCs/>
                <w:color w:val="auto"/>
                <w:kern w:val="0"/>
                <w:szCs w:val="21"/>
                <w:highlight w:val="none"/>
                <w:vertAlign w:val="subscript"/>
              </w:rPr>
              <w:t>X</w:t>
            </w:r>
            <w:r>
              <w:rPr>
                <w:rFonts w:hint="default" w:ascii="Times New Roman" w:hAnsi="Times New Roman" w:eastAsia="宋体" w:cs="Times New Roman"/>
                <w:bCs/>
                <w:color w:val="auto"/>
                <w:kern w:val="0"/>
                <w:szCs w:val="21"/>
                <w:highlight w:val="none"/>
              </w:rPr>
              <w:t>：</w:t>
            </w:r>
          </w:p>
          <w:p w14:paraId="128EB13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w:t>
            </w:r>
            <w:r>
              <w:rPr>
                <w:rFonts w:hint="default" w:ascii="Times New Roman" w:hAnsi="Times New Roman" w:cs="Times New Roman"/>
                <w:color w:val="auto"/>
                <w:sz w:val="21"/>
                <w:szCs w:val="21"/>
                <w:highlight w:val="none"/>
                <w:lang w:val="en-US" w:eastAsia="zh-CN"/>
              </w:rPr>
              <w:t>/</w:t>
            </w:r>
            <w:r>
              <w:rPr>
                <w:rFonts w:hint="default" w:ascii="Times New Roman" w:hAnsi="Times New Roman" w:eastAsia="宋体" w:cs="Times New Roman"/>
                <w:bCs/>
                <w:color w:val="auto"/>
                <w:kern w:val="0"/>
                <w:szCs w:val="21"/>
                <w:highlight w:val="none"/>
              </w:rPr>
              <w:t>）t/a</w:t>
            </w:r>
          </w:p>
        </w:tc>
        <w:tc>
          <w:tcPr>
            <w:tcW w:w="1563" w:type="dxa"/>
            <w:gridSpan w:val="6"/>
            <w:tcBorders>
              <w:top w:val="single" w:color="000000" w:sz="4" w:space="0"/>
              <w:left w:val="single" w:color="000000" w:sz="4" w:space="0"/>
              <w:bottom w:val="single" w:color="000000" w:sz="4" w:space="0"/>
              <w:right w:val="single" w:color="000000" w:sz="4" w:space="0"/>
            </w:tcBorders>
            <w:vAlign w:val="center"/>
          </w:tcPr>
          <w:p w14:paraId="472A9B0A">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颗粒物：</w:t>
            </w:r>
          </w:p>
          <w:p w14:paraId="3C0A5EE5">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w:t>
            </w:r>
            <w:r>
              <w:rPr>
                <w:rFonts w:hint="default" w:ascii="Times New Roman" w:hAnsi="Times New Roman" w:cs="Times New Roman"/>
                <w:snapToGrid w:val="0"/>
                <w:color w:val="auto"/>
                <w:sz w:val="21"/>
                <w:szCs w:val="21"/>
                <w:highlight w:val="none"/>
                <w:lang w:val="en-US" w:eastAsia="zh-CN"/>
              </w:rPr>
              <w:t>/</w:t>
            </w:r>
            <w:r>
              <w:rPr>
                <w:rFonts w:hint="default" w:ascii="Times New Roman" w:hAnsi="Times New Roman" w:eastAsia="宋体" w:cs="Times New Roman"/>
                <w:bCs/>
                <w:color w:val="auto"/>
                <w:kern w:val="0"/>
                <w:szCs w:val="21"/>
                <w:highlight w:val="none"/>
              </w:rPr>
              <w:t>）t/a</w:t>
            </w:r>
          </w:p>
        </w:tc>
        <w:tc>
          <w:tcPr>
            <w:tcW w:w="1998" w:type="dxa"/>
            <w:gridSpan w:val="4"/>
            <w:tcBorders>
              <w:top w:val="single" w:color="000000" w:sz="4" w:space="0"/>
              <w:left w:val="single" w:color="000000" w:sz="4" w:space="0"/>
              <w:bottom w:val="single" w:color="000000" w:sz="4" w:space="0"/>
              <w:right w:val="single" w:color="000000" w:sz="12" w:space="0"/>
            </w:tcBorders>
            <w:vAlign w:val="center"/>
          </w:tcPr>
          <w:p w14:paraId="75A80418">
            <w:pPr>
              <w:spacing w:line="0" w:lineRule="atLeast"/>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VOCs：（）t/a</w:t>
            </w:r>
          </w:p>
        </w:tc>
      </w:tr>
      <w:tr w14:paraId="3A56BD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 w:hRule="atLeast"/>
          <w:jc w:val="center"/>
        </w:trPr>
        <w:tc>
          <w:tcPr>
            <w:tcW w:w="9240" w:type="dxa"/>
            <w:gridSpan w:val="22"/>
            <w:tcBorders>
              <w:top w:val="single" w:color="000000" w:sz="4" w:space="0"/>
              <w:left w:val="single" w:color="000000" w:sz="12" w:space="0"/>
              <w:bottom w:val="single" w:color="000000" w:sz="12" w:space="0"/>
              <w:right w:val="single" w:color="000000" w:sz="12" w:space="0"/>
            </w:tcBorders>
            <w:vAlign w:val="center"/>
          </w:tcPr>
          <w:p w14:paraId="321F0CE9">
            <w:pPr>
              <w:spacing w:line="0" w:lineRule="atLeast"/>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注：“□”为勾选项，填“√”；“（ ）”为内容填写项</w:t>
            </w:r>
          </w:p>
        </w:tc>
      </w:tr>
    </w:tbl>
    <w:p w14:paraId="1E1ABB65">
      <w:pPr>
        <w:jc w:val="left"/>
        <w:rPr>
          <w:rFonts w:hint="default" w:ascii="Times New Roman" w:hAnsi="Times New Roman" w:eastAsia="宋体" w:cs="Times New Roman"/>
          <w:b/>
          <w:color w:val="auto"/>
          <w:sz w:val="24"/>
          <w:highlight w:val="none"/>
          <w:lang w:val="en-US" w:eastAsia="zh-CN"/>
        </w:rPr>
        <w:sectPr>
          <w:headerReference r:id="rId50" w:type="default"/>
          <w:footerReference r:id="rId51" w:type="default"/>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2C34736F">
      <w:pPr>
        <w:jc w:val="left"/>
        <w:outlineLvl w:val="1"/>
        <w:rPr>
          <w:rFonts w:hint="default" w:ascii="Times New Roman" w:hAnsi="Times New Roman" w:eastAsia="宋体" w:cs="Times New Roman"/>
          <w:b/>
          <w:color w:val="auto"/>
          <w:sz w:val="24"/>
          <w:highlight w:val="none"/>
        </w:rPr>
      </w:pPr>
      <w:bookmarkStart w:id="298" w:name="_Toc26482"/>
      <w:r>
        <w:rPr>
          <w:rFonts w:hint="default" w:ascii="Times New Roman" w:hAnsi="Times New Roman" w:eastAsia="宋体" w:cs="Times New Roman"/>
          <w:b/>
          <w:color w:val="auto"/>
          <w:sz w:val="24"/>
          <w:highlight w:val="none"/>
          <w:lang w:val="en-US" w:eastAsia="zh-CN"/>
        </w:rPr>
        <w:t>附表2：建设项目</w:t>
      </w:r>
      <w:r>
        <w:rPr>
          <w:rFonts w:hint="default" w:ascii="Times New Roman" w:hAnsi="Times New Roman" w:eastAsia="宋体" w:cs="Times New Roman"/>
          <w:b/>
          <w:color w:val="auto"/>
          <w:sz w:val="24"/>
          <w:highlight w:val="none"/>
        </w:rPr>
        <w:t>地表水环境影响评价自查表</w:t>
      </w:r>
      <w:bookmarkEnd w:id="298"/>
    </w:p>
    <w:tbl>
      <w:tblPr>
        <w:tblStyle w:val="59"/>
        <w:tblW w:w="0" w:type="auto"/>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
      <w:tblGrid>
        <w:gridCol w:w="389"/>
        <w:gridCol w:w="2529"/>
        <w:gridCol w:w="2389"/>
        <w:gridCol w:w="2670"/>
        <w:gridCol w:w="6075"/>
      </w:tblGrid>
      <w:tr w14:paraId="6265BC81">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37" w:hRule="atLeast"/>
        </w:trPr>
        <w:tc>
          <w:tcPr>
            <w:tcW w:w="2918" w:type="dxa"/>
            <w:gridSpan w:val="2"/>
            <w:tcBorders>
              <w:top w:val="single" w:color="000000" w:themeColor="text1" w:sz="12" w:space="0"/>
              <w:left w:val="single" w:color="000000" w:themeColor="text1" w:sz="12" w:space="0"/>
              <w:bottom w:val="single" w:color="000000" w:themeColor="text1" w:sz="6" w:space="0"/>
              <w:right w:val="single" w:color="000000" w:themeColor="text1" w:sz="6" w:space="0"/>
            </w:tcBorders>
            <w:vAlign w:val="center"/>
          </w:tcPr>
          <w:p w14:paraId="33630D4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工作内容</w:t>
            </w:r>
          </w:p>
        </w:tc>
        <w:tc>
          <w:tcPr>
            <w:tcW w:w="11134" w:type="dxa"/>
            <w:gridSpan w:val="3"/>
            <w:tcBorders>
              <w:top w:val="single" w:color="000000" w:themeColor="text1" w:sz="12" w:space="0"/>
              <w:left w:val="single" w:color="000000" w:themeColor="text1" w:sz="6" w:space="0"/>
              <w:bottom w:val="single" w:color="000000" w:themeColor="text1" w:sz="6" w:space="0"/>
              <w:right w:val="single" w:color="000000" w:themeColor="text1" w:sz="12" w:space="0"/>
            </w:tcBorders>
            <w:vAlign w:val="center"/>
          </w:tcPr>
          <w:p w14:paraId="58C9C76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自查项目</w:t>
            </w:r>
          </w:p>
        </w:tc>
      </w:tr>
      <w:tr w14:paraId="3EAE2CA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37" w:hRule="atLeast"/>
        </w:trPr>
        <w:tc>
          <w:tcPr>
            <w:tcW w:w="389" w:type="dxa"/>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50BA12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影响识别</w:t>
            </w:r>
          </w:p>
        </w:tc>
        <w:tc>
          <w:tcPr>
            <w:tcW w:w="252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73BDF90">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影响类型</w:t>
            </w:r>
          </w:p>
        </w:tc>
        <w:tc>
          <w:tcPr>
            <w:tcW w:w="11134" w:type="dxa"/>
            <w:gridSpan w:val="3"/>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E0CA50D">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水污染影响型√；水文要素影响型□</w:t>
            </w:r>
          </w:p>
        </w:tc>
      </w:tr>
      <w:tr w14:paraId="1D654D74">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995" w:hRule="atLeast"/>
        </w:trPr>
        <w:tc>
          <w:tcPr>
            <w:tcW w:w="389"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168FC8D9">
            <w:pPr>
              <w:widowControl/>
              <w:snapToGrid w:val="0"/>
              <w:jc w:val="left"/>
              <w:rPr>
                <w:rFonts w:hint="default" w:ascii="Times New Roman" w:hAnsi="Times New Roman" w:eastAsia="宋体" w:cs="Times New Roman"/>
                <w:color w:val="auto"/>
                <w:kern w:val="2"/>
                <w:szCs w:val="21"/>
                <w:highlight w:val="none"/>
              </w:rPr>
            </w:pPr>
          </w:p>
        </w:tc>
        <w:tc>
          <w:tcPr>
            <w:tcW w:w="252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EFC077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水环境保护目标</w:t>
            </w:r>
          </w:p>
        </w:tc>
        <w:tc>
          <w:tcPr>
            <w:tcW w:w="11134" w:type="dxa"/>
            <w:gridSpan w:val="3"/>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2A6A2F1">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饮用水水源保护区□；饮用水取水□；涉水的自然保护区□；重要湿地□；</w:t>
            </w:r>
          </w:p>
          <w:p w14:paraId="6CC879F0">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重点保护与</w:t>
            </w:r>
            <w:r>
              <w:rPr>
                <w:rFonts w:hint="default" w:ascii="Times New Roman" w:hAnsi="Times New Roman" w:eastAsia="宋体" w:cs="Times New Roman"/>
                <w:color w:val="auto"/>
                <w:kern w:val="0"/>
                <w:szCs w:val="21"/>
                <w:highlight w:val="none"/>
                <w:lang w:eastAsia="zh-CN"/>
              </w:rPr>
              <w:t>珍稀</w:t>
            </w:r>
            <w:r>
              <w:rPr>
                <w:rFonts w:hint="default" w:ascii="Times New Roman" w:hAnsi="Times New Roman" w:eastAsia="宋体" w:cs="Times New Roman"/>
                <w:color w:val="auto"/>
                <w:kern w:val="0"/>
                <w:szCs w:val="21"/>
                <w:highlight w:val="none"/>
              </w:rPr>
              <w:t>水生生物的栖息地□；重要水生生物的自然产卵场及索饵场、越冬场和洄游通道、天然渔场等渔业水体□；涉水的风景名胜区□；其他□</w:t>
            </w:r>
          </w:p>
        </w:tc>
      </w:tr>
      <w:tr w14:paraId="64758028">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37" w:hRule="atLeast"/>
        </w:trPr>
        <w:tc>
          <w:tcPr>
            <w:tcW w:w="389"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335106D">
            <w:pPr>
              <w:widowControl/>
              <w:snapToGrid w:val="0"/>
              <w:jc w:val="left"/>
              <w:rPr>
                <w:rFonts w:hint="default" w:ascii="Times New Roman" w:hAnsi="Times New Roman" w:eastAsia="宋体" w:cs="Times New Roman"/>
                <w:color w:val="auto"/>
                <w:kern w:val="2"/>
                <w:szCs w:val="21"/>
                <w:highlight w:val="none"/>
              </w:rPr>
            </w:pPr>
          </w:p>
        </w:tc>
        <w:tc>
          <w:tcPr>
            <w:tcW w:w="2529"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6445A6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影响途径</w:t>
            </w: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F41576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水污染影响型</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1FC859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水文要素影响型</w:t>
            </w:r>
          </w:p>
        </w:tc>
      </w:tr>
      <w:tr w14:paraId="5CB5ED9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37" w:hRule="atLeast"/>
        </w:trPr>
        <w:tc>
          <w:tcPr>
            <w:tcW w:w="389"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45B6694C">
            <w:pPr>
              <w:widowControl/>
              <w:snapToGrid w:val="0"/>
              <w:jc w:val="left"/>
              <w:rPr>
                <w:rFonts w:hint="default" w:ascii="Times New Roman" w:hAnsi="Times New Roman" w:eastAsia="宋体" w:cs="Times New Roman"/>
                <w:color w:val="auto"/>
                <w:kern w:val="2"/>
                <w:szCs w:val="21"/>
                <w:highlight w:val="none"/>
              </w:rPr>
            </w:pPr>
          </w:p>
        </w:tc>
        <w:tc>
          <w:tcPr>
            <w:tcW w:w="2529"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3B6E9FD">
            <w:pPr>
              <w:widowControl/>
              <w:snapToGrid w:val="0"/>
              <w:jc w:val="left"/>
              <w:rPr>
                <w:rFonts w:hint="default" w:ascii="Times New Roman" w:hAnsi="Times New Roman" w:eastAsia="宋体" w:cs="Times New Roman"/>
                <w:color w:val="auto"/>
                <w:kern w:val="2"/>
                <w:szCs w:val="21"/>
                <w:highlight w:val="none"/>
              </w:rPr>
            </w:pP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7BD83B6">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直接排放□；间接排放□；其他√</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5953F42A">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水温□；径流□；水域面积□</w:t>
            </w:r>
          </w:p>
        </w:tc>
      </w:tr>
      <w:tr w14:paraId="4FE2ADB4">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980" w:hRule="atLeast"/>
        </w:trPr>
        <w:tc>
          <w:tcPr>
            <w:tcW w:w="389"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4A594026">
            <w:pPr>
              <w:widowControl/>
              <w:snapToGrid w:val="0"/>
              <w:jc w:val="left"/>
              <w:rPr>
                <w:rFonts w:hint="default" w:ascii="Times New Roman" w:hAnsi="Times New Roman" w:eastAsia="宋体" w:cs="Times New Roman"/>
                <w:color w:val="auto"/>
                <w:kern w:val="2"/>
                <w:szCs w:val="21"/>
                <w:highlight w:val="none"/>
              </w:rPr>
            </w:pPr>
          </w:p>
        </w:tc>
        <w:tc>
          <w:tcPr>
            <w:tcW w:w="252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1FBEF7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影响因子</w:t>
            </w: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5D02E57">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持久性污染物□；有毒有害污染物□；非持久性污染物√；</w:t>
            </w:r>
          </w:p>
          <w:p w14:paraId="1752213A">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pH值□；热污染□；富营养化□；其他□</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E81FCC5">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水温□；水位（水深□）；流速□；流量□；其他□</w:t>
            </w:r>
          </w:p>
        </w:tc>
      </w:tr>
      <w:tr w14:paraId="36E63AFF">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22" w:hRule="atLeast"/>
        </w:trPr>
        <w:tc>
          <w:tcPr>
            <w:tcW w:w="2918" w:type="dxa"/>
            <w:gridSpan w:val="2"/>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D6DB60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评价等级</w:t>
            </w: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02D965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水污染影响型</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7940E0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水文要素影响型</w:t>
            </w:r>
          </w:p>
        </w:tc>
      </w:tr>
      <w:tr w14:paraId="0210C475">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170" w:hRule="atLeast"/>
        </w:trPr>
        <w:tc>
          <w:tcPr>
            <w:tcW w:w="2918"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59EF9DD">
            <w:pPr>
              <w:widowControl/>
              <w:snapToGrid w:val="0"/>
              <w:jc w:val="left"/>
              <w:rPr>
                <w:rFonts w:hint="default" w:ascii="Times New Roman" w:hAnsi="Times New Roman" w:eastAsia="宋体" w:cs="Times New Roman"/>
                <w:color w:val="auto"/>
                <w:kern w:val="2"/>
                <w:szCs w:val="21"/>
                <w:highlight w:val="none"/>
              </w:rPr>
            </w:pP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53FCC4B">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一级□；二级□；三级A□；三级B√</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D8EF7A3">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一级□；二级□；三级□</w:t>
            </w:r>
          </w:p>
        </w:tc>
      </w:tr>
      <w:tr w14:paraId="690EBA2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22" w:hRule="atLeast"/>
        </w:trPr>
        <w:tc>
          <w:tcPr>
            <w:tcW w:w="389" w:type="dxa"/>
            <w:vMerge w:val="restart"/>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0A07808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现状调查</w:t>
            </w:r>
          </w:p>
        </w:tc>
        <w:tc>
          <w:tcPr>
            <w:tcW w:w="2529"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15916B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区域污染源</w:t>
            </w: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A6C300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调查项目</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564B37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数据起源</w:t>
            </w:r>
          </w:p>
        </w:tc>
      </w:tr>
      <w:tr w14:paraId="184CE2C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675" w:hRule="atLeast"/>
        </w:trPr>
        <w:tc>
          <w:tcPr>
            <w:tcW w:w="389"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1E49A527">
            <w:pPr>
              <w:widowControl/>
              <w:snapToGrid w:val="0"/>
              <w:jc w:val="left"/>
              <w:rPr>
                <w:rFonts w:hint="default" w:ascii="Times New Roman" w:hAnsi="Times New Roman" w:eastAsia="宋体" w:cs="Times New Roman"/>
                <w:color w:val="auto"/>
                <w:kern w:val="2"/>
                <w:szCs w:val="21"/>
                <w:highlight w:val="none"/>
              </w:rPr>
            </w:pPr>
          </w:p>
        </w:tc>
        <w:tc>
          <w:tcPr>
            <w:tcW w:w="2529"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CDC03B7">
            <w:pPr>
              <w:widowControl/>
              <w:snapToGrid w:val="0"/>
              <w:jc w:val="left"/>
              <w:rPr>
                <w:rFonts w:hint="default" w:ascii="Times New Roman" w:hAnsi="Times New Roman" w:eastAsia="宋体" w:cs="Times New Roman"/>
                <w:color w:val="auto"/>
                <w:kern w:val="2"/>
                <w:szCs w:val="21"/>
                <w:highlight w:val="none"/>
              </w:rPr>
            </w:pPr>
          </w:p>
        </w:tc>
        <w:tc>
          <w:tcPr>
            <w:tcW w:w="238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D4AB76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已建□；在建□；拟建√；其他□</w:t>
            </w:r>
          </w:p>
        </w:tc>
        <w:tc>
          <w:tcPr>
            <w:tcW w:w="2670"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D67A3D0">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拟替代的污染源□</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0F666AC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排污许可证□；环评□；环保验收□；既有实测□；现场监测□；入河排放口数据□；其他□</w:t>
            </w:r>
          </w:p>
        </w:tc>
      </w:tr>
      <w:tr w14:paraId="6432CE82">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69" w:hRule="atLeast"/>
        </w:trPr>
        <w:tc>
          <w:tcPr>
            <w:tcW w:w="389"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40B91E94">
            <w:pPr>
              <w:widowControl/>
              <w:snapToGrid w:val="0"/>
              <w:jc w:val="left"/>
              <w:rPr>
                <w:rFonts w:hint="default" w:ascii="Times New Roman" w:hAnsi="Times New Roman" w:eastAsia="宋体" w:cs="Times New Roman"/>
                <w:color w:val="auto"/>
                <w:kern w:val="2"/>
                <w:szCs w:val="21"/>
                <w:highlight w:val="none"/>
              </w:rPr>
            </w:pPr>
          </w:p>
        </w:tc>
        <w:tc>
          <w:tcPr>
            <w:tcW w:w="2529"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2B9AC6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受影响水体环境质量</w:t>
            </w: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E70430C">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调查时期</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87296B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数据起源</w:t>
            </w:r>
          </w:p>
        </w:tc>
      </w:tr>
      <w:tr w14:paraId="1D2CA82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675" w:hRule="atLeast"/>
        </w:trPr>
        <w:tc>
          <w:tcPr>
            <w:tcW w:w="389"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14AC5B26">
            <w:pPr>
              <w:widowControl/>
              <w:snapToGrid w:val="0"/>
              <w:jc w:val="left"/>
              <w:rPr>
                <w:rFonts w:hint="default" w:ascii="Times New Roman" w:hAnsi="Times New Roman" w:eastAsia="宋体" w:cs="Times New Roman"/>
                <w:color w:val="auto"/>
                <w:kern w:val="2"/>
                <w:szCs w:val="21"/>
                <w:highlight w:val="none"/>
              </w:rPr>
            </w:pPr>
          </w:p>
        </w:tc>
        <w:tc>
          <w:tcPr>
            <w:tcW w:w="2529"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20DEF7E">
            <w:pPr>
              <w:widowControl/>
              <w:snapToGrid w:val="0"/>
              <w:jc w:val="left"/>
              <w:rPr>
                <w:rFonts w:hint="default" w:ascii="Times New Roman" w:hAnsi="Times New Roman" w:eastAsia="宋体" w:cs="Times New Roman"/>
                <w:color w:val="auto"/>
                <w:kern w:val="2"/>
                <w:szCs w:val="21"/>
                <w:highlight w:val="none"/>
              </w:rPr>
            </w:pP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D95B7AD">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丰水期□；平水期□；枯水期□；冰封期□</w:t>
            </w:r>
          </w:p>
          <w:p w14:paraId="6C3F05FE">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春季√；夏季√；秋季√；冬季√</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11F8EE9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生态环境保护主管部门√；补充监测□；其他□</w:t>
            </w:r>
          </w:p>
        </w:tc>
      </w:tr>
      <w:tr w14:paraId="653E45D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53" w:hRule="atLeast"/>
        </w:trPr>
        <w:tc>
          <w:tcPr>
            <w:tcW w:w="389"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49E8A57A">
            <w:pPr>
              <w:widowControl/>
              <w:snapToGrid w:val="0"/>
              <w:jc w:val="left"/>
              <w:rPr>
                <w:rFonts w:hint="default" w:ascii="Times New Roman" w:hAnsi="Times New Roman" w:eastAsia="宋体" w:cs="Times New Roman"/>
                <w:color w:val="auto"/>
                <w:kern w:val="2"/>
                <w:szCs w:val="21"/>
                <w:highlight w:val="none"/>
              </w:rPr>
            </w:pPr>
          </w:p>
        </w:tc>
        <w:tc>
          <w:tcPr>
            <w:tcW w:w="252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CCF82B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区域水资源开发利用状况</w:t>
            </w:r>
          </w:p>
        </w:tc>
        <w:tc>
          <w:tcPr>
            <w:tcW w:w="11134" w:type="dxa"/>
            <w:gridSpan w:val="3"/>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0BEFEB4E">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未开发□；开发量40%以下□；开发量40%以上□</w:t>
            </w:r>
          </w:p>
        </w:tc>
      </w:tr>
      <w:tr w14:paraId="54BBBA8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53" w:hRule="atLeast"/>
        </w:trPr>
        <w:tc>
          <w:tcPr>
            <w:tcW w:w="389"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7E9096F4">
            <w:pPr>
              <w:widowControl/>
              <w:snapToGrid w:val="0"/>
              <w:jc w:val="left"/>
              <w:rPr>
                <w:rFonts w:hint="default" w:ascii="Times New Roman" w:hAnsi="Times New Roman" w:eastAsia="宋体" w:cs="Times New Roman"/>
                <w:color w:val="auto"/>
                <w:kern w:val="2"/>
                <w:szCs w:val="21"/>
                <w:highlight w:val="none"/>
              </w:rPr>
            </w:pPr>
          </w:p>
        </w:tc>
        <w:tc>
          <w:tcPr>
            <w:tcW w:w="2529" w:type="dxa"/>
            <w:vMerge w:val="restart"/>
            <w:tcBorders>
              <w:top w:val="single" w:color="000000" w:themeColor="text1" w:sz="6" w:space="0"/>
              <w:left w:val="single" w:color="000000" w:themeColor="text1" w:sz="6" w:space="0"/>
              <w:bottom w:val="single" w:color="000000" w:themeColor="text1" w:sz="12" w:space="0"/>
              <w:right w:val="single" w:color="000000" w:themeColor="text1" w:sz="6" w:space="0"/>
            </w:tcBorders>
            <w:vAlign w:val="center"/>
          </w:tcPr>
          <w:p w14:paraId="4AA57B9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水文情势调查</w:t>
            </w:r>
          </w:p>
        </w:tc>
        <w:tc>
          <w:tcPr>
            <w:tcW w:w="5059"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65C5A9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调查时期</w:t>
            </w:r>
          </w:p>
        </w:tc>
        <w:tc>
          <w:tcPr>
            <w:tcW w:w="6075"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099694F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数据来源</w:t>
            </w:r>
          </w:p>
        </w:tc>
      </w:tr>
      <w:tr w14:paraId="6EAA179B">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690" w:hRule="atLeast"/>
        </w:trPr>
        <w:tc>
          <w:tcPr>
            <w:tcW w:w="389"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32057A29">
            <w:pPr>
              <w:widowControl/>
              <w:snapToGrid w:val="0"/>
              <w:jc w:val="left"/>
              <w:rPr>
                <w:rFonts w:hint="default" w:ascii="Times New Roman" w:hAnsi="Times New Roman" w:eastAsia="宋体" w:cs="Times New Roman"/>
                <w:color w:val="auto"/>
                <w:kern w:val="2"/>
                <w:szCs w:val="21"/>
                <w:highlight w:val="none"/>
              </w:rPr>
            </w:pPr>
          </w:p>
        </w:tc>
        <w:tc>
          <w:tcPr>
            <w:tcW w:w="2529" w:type="dxa"/>
            <w:vMerge w:val="continue"/>
            <w:tcBorders>
              <w:top w:val="single" w:color="000000" w:themeColor="text1" w:sz="6" w:space="0"/>
              <w:left w:val="single" w:color="000000" w:themeColor="text1" w:sz="6" w:space="0"/>
              <w:bottom w:val="single" w:color="000000" w:themeColor="text1" w:sz="12" w:space="0"/>
              <w:right w:val="single" w:color="000000" w:themeColor="text1" w:sz="6" w:space="0"/>
            </w:tcBorders>
            <w:vAlign w:val="center"/>
          </w:tcPr>
          <w:p w14:paraId="38CF3984">
            <w:pPr>
              <w:widowControl/>
              <w:snapToGrid w:val="0"/>
              <w:jc w:val="left"/>
              <w:rPr>
                <w:rFonts w:hint="default" w:ascii="Times New Roman" w:hAnsi="Times New Roman" w:eastAsia="宋体" w:cs="Times New Roman"/>
                <w:color w:val="auto"/>
                <w:kern w:val="2"/>
                <w:szCs w:val="21"/>
                <w:highlight w:val="none"/>
              </w:rPr>
            </w:pPr>
          </w:p>
        </w:tc>
        <w:tc>
          <w:tcPr>
            <w:tcW w:w="5059" w:type="dxa"/>
            <w:gridSpan w:val="2"/>
            <w:tcBorders>
              <w:top w:val="single" w:color="000000" w:themeColor="text1" w:sz="6" w:space="0"/>
              <w:left w:val="single" w:color="000000" w:themeColor="text1" w:sz="6" w:space="0"/>
              <w:bottom w:val="single" w:color="000000" w:themeColor="text1" w:sz="12" w:space="0"/>
              <w:right w:val="single" w:color="000000" w:themeColor="text1" w:sz="6" w:space="0"/>
            </w:tcBorders>
            <w:vAlign w:val="center"/>
          </w:tcPr>
          <w:p w14:paraId="28D269CD">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丰水期□；平水期□；枯水期□；冰封期□</w:t>
            </w:r>
          </w:p>
          <w:p w14:paraId="75D9990A">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春季□；夏季□；秋季□；冬季□</w:t>
            </w:r>
          </w:p>
        </w:tc>
        <w:tc>
          <w:tcPr>
            <w:tcW w:w="6075" w:type="dxa"/>
            <w:tcBorders>
              <w:top w:val="single" w:color="000000" w:themeColor="text1" w:sz="6" w:space="0"/>
              <w:left w:val="single" w:color="000000" w:themeColor="text1" w:sz="6" w:space="0"/>
              <w:bottom w:val="single" w:color="000000" w:themeColor="text1" w:sz="12" w:space="0"/>
              <w:right w:val="single" w:color="000000" w:themeColor="text1" w:sz="12" w:space="0"/>
            </w:tcBorders>
            <w:vAlign w:val="center"/>
          </w:tcPr>
          <w:p w14:paraId="6A6E0B6F">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水行政主管部门□；补充监测□；其他□</w:t>
            </w:r>
          </w:p>
        </w:tc>
      </w:tr>
    </w:tbl>
    <w:p w14:paraId="1165EC53">
      <w:pPr>
        <w:pStyle w:val="11"/>
        <w:rPr>
          <w:rFonts w:hint="default" w:ascii="Times New Roman" w:hAnsi="Times New Roman" w:cs="Times New Roman"/>
          <w:color w:val="auto"/>
          <w:highlight w:val="none"/>
        </w:rPr>
      </w:pPr>
    </w:p>
    <w:tbl>
      <w:tblPr>
        <w:tblStyle w:val="59"/>
        <w:tblW w:w="0" w:type="auto"/>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
      <w:tblGrid>
        <w:gridCol w:w="390"/>
        <w:gridCol w:w="2539"/>
        <w:gridCol w:w="5588"/>
        <w:gridCol w:w="2794"/>
        <w:gridCol w:w="1211"/>
        <w:gridCol w:w="1584"/>
      </w:tblGrid>
      <w:tr w14:paraId="2BD546B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92" w:hRule="atLeast"/>
        </w:trPr>
        <w:tc>
          <w:tcPr>
            <w:tcW w:w="2929" w:type="dxa"/>
            <w:gridSpan w:val="2"/>
            <w:tcBorders>
              <w:top w:val="single" w:color="000000" w:themeColor="text1" w:sz="12" w:space="0"/>
              <w:left w:val="single" w:color="000000" w:themeColor="text1" w:sz="12" w:space="0"/>
              <w:bottom w:val="single" w:color="000000" w:themeColor="text1" w:sz="6" w:space="0"/>
              <w:right w:val="single" w:color="000000" w:themeColor="text1" w:sz="6" w:space="0"/>
            </w:tcBorders>
            <w:vAlign w:val="center"/>
          </w:tcPr>
          <w:p w14:paraId="3F93C1F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工作内容</w:t>
            </w:r>
          </w:p>
        </w:tc>
        <w:tc>
          <w:tcPr>
            <w:tcW w:w="11177" w:type="dxa"/>
            <w:gridSpan w:val="4"/>
            <w:tcBorders>
              <w:top w:val="single" w:color="000000" w:themeColor="text1" w:sz="12" w:space="0"/>
              <w:left w:val="single" w:color="000000" w:themeColor="text1" w:sz="6" w:space="0"/>
              <w:bottom w:val="single" w:color="000000" w:themeColor="text1" w:sz="6" w:space="0"/>
              <w:right w:val="single" w:color="000000" w:themeColor="text1" w:sz="12" w:space="0"/>
            </w:tcBorders>
            <w:vAlign w:val="center"/>
          </w:tcPr>
          <w:p w14:paraId="431A423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自查项目</w:t>
            </w:r>
          </w:p>
        </w:tc>
      </w:tr>
      <w:tr w14:paraId="1B89E5B5">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1" w:hRule="atLeast"/>
        </w:trPr>
        <w:tc>
          <w:tcPr>
            <w:tcW w:w="390" w:type="dxa"/>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3D6DB1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现状调查</w:t>
            </w:r>
          </w:p>
        </w:tc>
        <w:tc>
          <w:tcPr>
            <w:tcW w:w="2539"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0784E1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补充监测</w:t>
            </w:r>
          </w:p>
        </w:tc>
        <w:tc>
          <w:tcPr>
            <w:tcW w:w="5588"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05A2CD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监测时期</w:t>
            </w:r>
          </w:p>
        </w:tc>
        <w:tc>
          <w:tcPr>
            <w:tcW w:w="2794"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23BEE6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监测因子</w:t>
            </w:r>
          </w:p>
        </w:tc>
        <w:tc>
          <w:tcPr>
            <w:tcW w:w="27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330E2C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监测断面或点位</w:t>
            </w:r>
          </w:p>
        </w:tc>
      </w:tr>
      <w:tr w14:paraId="63D2EFA9">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640" w:hRule="atLeast"/>
        </w:trPr>
        <w:tc>
          <w:tcPr>
            <w:tcW w:w="390"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17669684">
            <w:pPr>
              <w:widowControl/>
              <w:snapToGrid w:val="0"/>
              <w:jc w:val="left"/>
              <w:rPr>
                <w:rFonts w:hint="default" w:ascii="Times New Roman" w:hAnsi="Times New Roman" w:eastAsia="宋体" w:cs="Times New Roman"/>
                <w:color w:val="auto"/>
                <w:kern w:val="2"/>
                <w:szCs w:val="21"/>
                <w:highlight w:val="none"/>
              </w:rPr>
            </w:pPr>
          </w:p>
        </w:tc>
        <w:tc>
          <w:tcPr>
            <w:tcW w:w="2539"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D8C727C">
            <w:pPr>
              <w:widowControl/>
              <w:snapToGrid w:val="0"/>
              <w:jc w:val="left"/>
              <w:rPr>
                <w:rFonts w:hint="default" w:ascii="Times New Roman" w:hAnsi="Times New Roman" w:eastAsia="宋体" w:cs="Times New Roman"/>
                <w:color w:val="auto"/>
                <w:kern w:val="2"/>
                <w:szCs w:val="21"/>
                <w:highlight w:val="none"/>
              </w:rPr>
            </w:pPr>
          </w:p>
        </w:tc>
        <w:tc>
          <w:tcPr>
            <w:tcW w:w="5588"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A68D094">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丰水期□；平水期□；枯水期□；冰封期□</w:t>
            </w:r>
          </w:p>
          <w:p w14:paraId="7359D784">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春季□；夏季□；秋季□；冬季□</w:t>
            </w:r>
          </w:p>
        </w:tc>
        <w:tc>
          <w:tcPr>
            <w:tcW w:w="2794"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830003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27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033C5AC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监测断面或点位个数（）个</w:t>
            </w:r>
          </w:p>
        </w:tc>
      </w:tr>
      <w:tr w14:paraId="097EB574">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421" w:hRule="atLeast"/>
        </w:trPr>
        <w:tc>
          <w:tcPr>
            <w:tcW w:w="390" w:type="dxa"/>
            <w:vMerge w:val="restart"/>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0B37E57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现状评价</w:t>
            </w:r>
          </w:p>
        </w:tc>
        <w:tc>
          <w:tcPr>
            <w:tcW w:w="253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F287F9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评价范围</w:t>
            </w:r>
          </w:p>
        </w:tc>
        <w:tc>
          <w:tcPr>
            <w:tcW w:w="11177"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03BD703">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河流：长度（）km；湖库、河口及近岸海域：面积（）km</w:t>
            </w:r>
            <w:r>
              <w:rPr>
                <w:rFonts w:hint="default" w:ascii="Times New Roman" w:hAnsi="Times New Roman" w:eastAsia="宋体" w:cs="Times New Roman"/>
                <w:color w:val="auto"/>
                <w:kern w:val="0"/>
                <w:szCs w:val="21"/>
                <w:highlight w:val="none"/>
                <w:vertAlign w:val="superscript"/>
              </w:rPr>
              <w:t>2</w:t>
            </w:r>
          </w:p>
        </w:tc>
      </w:tr>
      <w:tr w14:paraId="10293A9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13" w:hRule="atLeast"/>
        </w:trPr>
        <w:tc>
          <w:tcPr>
            <w:tcW w:w="390"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63EEB8FD">
            <w:pPr>
              <w:widowControl/>
              <w:snapToGrid w:val="0"/>
              <w:jc w:val="left"/>
              <w:rPr>
                <w:rFonts w:hint="default" w:ascii="Times New Roman" w:hAnsi="Times New Roman" w:eastAsia="宋体" w:cs="Times New Roman"/>
                <w:color w:val="auto"/>
                <w:kern w:val="2"/>
                <w:szCs w:val="21"/>
                <w:highlight w:val="none"/>
              </w:rPr>
            </w:pPr>
          </w:p>
        </w:tc>
        <w:tc>
          <w:tcPr>
            <w:tcW w:w="253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11F0A9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评价因子</w:t>
            </w:r>
          </w:p>
        </w:tc>
        <w:tc>
          <w:tcPr>
            <w:tcW w:w="11177"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4CD0AB9">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r>
      <w:tr w14:paraId="32E06296">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13" w:hRule="atLeast"/>
        </w:trPr>
        <w:tc>
          <w:tcPr>
            <w:tcW w:w="390"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273E9732">
            <w:pPr>
              <w:widowControl/>
              <w:snapToGrid w:val="0"/>
              <w:jc w:val="left"/>
              <w:rPr>
                <w:rFonts w:hint="default" w:ascii="Times New Roman" w:hAnsi="Times New Roman" w:eastAsia="宋体" w:cs="Times New Roman"/>
                <w:color w:val="auto"/>
                <w:kern w:val="2"/>
                <w:szCs w:val="21"/>
                <w:highlight w:val="none"/>
              </w:rPr>
            </w:pPr>
          </w:p>
        </w:tc>
        <w:tc>
          <w:tcPr>
            <w:tcW w:w="253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B985C2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评价标准</w:t>
            </w:r>
          </w:p>
        </w:tc>
        <w:tc>
          <w:tcPr>
            <w:tcW w:w="11177"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1F784D7C">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河流、湖库、河口：Ⅰ类□；Ⅱ类□；Ⅲ类□；Ⅳ类√；Ⅴ类□</w:t>
            </w:r>
          </w:p>
          <w:p w14:paraId="3CC7B9A1">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近岸海域：第一类□；第二类□；第三类□；第四类□</w:t>
            </w:r>
          </w:p>
          <w:p w14:paraId="15022FD0">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规划年评价标准（）</w:t>
            </w:r>
          </w:p>
        </w:tc>
      </w:tr>
      <w:tr w14:paraId="1516FCB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13" w:hRule="atLeast"/>
        </w:trPr>
        <w:tc>
          <w:tcPr>
            <w:tcW w:w="390" w:type="dxa"/>
            <w:vMerge w:val="continue"/>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7C452D63">
            <w:pPr>
              <w:widowControl/>
              <w:snapToGrid w:val="0"/>
              <w:jc w:val="left"/>
              <w:rPr>
                <w:rFonts w:hint="default" w:ascii="Times New Roman" w:hAnsi="Times New Roman" w:eastAsia="宋体" w:cs="Times New Roman"/>
                <w:color w:val="auto"/>
                <w:kern w:val="2"/>
                <w:szCs w:val="21"/>
                <w:highlight w:val="none"/>
              </w:rPr>
            </w:pPr>
          </w:p>
        </w:tc>
        <w:tc>
          <w:tcPr>
            <w:tcW w:w="253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364F19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评价时期</w:t>
            </w:r>
          </w:p>
        </w:tc>
        <w:tc>
          <w:tcPr>
            <w:tcW w:w="11177"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3C9023F">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丰水期□；平水期□；枯水期□；冰封期□</w:t>
            </w:r>
          </w:p>
          <w:p w14:paraId="49684A54">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春季□；夏季□；秋季□；冬季□</w:t>
            </w:r>
          </w:p>
        </w:tc>
      </w:tr>
      <w:tr w14:paraId="69B3917D">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13" w:hRule="atLeast"/>
        </w:trPr>
        <w:tc>
          <w:tcPr>
            <w:tcW w:w="390"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6E705D30">
            <w:pPr>
              <w:widowControl/>
              <w:snapToGrid w:val="0"/>
              <w:jc w:val="left"/>
              <w:rPr>
                <w:rFonts w:hint="default" w:ascii="Times New Roman" w:hAnsi="Times New Roman" w:eastAsia="宋体" w:cs="Times New Roman"/>
                <w:color w:val="auto"/>
                <w:kern w:val="2"/>
                <w:szCs w:val="21"/>
                <w:highlight w:val="none"/>
              </w:rPr>
            </w:pPr>
          </w:p>
        </w:tc>
        <w:tc>
          <w:tcPr>
            <w:tcW w:w="253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BB918F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评价结论</w:t>
            </w:r>
          </w:p>
        </w:tc>
        <w:tc>
          <w:tcPr>
            <w:tcW w:w="9593"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87BC271">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水环境功能区或水功能区、近岸海域环境功能区水质达标状况：达标√；不达标□</w:t>
            </w:r>
          </w:p>
          <w:p w14:paraId="4DBF4D90">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水环境控制单元或断面水质达标状况：达标□；不达标□</w:t>
            </w:r>
          </w:p>
          <w:p w14:paraId="47E4FCF3">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水环境保护目标质量状况：达标□；不达标□</w:t>
            </w:r>
          </w:p>
          <w:p w14:paraId="6A425536">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对照断面、控制断面等代表性断面的水质状况；达标□；不达标□</w:t>
            </w:r>
          </w:p>
          <w:p w14:paraId="4882C7FB">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底泥污染评价□</w:t>
            </w:r>
          </w:p>
          <w:p w14:paraId="38308AF5">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水资源与开发利用程度及其水文情势评价□</w:t>
            </w:r>
          </w:p>
          <w:p w14:paraId="3BB98D20">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水环境质量回顾评价□</w:t>
            </w:r>
          </w:p>
          <w:p w14:paraId="64AFEFBE">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流域（区域）水资源（包括水能资源）与开发利用总体状况、生态流量管理要求与现状满足程度、建设项目占用水域空间的水流状况与河湖演变状况□</w:t>
            </w:r>
          </w:p>
        </w:tc>
        <w:tc>
          <w:tcPr>
            <w:tcW w:w="1584"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280CB94">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达标区√</w:t>
            </w:r>
          </w:p>
          <w:p w14:paraId="5940C77B">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不达标区□</w:t>
            </w:r>
          </w:p>
        </w:tc>
      </w:tr>
      <w:tr w14:paraId="44A44BA0">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13" w:hRule="atLeast"/>
        </w:trPr>
        <w:tc>
          <w:tcPr>
            <w:tcW w:w="390" w:type="dxa"/>
            <w:vMerge w:val="restart"/>
            <w:tcBorders>
              <w:top w:val="single" w:color="000000" w:themeColor="text1" w:sz="6" w:space="0"/>
              <w:left w:val="single" w:color="000000" w:themeColor="text1" w:sz="12" w:space="0"/>
              <w:right w:val="single" w:color="000000" w:themeColor="text1" w:sz="6" w:space="0"/>
            </w:tcBorders>
            <w:vAlign w:val="center"/>
          </w:tcPr>
          <w:p w14:paraId="132B88D8">
            <w:pPr>
              <w:widowControl/>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影响预测</w:t>
            </w:r>
          </w:p>
        </w:tc>
        <w:tc>
          <w:tcPr>
            <w:tcW w:w="253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566508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预测范围</w:t>
            </w:r>
          </w:p>
        </w:tc>
        <w:tc>
          <w:tcPr>
            <w:tcW w:w="11177"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EB9B83D">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河流：长度（）km；湖库、河口及近岸海域：面积（）km</w:t>
            </w:r>
            <w:r>
              <w:rPr>
                <w:rFonts w:hint="default" w:ascii="Times New Roman" w:hAnsi="Times New Roman" w:eastAsia="宋体" w:cs="Times New Roman"/>
                <w:color w:val="auto"/>
                <w:kern w:val="0"/>
                <w:szCs w:val="21"/>
                <w:highlight w:val="none"/>
                <w:vertAlign w:val="superscript"/>
              </w:rPr>
              <w:t>2</w:t>
            </w:r>
          </w:p>
        </w:tc>
      </w:tr>
      <w:tr w14:paraId="30830E0A">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13" w:hRule="atLeast"/>
        </w:trPr>
        <w:tc>
          <w:tcPr>
            <w:tcW w:w="390" w:type="dxa"/>
            <w:vMerge w:val="continue"/>
            <w:tcBorders>
              <w:left w:val="single" w:color="000000" w:themeColor="text1" w:sz="12" w:space="0"/>
              <w:right w:val="single" w:color="000000" w:themeColor="text1" w:sz="6" w:space="0"/>
            </w:tcBorders>
            <w:vAlign w:val="center"/>
          </w:tcPr>
          <w:p w14:paraId="4CF9DD10">
            <w:pPr>
              <w:widowControl/>
              <w:snapToGrid w:val="0"/>
              <w:jc w:val="left"/>
              <w:rPr>
                <w:rFonts w:hint="default" w:ascii="Times New Roman" w:hAnsi="Times New Roman" w:eastAsia="宋体" w:cs="Times New Roman"/>
                <w:color w:val="auto"/>
                <w:kern w:val="0"/>
                <w:szCs w:val="21"/>
                <w:highlight w:val="none"/>
              </w:rPr>
            </w:pPr>
          </w:p>
        </w:tc>
        <w:tc>
          <w:tcPr>
            <w:tcW w:w="253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CCC510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预测因子</w:t>
            </w:r>
          </w:p>
        </w:tc>
        <w:tc>
          <w:tcPr>
            <w:tcW w:w="11177"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4A98C4C">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r>
      <w:tr w14:paraId="3EF581A6">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13" w:hRule="atLeast"/>
        </w:trPr>
        <w:tc>
          <w:tcPr>
            <w:tcW w:w="390" w:type="dxa"/>
            <w:vMerge w:val="continue"/>
            <w:tcBorders>
              <w:left w:val="single" w:color="000000" w:themeColor="text1" w:sz="12" w:space="0"/>
              <w:bottom w:val="single" w:color="000000" w:themeColor="text1" w:sz="12" w:space="0"/>
              <w:right w:val="single" w:color="000000" w:themeColor="text1" w:sz="6" w:space="0"/>
            </w:tcBorders>
            <w:vAlign w:val="center"/>
          </w:tcPr>
          <w:p w14:paraId="49CA387F">
            <w:pPr>
              <w:widowControl/>
              <w:snapToGrid w:val="0"/>
              <w:jc w:val="left"/>
              <w:rPr>
                <w:rFonts w:hint="default" w:ascii="Times New Roman" w:hAnsi="Times New Roman" w:eastAsia="宋体" w:cs="Times New Roman"/>
                <w:color w:val="auto"/>
                <w:kern w:val="0"/>
                <w:szCs w:val="21"/>
                <w:highlight w:val="none"/>
              </w:rPr>
            </w:pPr>
          </w:p>
        </w:tc>
        <w:tc>
          <w:tcPr>
            <w:tcW w:w="2539" w:type="dxa"/>
            <w:tcBorders>
              <w:top w:val="single" w:color="000000" w:themeColor="text1" w:sz="6" w:space="0"/>
              <w:left w:val="single" w:color="000000" w:themeColor="text1" w:sz="6" w:space="0"/>
              <w:bottom w:val="single" w:color="000000" w:themeColor="text1" w:sz="12" w:space="0"/>
              <w:right w:val="single" w:color="000000" w:themeColor="text1" w:sz="6" w:space="0"/>
            </w:tcBorders>
            <w:vAlign w:val="center"/>
          </w:tcPr>
          <w:p w14:paraId="6C3E107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预测时期</w:t>
            </w:r>
          </w:p>
        </w:tc>
        <w:tc>
          <w:tcPr>
            <w:tcW w:w="11177" w:type="dxa"/>
            <w:gridSpan w:val="4"/>
            <w:tcBorders>
              <w:top w:val="single" w:color="000000" w:themeColor="text1" w:sz="6" w:space="0"/>
              <w:left w:val="single" w:color="000000" w:themeColor="text1" w:sz="6" w:space="0"/>
              <w:bottom w:val="single" w:color="000000" w:themeColor="text1" w:sz="12" w:space="0"/>
              <w:right w:val="single" w:color="000000" w:themeColor="text1" w:sz="12" w:space="0"/>
            </w:tcBorders>
            <w:vAlign w:val="center"/>
          </w:tcPr>
          <w:p w14:paraId="1251C9D4">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丰水期□；平水期□；枯水期□；冰封期□</w:t>
            </w:r>
          </w:p>
          <w:p w14:paraId="51BC04C1">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春季□；夏季□；秋季□；冬季□</w:t>
            </w:r>
          </w:p>
          <w:p w14:paraId="61928E43">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设计水文条件□</w:t>
            </w:r>
          </w:p>
        </w:tc>
      </w:tr>
    </w:tbl>
    <w:p w14:paraId="5BBC7002">
      <w:pPr>
        <w:pStyle w:val="32"/>
        <w:rPr>
          <w:rFonts w:hint="default" w:ascii="Times New Roman" w:hAnsi="Times New Roman" w:cs="Times New Roman"/>
          <w:color w:val="auto"/>
          <w:highlight w:val="none"/>
        </w:rPr>
      </w:pPr>
    </w:p>
    <w:p w14:paraId="354DD603">
      <w:pPr>
        <w:pStyle w:val="33"/>
        <w:rPr>
          <w:rFonts w:hint="default" w:ascii="Times New Roman" w:hAnsi="Times New Roman" w:cs="Times New Roman"/>
          <w:color w:val="auto"/>
          <w:highlight w:val="none"/>
        </w:rPr>
      </w:pPr>
    </w:p>
    <w:tbl>
      <w:tblPr>
        <w:tblStyle w:val="59"/>
        <w:tblW w:w="14174" w:type="dxa"/>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
      <w:tblGrid>
        <w:gridCol w:w="387"/>
        <w:gridCol w:w="5"/>
        <w:gridCol w:w="2520"/>
        <w:gridCol w:w="31"/>
        <w:gridCol w:w="2045"/>
        <w:gridCol w:w="1369"/>
        <w:gridCol w:w="329"/>
        <w:gridCol w:w="687"/>
        <w:gridCol w:w="2516"/>
        <w:gridCol w:w="541"/>
        <w:gridCol w:w="168"/>
        <w:gridCol w:w="1417"/>
        <w:gridCol w:w="2009"/>
        <w:gridCol w:w="150"/>
      </w:tblGrid>
      <w:tr w14:paraId="06738982">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342" w:hRule="atLeast"/>
        </w:trPr>
        <w:tc>
          <w:tcPr>
            <w:tcW w:w="2912" w:type="dxa"/>
            <w:gridSpan w:val="3"/>
            <w:tcBorders>
              <w:top w:val="single" w:color="000000" w:themeColor="text1" w:sz="12" w:space="0"/>
              <w:left w:val="single" w:color="000000" w:themeColor="text1" w:sz="12" w:space="0"/>
              <w:bottom w:val="single" w:color="000000" w:themeColor="text1" w:sz="6" w:space="0"/>
              <w:right w:val="single" w:color="000000" w:themeColor="text1" w:sz="6" w:space="0"/>
            </w:tcBorders>
            <w:vAlign w:val="center"/>
          </w:tcPr>
          <w:p w14:paraId="320AB26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工作内容</w:t>
            </w:r>
          </w:p>
        </w:tc>
        <w:tc>
          <w:tcPr>
            <w:tcW w:w="11112" w:type="dxa"/>
            <w:gridSpan w:val="10"/>
            <w:tcBorders>
              <w:top w:val="single" w:color="000000" w:themeColor="text1" w:sz="12" w:space="0"/>
              <w:left w:val="single" w:color="000000" w:themeColor="text1" w:sz="6" w:space="0"/>
              <w:bottom w:val="single" w:color="000000" w:themeColor="text1" w:sz="6" w:space="0"/>
              <w:right w:val="single" w:color="000000" w:themeColor="text1" w:sz="12" w:space="0"/>
            </w:tcBorders>
            <w:vAlign w:val="center"/>
          </w:tcPr>
          <w:p w14:paraId="2BD1ED6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自查项目</w:t>
            </w:r>
          </w:p>
        </w:tc>
      </w:tr>
      <w:tr w14:paraId="6F53161F">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1006" w:hRule="atLeast"/>
        </w:trPr>
        <w:tc>
          <w:tcPr>
            <w:tcW w:w="387" w:type="dxa"/>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1AA7CAFE">
            <w:pPr>
              <w:widowControl/>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影响预测</w:t>
            </w:r>
          </w:p>
        </w:tc>
        <w:tc>
          <w:tcPr>
            <w:tcW w:w="2525"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C8C563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预测情景</w:t>
            </w:r>
          </w:p>
        </w:tc>
        <w:tc>
          <w:tcPr>
            <w:tcW w:w="11112" w:type="dxa"/>
            <w:gridSpan w:val="10"/>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1D4EB20">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建设期□；生产运行期□；服务器满后□</w:t>
            </w:r>
          </w:p>
          <w:p w14:paraId="060ADC63">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正常工况□；非正常工况□</w:t>
            </w:r>
          </w:p>
          <w:p w14:paraId="6A42D651">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污染控制和减缓措施方案□</w:t>
            </w:r>
          </w:p>
          <w:p w14:paraId="561E15B9">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区（流）域水环境质量改善目标要求情景□</w:t>
            </w:r>
          </w:p>
        </w:tc>
      </w:tr>
      <w:tr w14:paraId="0EFEEA78">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468" w:hRule="atLeast"/>
        </w:trPr>
        <w:tc>
          <w:tcPr>
            <w:tcW w:w="38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BE11320">
            <w:pPr>
              <w:widowControl/>
              <w:snapToGrid w:val="0"/>
              <w:jc w:val="left"/>
              <w:rPr>
                <w:rFonts w:hint="default" w:ascii="Times New Roman" w:hAnsi="Times New Roman" w:eastAsia="宋体" w:cs="Times New Roman"/>
                <w:color w:val="auto"/>
                <w:kern w:val="2"/>
                <w:szCs w:val="21"/>
                <w:highlight w:val="none"/>
              </w:rPr>
            </w:pPr>
          </w:p>
        </w:tc>
        <w:tc>
          <w:tcPr>
            <w:tcW w:w="2525"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86C822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预测方法</w:t>
            </w:r>
          </w:p>
        </w:tc>
        <w:tc>
          <w:tcPr>
            <w:tcW w:w="11112" w:type="dxa"/>
            <w:gridSpan w:val="10"/>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9791880">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数值解□；解析解□；其他□</w:t>
            </w:r>
          </w:p>
          <w:p w14:paraId="6B48F420">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导则推荐模式□；其他□</w:t>
            </w:r>
          </w:p>
        </w:tc>
      </w:tr>
      <w:tr w14:paraId="74754422">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333" w:hRule="atLeast"/>
        </w:trPr>
        <w:tc>
          <w:tcPr>
            <w:tcW w:w="387" w:type="dxa"/>
            <w:vMerge w:val="restart"/>
            <w:tcBorders>
              <w:top w:val="single" w:color="000000" w:themeColor="text1" w:sz="6" w:space="0"/>
              <w:left w:val="single" w:color="000000" w:themeColor="text1" w:sz="12" w:space="0"/>
              <w:right w:val="single" w:color="000000" w:themeColor="text1" w:sz="6" w:space="0"/>
            </w:tcBorders>
            <w:vAlign w:val="center"/>
          </w:tcPr>
          <w:p w14:paraId="04FAE18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影响评价</w:t>
            </w:r>
          </w:p>
        </w:tc>
        <w:tc>
          <w:tcPr>
            <w:tcW w:w="2525"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D342CC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水污染控制和水环境影响减缓措施有效性评价</w:t>
            </w:r>
          </w:p>
        </w:tc>
        <w:tc>
          <w:tcPr>
            <w:tcW w:w="11112" w:type="dxa"/>
            <w:gridSpan w:val="10"/>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DD0423B">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区（流）域水环境质量改善目标□；替代削减源□</w:t>
            </w:r>
          </w:p>
        </w:tc>
      </w:tr>
      <w:tr w14:paraId="1B53F097">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2609" w:hRule="atLeast"/>
        </w:trPr>
        <w:tc>
          <w:tcPr>
            <w:tcW w:w="387" w:type="dxa"/>
            <w:vMerge w:val="continue"/>
            <w:tcBorders>
              <w:left w:val="single" w:color="000000" w:themeColor="text1" w:sz="12" w:space="0"/>
              <w:right w:val="single" w:color="000000" w:themeColor="text1" w:sz="6" w:space="0"/>
            </w:tcBorders>
            <w:vAlign w:val="center"/>
          </w:tcPr>
          <w:p w14:paraId="1B7F967C">
            <w:pPr>
              <w:widowControl/>
              <w:snapToGrid w:val="0"/>
              <w:jc w:val="left"/>
              <w:rPr>
                <w:rFonts w:hint="default" w:ascii="Times New Roman" w:hAnsi="Times New Roman" w:eastAsia="宋体" w:cs="Times New Roman"/>
                <w:color w:val="auto"/>
                <w:kern w:val="2"/>
                <w:szCs w:val="21"/>
                <w:highlight w:val="none"/>
              </w:rPr>
            </w:pPr>
          </w:p>
        </w:tc>
        <w:tc>
          <w:tcPr>
            <w:tcW w:w="2525"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A32C0B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水环境影响评价</w:t>
            </w:r>
          </w:p>
        </w:tc>
        <w:tc>
          <w:tcPr>
            <w:tcW w:w="11112" w:type="dxa"/>
            <w:gridSpan w:val="10"/>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92469DF">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排放口混合区外满足水环境管理要求 □</w:t>
            </w:r>
          </w:p>
          <w:p w14:paraId="22A25AF3">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水环境功能区或水功能区、近岸海域环境功能区水质达标 □</w:t>
            </w:r>
          </w:p>
          <w:p w14:paraId="2ABA7D98">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满足水环境保护目标水域水环境质量要求 □</w:t>
            </w:r>
          </w:p>
          <w:p w14:paraId="66D9ED58">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水环境控制单元或断面水质达标 □</w:t>
            </w:r>
          </w:p>
          <w:p w14:paraId="250E1A58">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满足重点水污染物排放总量控制指标要求，重点行业建设项目，主要污染物排放满足等量或减量替代要求 □</w:t>
            </w:r>
          </w:p>
          <w:p w14:paraId="2A429F8C">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满足区（流）域水环境质量改善目标要求 □</w:t>
            </w:r>
          </w:p>
          <w:p w14:paraId="5D3AB007">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水文要素影响型建设项目同时应包括水文情势变化评价、主要水文特征值影响评价、生态流量符合性评价□</w:t>
            </w:r>
          </w:p>
          <w:p w14:paraId="1BB4FE3B">
            <w:pPr>
              <w:snapToGrid w:val="0"/>
              <w:jc w:val="left"/>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对于新设或调整入河（湖库、近岸海域）排放口的建设项目，应包括排放口设置的环境合理性评价□</w:t>
            </w:r>
          </w:p>
          <w:p w14:paraId="43E3D447">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满足生态保护红线、水环境质量底线、资源利用上线和环境准入清单管理要求□</w:t>
            </w:r>
          </w:p>
        </w:tc>
      </w:tr>
      <w:tr w14:paraId="4D6A833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203" w:hRule="atLeast"/>
        </w:trPr>
        <w:tc>
          <w:tcPr>
            <w:tcW w:w="387" w:type="dxa"/>
            <w:vMerge w:val="continue"/>
            <w:tcBorders>
              <w:left w:val="single" w:color="000000" w:themeColor="text1" w:sz="12" w:space="0"/>
              <w:right w:val="single" w:color="000000" w:themeColor="text1" w:sz="6" w:space="0"/>
            </w:tcBorders>
            <w:vAlign w:val="center"/>
          </w:tcPr>
          <w:p w14:paraId="5E821751">
            <w:pPr>
              <w:widowControl/>
              <w:snapToGrid w:val="0"/>
              <w:jc w:val="left"/>
              <w:rPr>
                <w:rFonts w:hint="default" w:ascii="Times New Roman" w:hAnsi="Times New Roman" w:eastAsia="宋体" w:cs="Times New Roman"/>
                <w:color w:val="auto"/>
                <w:kern w:val="0"/>
                <w:szCs w:val="21"/>
                <w:highlight w:val="none"/>
              </w:rPr>
            </w:pPr>
          </w:p>
        </w:tc>
        <w:tc>
          <w:tcPr>
            <w:tcW w:w="2525" w:type="dxa"/>
            <w:gridSpan w:val="2"/>
            <w:vMerge w:val="restart"/>
            <w:tcBorders>
              <w:top w:val="single" w:color="000000" w:themeColor="text1" w:sz="6" w:space="0"/>
              <w:left w:val="single" w:color="000000" w:themeColor="text1" w:sz="6" w:space="0"/>
              <w:right w:val="single" w:color="000000" w:themeColor="text1" w:sz="6" w:space="0"/>
            </w:tcBorders>
            <w:vAlign w:val="center"/>
          </w:tcPr>
          <w:p w14:paraId="272544CA">
            <w:pPr>
              <w:snapToGrid w:val="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污染物排放量核算</w:t>
            </w:r>
          </w:p>
        </w:tc>
        <w:tc>
          <w:tcPr>
            <w:tcW w:w="3445" w:type="dxa"/>
            <w:gridSpan w:val="3"/>
            <w:tcBorders>
              <w:top w:val="single" w:color="000000" w:themeColor="text1" w:sz="6" w:space="0"/>
              <w:left w:val="single" w:color="000000" w:themeColor="text1" w:sz="6" w:space="0"/>
              <w:bottom w:val="single" w:color="auto" w:sz="2" w:space="0"/>
              <w:right w:val="single" w:color="auto" w:sz="2" w:space="0"/>
            </w:tcBorders>
            <w:vAlign w:val="center"/>
          </w:tcPr>
          <w:p w14:paraId="314F971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污染物名称</w:t>
            </w:r>
          </w:p>
        </w:tc>
        <w:tc>
          <w:tcPr>
            <w:tcW w:w="4241" w:type="dxa"/>
            <w:gridSpan w:val="5"/>
            <w:tcBorders>
              <w:top w:val="single" w:color="000000" w:themeColor="text1" w:sz="6" w:space="0"/>
              <w:left w:val="single" w:color="auto" w:sz="2" w:space="0"/>
              <w:bottom w:val="single" w:color="auto" w:sz="2" w:space="0"/>
              <w:right w:val="single" w:color="auto" w:sz="2" w:space="0"/>
            </w:tcBorders>
            <w:vAlign w:val="center"/>
          </w:tcPr>
          <w:p w14:paraId="1C2FE43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排放量/（t/a）</w:t>
            </w:r>
          </w:p>
        </w:tc>
        <w:tc>
          <w:tcPr>
            <w:tcW w:w="3426" w:type="dxa"/>
            <w:gridSpan w:val="2"/>
            <w:tcBorders>
              <w:top w:val="single" w:color="000000" w:themeColor="text1" w:sz="6" w:space="0"/>
              <w:left w:val="single" w:color="auto" w:sz="2" w:space="0"/>
              <w:bottom w:val="single" w:color="auto" w:sz="2" w:space="0"/>
              <w:right w:val="single" w:color="000000" w:themeColor="text1" w:sz="12" w:space="0"/>
            </w:tcBorders>
            <w:vAlign w:val="center"/>
          </w:tcPr>
          <w:p w14:paraId="68F149A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排放浓度/（mg/L）</w:t>
            </w:r>
          </w:p>
        </w:tc>
      </w:tr>
      <w:tr w14:paraId="087D2C8B">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62" w:hRule="atLeast"/>
        </w:trPr>
        <w:tc>
          <w:tcPr>
            <w:tcW w:w="387" w:type="dxa"/>
            <w:vMerge w:val="continue"/>
            <w:tcBorders>
              <w:left w:val="single" w:color="000000" w:themeColor="text1" w:sz="12" w:space="0"/>
              <w:right w:val="single" w:color="000000" w:themeColor="text1" w:sz="6" w:space="0"/>
            </w:tcBorders>
            <w:vAlign w:val="center"/>
          </w:tcPr>
          <w:p w14:paraId="73C6B78E">
            <w:pPr>
              <w:widowControl/>
              <w:snapToGrid w:val="0"/>
              <w:jc w:val="left"/>
              <w:rPr>
                <w:rFonts w:hint="default" w:ascii="Times New Roman" w:hAnsi="Times New Roman" w:eastAsia="宋体" w:cs="Times New Roman"/>
                <w:color w:val="auto"/>
                <w:kern w:val="0"/>
                <w:szCs w:val="21"/>
                <w:highlight w:val="none"/>
              </w:rPr>
            </w:pPr>
          </w:p>
        </w:tc>
        <w:tc>
          <w:tcPr>
            <w:tcW w:w="2525" w:type="dxa"/>
            <w:gridSpan w:val="2"/>
            <w:vMerge w:val="continue"/>
            <w:tcBorders>
              <w:top w:val="single" w:color="000000" w:themeColor="text1" w:sz="6" w:space="0"/>
              <w:left w:val="single" w:color="000000" w:themeColor="text1" w:sz="6" w:space="0"/>
              <w:bottom w:val="single" w:color="auto" w:sz="2" w:space="0"/>
              <w:right w:val="single" w:color="000000" w:themeColor="text1" w:sz="6" w:space="0"/>
            </w:tcBorders>
            <w:vAlign w:val="center"/>
          </w:tcPr>
          <w:p w14:paraId="73B31BC9">
            <w:pPr>
              <w:snapToGrid w:val="0"/>
              <w:jc w:val="center"/>
              <w:rPr>
                <w:rFonts w:hint="default" w:ascii="Times New Roman" w:hAnsi="Times New Roman" w:eastAsia="宋体" w:cs="Times New Roman"/>
                <w:color w:val="auto"/>
                <w:kern w:val="0"/>
                <w:szCs w:val="21"/>
                <w:highlight w:val="none"/>
              </w:rPr>
            </w:pPr>
          </w:p>
        </w:tc>
        <w:tc>
          <w:tcPr>
            <w:tcW w:w="3445" w:type="dxa"/>
            <w:gridSpan w:val="3"/>
            <w:tcBorders>
              <w:top w:val="single" w:color="auto" w:sz="2" w:space="0"/>
              <w:left w:val="single" w:color="000000" w:themeColor="text1" w:sz="6" w:space="0"/>
              <w:bottom w:val="single" w:color="auto" w:sz="2" w:space="0"/>
              <w:right w:val="single" w:color="auto" w:sz="2" w:space="0"/>
            </w:tcBorders>
            <w:vAlign w:val="center"/>
          </w:tcPr>
          <w:p w14:paraId="4735976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4241" w:type="dxa"/>
            <w:gridSpan w:val="5"/>
            <w:tcBorders>
              <w:top w:val="single" w:color="auto" w:sz="2" w:space="0"/>
              <w:left w:val="single" w:color="auto" w:sz="2" w:space="0"/>
              <w:bottom w:val="single" w:color="auto" w:sz="2" w:space="0"/>
              <w:right w:val="single" w:color="auto" w:sz="2" w:space="0"/>
            </w:tcBorders>
            <w:vAlign w:val="center"/>
          </w:tcPr>
          <w:p w14:paraId="4283E1B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3426" w:type="dxa"/>
            <w:gridSpan w:val="2"/>
            <w:tcBorders>
              <w:top w:val="single" w:color="auto" w:sz="2" w:space="0"/>
              <w:left w:val="single" w:color="auto" w:sz="2" w:space="0"/>
              <w:bottom w:val="single" w:color="auto" w:sz="2" w:space="0"/>
              <w:right w:val="single" w:color="000000" w:themeColor="text1" w:sz="12" w:space="0"/>
            </w:tcBorders>
            <w:vAlign w:val="center"/>
          </w:tcPr>
          <w:p w14:paraId="0E10ABB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r>
      <w:tr w14:paraId="3360DC6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132" w:hRule="atLeast"/>
        </w:trPr>
        <w:tc>
          <w:tcPr>
            <w:tcW w:w="387" w:type="dxa"/>
            <w:vMerge w:val="continue"/>
            <w:tcBorders>
              <w:left w:val="single" w:color="000000" w:themeColor="text1" w:sz="12" w:space="0"/>
              <w:right w:val="single" w:color="000000" w:themeColor="text1" w:sz="6" w:space="0"/>
            </w:tcBorders>
            <w:vAlign w:val="center"/>
          </w:tcPr>
          <w:p w14:paraId="286537CA">
            <w:pPr>
              <w:widowControl/>
              <w:snapToGrid w:val="0"/>
              <w:jc w:val="left"/>
              <w:rPr>
                <w:rFonts w:hint="default" w:ascii="Times New Roman" w:hAnsi="Times New Roman" w:eastAsia="宋体" w:cs="Times New Roman"/>
                <w:color w:val="auto"/>
                <w:kern w:val="0"/>
                <w:szCs w:val="21"/>
                <w:highlight w:val="none"/>
              </w:rPr>
            </w:pPr>
          </w:p>
        </w:tc>
        <w:tc>
          <w:tcPr>
            <w:tcW w:w="2525" w:type="dxa"/>
            <w:gridSpan w:val="2"/>
            <w:vMerge w:val="restart"/>
            <w:tcBorders>
              <w:top w:val="single" w:color="auto" w:sz="2" w:space="0"/>
              <w:left w:val="single" w:color="000000" w:themeColor="text1" w:sz="6" w:space="0"/>
              <w:right w:val="single" w:color="000000" w:themeColor="text1" w:sz="6" w:space="0"/>
            </w:tcBorders>
            <w:vAlign w:val="center"/>
          </w:tcPr>
          <w:p w14:paraId="7000E516">
            <w:pPr>
              <w:snapToGrid w:val="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替代源排放情况</w:t>
            </w:r>
          </w:p>
        </w:tc>
        <w:tc>
          <w:tcPr>
            <w:tcW w:w="2076" w:type="dxa"/>
            <w:gridSpan w:val="2"/>
            <w:tcBorders>
              <w:top w:val="single" w:color="auto" w:sz="2" w:space="0"/>
              <w:left w:val="single" w:color="000000" w:themeColor="text1" w:sz="6" w:space="0"/>
              <w:bottom w:val="single" w:color="auto" w:sz="2" w:space="0"/>
              <w:right w:val="single" w:color="auto" w:sz="2" w:space="0"/>
            </w:tcBorders>
            <w:vAlign w:val="center"/>
          </w:tcPr>
          <w:p w14:paraId="5A147AA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污染源名称</w:t>
            </w:r>
          </w:p>
        </w:tc>
        <w:tc>
          <w:tcPr>
            <w:tcW w:w="2385" w:type="dxa"/>
            <w:gridSpan w:val="3"/>
            <w:tcBorders>
              <w:top w:val="single" w:color="auto" w:sz="2" w:space="0"/>
              <w:left w:val="single" w:color="auto" w:sz="2" w:space="0"/>
              <w:bottom w:val="single" w:color="auto" w:sz="2" w:space="0"/>
              <w:right w:val="single" w:color="auto" w:sz="2" w:space="0"/>
            </w:tcBorders>
            <w:vAlign w:val="center"/>
          </w:tcPr>
          <w:p w14:paraId="187C555A">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排污许可证编号</w:t>
            </w:r>
          </w:p>
        </w:tc>
        <w:tc>
          <w:tcPr>
            <w:tcW w:w="2516" w:type="dxa"/>
            <w:tcBorders>
              <w:top w:val="single" w:color="auto" w:sz="2" w:space="0"/>
              <w:left w:val="single" w:color="auto" w:sz="2" w:space="0"/>
              <w:bottom w:val="single" w:color="auto" w:sz="2" w:space="0"/>
              <w:right w:val="single" w:color="auto" w:sz="2" w:space="0"/>
            </w:tcBorders>
            <w:vAlign w:val="center"/>
          </w:tcPr>
          <w:p w14:paraId="730B08D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污染物名称</w:t>
            </w:r>
          </w:p>
        </w:tc>
        <w:tc>
          <w:tcPr>
            <w:tcW w:w="2126" w:type="dxa"/>
            <w:gridSpan w:val="3"/>
            <w:tcBorders>
              <w:top w:val="single" w:color="auto" w:sz="2" w:space="0"/>
              <w:left w:val="single" w:color="auto" w:sz="2" w:space="0"/>
              <w:bottom w:val="single" w:color="auto" w:sz="2" w:space="0"/>
              <w:right w:val="single" w:color="auto" w:sz="2" w:space="0"/>
            </w:tcBorders>
            <w:vAlign w:val="center"/>
          </w:tcPr>
          <w:p w14:paraId="102CC6A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排放量/（t/a）</w:t>
            </w:r>
          </w:p>
        </w:tc>
        <w:tc>
          <w:tcPr>
            <w:tcW w:w="2009" w:type="dxa"/>
            <w:tcBorders>
              <w:top w:val="single" w:color="auto" w:sz="2" w:space="0"/>
              <w:left w:val="single" w:color="auto" w:sz="2" w:space="0"/>
              <w:bottom w:val="single" w:color="auto" w:sz="2" w:space="0"/>
              <w:right w:val="single" w:color="000000" w:themeColor="text1" w:sz="12" w:space="0"/>
            </w:tcBorders>
            <w:vAlign w:val="center"/>
          </w:tcPr>
          <w:p w14:paraId="62CFADD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排放浓度/（mg/L）</w:t>
            </w:r>
          </w:p>
        </w:tc>
      </w:tr>
      <w:tr w14:paraId="040D83B7">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106" w:hRule="atLeast"/>
        </w:trPr>
        <w:tc>
          <w:tcPr>
            <w:tcW w:w="387" w:type="dxa"/>
            <w:vMerge w:val="continue"/>
            <w:tcBorders>
              <w:left w:val="single" w:color="000000" w:themeColor="text1" w:sz="12" w:space="0"/>
              <w:right w:val="single" w:color="000000" w:themeColor="text1" w:sz="6" w:space="0"/>
            </w:tcBorders>
            <w:vAlign w:val="center"/>
          </w:tcPr>
          <w:p w14:paraId="5AF9C432">
            <w:pPr>
              <w:widowControl/>
              <w:snapToGrid w:val="0"/>
              <w:jc w:val="left"/>
              <w:rPr>
                <w:rFonts w:hint="default" w:ascii="Times New Roman" w:hAnsi="Times New Roman" w:eastAsia="宋体" w:cs="Times New Roman"/>
                <w:color w:val="auto"/>
                <w:kern w:val="0"/>
                <w:szCs w:val="21"/>
                <w:highlight w:val="none"/>
              </w:rPr>
            </w:pPr>
          </w:p>
        </w:tc>
        <w:tc>
          <w:tcPr>
            <w:tcW w:w="2525" w:type="dxa"/>
            <w:gridSpan w:val="2"/>
            <w:vMerge w:val="continue"/>
            <w:tcBorders>
              <w:left w:val="single" w:color="000000" w:themeColor="text1" w:sz="6" w:space="0"/>
              <w:right w:val="single" w:color="000000" w:themeColor="text1" w:sz="6" w:space="0"/>
            </w:tcBorders>
            <w:vAlign w:val="center"/>
          </w:tcPr>
          <w:p w14:paraId="43C3B7BC">
            <w:pPr>
              <w:snapToGrid w:val="0"/>
              <w:jc w:val="center"/>
              <w:rPr>
                <w:rFonts w:hint="default" w:ascii="Times New Roman" w:hAnsi="Times New Roman" w:eastAsia="宋体" w:cs="Times New Roman"/>
                <w:color w:val="auto"/>
                <w:kern w:val="0"/>
                <w:szCs w:val="21"/>
                <w:highlight w:val="none"/>
              </w:rPr>
            </w:pPr>
          </w:p>
        </w:tc>
        <w:tc>
          <w:tcPr>
            <w:tcW w:w="2076" w:type="dxa"/>
            <w:gridSpan w:val="2"/>
            <w:tcBorders>
              <w:top w:val="single" w:color="auto" w:sz="2" w:space="0"/>
              <w:left w:val="single" w:color="000000" w:themeColor="text1" w:sz="6" w:space="0"/>
              <w:bottom w:val="single" w:color="auto" w:sz="2" w:space="0"/>
              <w:right w:val="single" w:color="auto" w:sz="2" w:space="0"/>
            </w:tcBorders>
            <w:vAlign w:val="center"/>
          </w:tcPr>
          <w:p w14:paraId="1B8DAA0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2385" w:type="dxa"/>
            <w:gridSpan w:val="3"/>
            <w:tcBorders>
              <w:top w:val="single" w:color="auto" w:sz="2" w:space="0"/>
              <w:left w:val="single" w:color="auto" w:sz="2" w:space="0"/>
              <w:bottom w:val="single" w:color="auto" w:sz="2" w:space="0"/>
              <w:right w:val="single" w:color="auto" w:sz="2" w:space="0"/>
            </w:tcBorders>
            <w:vAlign w:val="center"/>
          </w:tcPr>
          <w:p w14:paraId="4EE0B96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2516" w:type="dxa"/>
            <w:tcBorders>
              <w:top w:val="single" w:color="auto" w:sz="2" w:space="0"/>
              <w:left w:val="single" w:color="auto" w:sz="2" w:space="0"/>
              <w:bottom w:val="single" w:color="auto" w:sz="2" w:space="0"/>
              <w:right w:val="single" w:color="auto" w:sz="2" w:space="0"/>
            </w:tcBorders>
            <w:vAlign w:val="center"/>
          </w:tcPr>
          <w:p w14:paraId="14F44A9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2126" w:type="dxa"/>
            <w:gridSpan w:val="3"/>
            <w:tcBorders>
              <w:top w:val="single" w:color="auto" w:sz="2" w:space="0"/>
              <w:left w:val="single" w:color="auto" w:sz="2" w:space="0"/>
              <w:bottom w:val="single" w:color="auto" w:sz="2" w:space="0"/>
              <w:right w:val="single" w:color="auto" w:sz="2" w:space="0"/>
            </w:tcBorders>
            <w:vAlign w:val="center"/>
          </w:tcPr>
          <w:p w14:paraId="4E9FD530">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2009" w:type="dxa"/>
            <w:tcBorders>
              <w:top w:val="single" w:color="auto" w:sz="2" w:space="0"/>
              <w:left w:val="single" w:color="auto" w:sz="2" w:space="0"/>
              <w:bottom w:val="single" w:color="auto" w:sz="2" w:space="0"/>
              <w:right w:val="single" w:color="000000" w:themeColor="text1" w:sz="12" w:space="0"/>
            </w:tcBorders>
            <w:vAlign w:val="center"/>
          </w:tcPr>
          <w:p w14:paraId="598038E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r>
      <w:tr w14:paraId="0EA58830">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gridAfter w:val="1"/>
          <w:wAfter w:w="150" w:type="dxa"/>
          <w:trHeight w:val="106" w:hRule="atLeast"/>
        </w:trPr>
        <w:tc>
          <w:tcPr>
            <w:tcW w:w="387" w:type="dxa"/>
            <w:vMerge w:val="continue"/>
            <w:tcBorders>
              <w:left w:val="single" w:color="000000" w:themeColor="text1" w:sz="12" w:space="0"/>
              <w:right w:val="single" w:color="000000" w:themeColor="text1" w:sz="6" w:space="0"/>
            </w:tcBorders>
            <w:vAlign w:val="center"/>
          </w:tcPr>
          <w:p w14:paraId="79C3469F">
            <w:pPr>
              <w:widowControl/>
              <w:snapToGrid w:val="0"/>
              <w:jc w:val="left"/>
              <w:rPr>
                <w:rFonts w:hint="default" w:ascii="Times New Roman" w:hAnsi="Times New Roman" w:eastAsia="宋体" w:cs="Times New Roman"/>
                <w:color w:val="auto"/>
                <w:kern w:val="0"/>
                <w:szCs w:val="21"/>
                <w:highlight w:val="none"/>
              </w:rPr>
            </w:pPr>
          </w:p>
        </w:tc>
        <w:tc>
          <w:tcPr>
            <w:tcW w:w="2525" w:type="dxa"/>
            <w:gridSpan w:val="2"/>
            <w:tcBorders>
              <w:left w:val="single" w:color="000000" w:themeColor="text1" w:sz="6" w:space="0"/>
              <w:bottom w:val="single" w:color="auto" w:sz="12" w:space="0"/>
              <w:right w:val="single" w:color="000000" w:themeColor="text1" w:sz="6" w:space="0"/>
            </w:tcBorders>
            <w:vAlign w:val="center"/>
          </w:tcPr>
          <w:p w14:paraId="0BC564F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生态流量确定</w:t>
            </w:r>
          </w:p>
        </w:tc>
        <w:tc>
          <w:tcPr>
            <w:tcW w:w="11112" w:type="dxa"/>
            <w:gridSpan w:val="10"/>
            <w:tcBorders>
              <w:top w:val="single" w:color="auto" w:sz="2" w:space="0"/>
              <w:left w:val="single" w:color="000000" w:themeColor="text1" w:sz="6" w:space="0"/>
              <w:bottom w:val="single" w:color="auto" w:sz="12" w:space="0"/>
              <w:right w:val="single" w:color="000000" w:themeColor="text1" w:sz="12" w:space="0"/>
            </w:tcBorders>
            <w:vAlign w:val="center"/>
          </w:tcPr>
          <w:p w14:paraId="1C769C14">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生态流量：一般水期（）m</w:t>
            </w:r>
            <w:r>
              <w:rPr>
                <w:rFonts w:hint="default" w:ascii="Times New Roman" w:hAnsi="Times New Roman" w:eastAsia="宋体" w:cs="Times New Roman"/>
                <w:color w:val="auto"/>
                <w:kern w:val="0"/>
                <w:szCs w:val="21"/>
                <w:highlight w:val="none"/>
                <w:vertAlign w:val="superscript"/>
              </w:rPr>
              <w:t>3</w:t>
            </w:r>
            <w:r>
              <w:rPr>
                <w:rFonts w:hint="default" w:ascii="Times New Roman" w:hAnsi="Times New Roman" w:eastAsia="宋体" w:cs="Times New Roman"/>
                <w:color w:val="auto"/>
                <w:kern w:val="0"/>
                <w:szCs w:val="21"/>
                <w:highlight w:val="none"/>
              </w:rPr>
              <w:t>/s；鱼类繁殖期（）m</w:t>
            </w:r>
            <w:r>
              <w:rPr>
                <w:rFonts w:hint="default" w:ascii="Times New Roman" w:hAnsi="Times New Roman" w:eastAsia="宋体" w:cs="Times New Roman"/>
                <w:color w:val="auto"/>
                <w:kern w:val="0"/>
                <w:szCs w:val="21"/>
                <w:highlight w:val="none"/>
                <w:vertAlign w:val="superscript"/>
              </w:rPr>
              <w:t>3</w:t>
            </w:r>
            <w:r>
              <w:rPr>
                <w:rFonts w:hint="default" w:ascii="Times New Roman" w:hAnsi="Times New Roman" w:eastAsia="宋体" w:cs="Times New Roman"/>
                <w:color w:val="auto"/>
                <w:kern w:val="0"/>
                <w:szCs w:val="21"/>
                <w:highlight w:val="none"/>
              </w:rPr>
              <w:t>/s；其他（）m</w:t>
            </w:r>
            <w:r>
              <w:rPr>
                <w:rFonts w:hint="default" w:ascii="Times New Roman" w:hAnsi="Times New Roman" w:eastAsia="宋体" w:cs="Times New Roman"/>
                <w:color w:val="auto"/>
                <w:kern w:val="0"/>
                <w:szCs w:val="21"/>
                <w:highlight w:val="none"/>
                <w:vertAlign w:val="superscript"/>
              </w:rPr>
              <w:t>3</w:t>
            </w:r>
            <w:r>
              <w:rPr>
                <w:rFonts w:hint="default" w:ascii="Times New Roman" w:hAnsi="Times New Roman" w:eastAsia="宋体" w:cs="Times New Roman"/>
                <w:color w:val="auto"/>
                <w:kern w:val="0"/>
                <w:szCs w:val="21"/>
                <w:highlight w:val="none"/>
              </w:rPr>
              <w:t>/s</w:t>
            </w:r>
          </w:p>
          <w:p w14:paraId="6839779B">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生态水位：一般水期（）m；鱼类繁殖期（）m；其他（）m</w:t>
            </w:r>
          </w:p>
        </w:tc>
      </w:tr>
      <w:tr w14:paraId="77A2EB0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2943" w:type="dxa"/>
            <w:gridSpan w:val="4"/>
            <w:tcBorders>
              <w:top w:val="single" w:color="000000" w:themeColor="text1" w:sz="12" w:space="0"/>
              <w:left w:val="single" w:color="000000" w:themeColor="text1" w:sz="12" w:space="0"/>
              <w:bottom w:val="single" w:color="000000" w:themeColor="text1" w:sz="6" w:space="0"/>
              <w:right w:val="single" w:color="000000" w:themeColor="text1" w:sz="6" w:space="0"/>
            </w:tcBorders>
            <w:vAlign w:val="center"/>
          </w:tcPr>
          <w:p w14:paraId="664632D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工作内容</w:t>
            </w:r>
          </w:p>
        </w:tc>
        <w:tc>
          <w:tcPr>
            <w:tcW w:w="11231" w:type="dxa"/>
            <w:gridSpan w:val="10"/>
            <w:tcBorders>
              <w:top w:val="single" w:color="000000" w:themeColor="text1" w:sz="12" w:space="0"/>
              <w:left w:val="single" w:color="000000" w:themeColor="text1" w:sz="6" w:space="0"/>
              <w:bottom w:val="single" w:color="000000" w:themeColor="text1" w:sz="6" w:space="0"/>
              <w:right w:val="single" w:color="000000" w:themeColor="text1" w:sz="12" w:space="0"/>
            </w:tcBorders>
            <w:vAlign w:val="center"/>
          </w:tcPr>
          <w:p w14:paraId="44DBEC9C">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自查项目</w:t>
            </w:r>
          </w:p>
        </w:tc>
      </w:tr>
      <w:tr w14:paraId="39D485A4">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392" w:type="dxa"/>
            <w:gridSpan w:val="2"/>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1EE3D8EC">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防治措施</w:t>
            </w:r>
          </w:p>
        </w:tc>
        <w:tc>
          <w:tcPr>
            <w:tcW w:w="2551"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30B0DC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环保措施</w:t>
            </w:r>
          </w:p>
        </w:tc>
        <w:tc>
          <w:tcPr>
            <w:tcW w:w="11231" w:type="dxa"/>
            <w:gridSpan w:val="10"/>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7590C021">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污水处理设施√；水文减缓设施□；生态流量保障措施□；区域削减□；依托其他工程措施□；其他□</w:t>
            </w:r>
          </w:p>
        </w:tc>
      </w:tr>
      <w:tr w14:paraId="4E6C1561">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392"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018A9F28">
            <w:pPr>
              <w:widowControl/>
              <w:snapToGrid w:val="0"/>
              <w:jc w:val="left"/>
              <w:rPr>
                <w:rFonts w:hint="default" w:ascii="Times New Roman" w:hAnsi="Times New Roman" w:eastAsia="宋体" w:cs="Times New Roman"/>
                <w:color w:val="auto"/>
                <w:kern w:val="2"/>
                <w:szCs w:val="21"/>
                <w:highlight w:val="none"/>
              </w:rPr>
            </w:pPr>
          </w:p>
        </w:tc>
        <w:tc>
          <w:tcPr>
            <w:tcW w:w="2551" w:type="dxa"/>
            <w:gridSpan w:val="2"/>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5EFE9D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监测计划</w:t>
            </w:r>
          </w:p>
        </w:tc>
        <w:tc>
          <w:tcPr>
            <w:tcW w:w="3743"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EDB5AF3">
            <w:pPr>
              <w:snapToGrid w:val="0"/>
              <w:jc w:val="center"/>
              <w:rPr>
                <w:rFonts w:hint="default" w:ascii="Times New Roman" w:hAnsi="Times New Roman" w:eastAsia="宋体" w:cs="Times New Roman"/>
                <w:color w:val="auto"/>
                <w:kern w:val="2"/>
                <w:szCs w:val="21"/>
                <w:highlight w:val="none"/>
              </w:rPr>
            </w:pPr>
          </w:p>
        </w:tc>
        <w:tc>
          <w:tcPr>
            <w:tcW w:w="3744"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CF6E3E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环境质量</w:t>
            </w:r>
          </w:p>
        </w:tc>
        <w:tc>
          <w:tcPr>
            <w:tcW w:w="3744"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65D16AC">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污染源</w:t>
            </w:r>
          </w:p>
        </w:tc>
      </w:tr>
      <w:tr w14:paraId="3CDA6AE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392"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08E7D8D0">
            <w:pPr>
              <w:widowControl/>
              <w:snapToGrid w:val="0"/>
              <w:jc w:val="left"/>
              <w:rPr>
                <w:rFonts w:hint="default" w:ascii="Times New Roman" w:hAnsi="Times New Roman" w:eastAsia="宋体" w:cs="Times New Roman"/>
                <w:color w:val="auto"/>
                <w:kern w:val="2"/>
                <w:szCs w:val="21"/>
                <w:highlight w:val="none"/>
              </w:rPr>
            </w:pPr>
          </w:p>
        </w:tc>
        <w:tc>
          <w:tcPr>
            <w:tcW w:w="2551" w:type="dxa"/>
            <w:gridSpan w:val="2"/>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587EB22">
            <w:pPr>
              <w:widowControl/>
              <w:snapToGrid w:val="0"/>
              <w:jc w:val="left"/>
              <w:rPr>
                <w:rFonts w:hint="default" w:ascii="Times New Roman" w:hAnsi="Times New Roman" w:eastAsia="宋体" w:cs="Times New Roman"/>
                <w:color w:val="auto"/>
                <w:kern w:val="2"/>
                <w:szCs w:val="21"/>
                <w:highlight w:val="none"/>
              </w:rPr>
            </w:pPr>
          </w:p>
        </w:tc>
        <w:tc>
          <w:tcPr>
            <w:tcW w:w="3743"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5E1FD4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监测方式</w:t>
            </w:r>
          </w:p>
        </w:tc>
        <w:tc>
          <w:tcPr>
            <w:tcW w:w="3744"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E6AFA0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手动□；自动□；无监测□</w:t>
            </w:r>
          </w:p>
        </w:tc>
        <w:tc>
          <w:tcPr>
            <w:tcW w:w="3744"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7DE8A38">
            <w:pPr>
              <w:snapToGrid w:val="0"/>
              <w:jc w:val="center"/>
              <w:rPr>
                <w:rFonts w:hint="default" w:ascii="Times New Roman" w:hAnsi="Times New Roman" w:eastAsia="宋体" w:cs="Times New Roman"/>
                <w:color w:val="auto"/>
                <w:kern w:val="2"/>
                <w:szCs w:val="21"/>
                <w:highlight w:val="none"/>
                <w:lang w:eastAsia="zh-CN"/>
              </w:rPr>
            </w:pPr>
            <w:r>
              <w:rPr>
                <w:rFonts w:hint="default" w:ascii="Times New Roman" w:hAnsi="Times New Roman" w:eastAsia="宋体" w:cs="Times New Roman"/>
                <w:color w:val="auto"/>
                <w:kern w:val="0"/>
                <w:szCs w:val="21"/>
                <w:highlight w:val="none"/>
              </w:rPr>
              <w:t>手动□；自动□；无监测</w:t>
            </w:r>
            <w:r>
              <w:rPr>
                <w:rFonts w:hint="default" w:ascii="Times New Roman" w:hAnsi="Times New Roman" w:eastAsia="宋体" w:cs="Times New Roman"/>
                <w:color w:val="auto"/>
                <w:kern w:val="0"/>
                <w:szCs w:val="21"/>
                <w:highlight w:val="none"/>
                <w:lang w:eastAsia="zh-CN"/>
              </w:rPr>
              <w:t>☑</w:t>
            </w:r>
          </w:p>
        </w:tc>
      </w:tr>
      <w:tr w14:paraId="660C6955">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392"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0F971D41">
            <w:pPr>
              <w:widowControl/>
              <w:snapToGrid w:val="0"/>
              <w:jc w:val="left"/>
              <w:rPr>
                <w:rFonts w:hint="default" w:ascii="Times New Roman" w:hAnsi="Times New Roman" w:eastAsia="宋体" w:cs="Times New Roman"/>
                <w:color w:val="auto"/>
                <w:kern w:val="2"/>
                <w:szCs w:val="21"/>
                <w:highlight w:val="none"/>
              </w:rPr>
            </w:pPr>
          </w:p>
        </w:tc>
        <w:tc>
          <w:tcPr>
            <w:tcW w:w="2551" w:type="dxa"/>
            <w:gridSpan w:val="2"/>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AEFC208">
            <w:pPr>
              <w:widowControl/>
              <w:snapToGrid w:val="0"/>
              <w:jc w:val="left"/>
              <w:rPr>
                <w:rFonts w:hint="default" w:ascii="Times New Roman" w:hAnsi="Times New Roman" w:eastAsia="宋体" w:cs="Times New Roman"/>
                <w:color w:val="auto"/>
                <w:kern w:val="2"/>
                <w:szCs w:val="21"/>
                <w:highlight w:val="none"/>
              </w:rPr>
            </w:pPr>
          </w:p>
        </w:tc>
        <w:tc>
          <w:tcPr>
            <w:tcW w:w="3743"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E36919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监测点位</w:t>
            </w:r>
          </w:p>
        </w:tc>
        <w:tc>
          <w:tcPr>
            <w:tcW w:w="3744"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5B8B58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3744"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CC6545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r>
      <w:tr w14:paraId="179DDFA1">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392"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C9E6288">
            <w:pPr>
              <w:widowControl/>
              <w:snapToGrid w:val="0"/>
              <w:jc w:val="left"/>
              <w:rPr>
                <w:rFonts w:hint="default" w:ascii="Times New Roman" w:hAnsi="Times New Roman" w:eastAsia="宋体" w:cs="Times New Roman"/>
                <w:color w:val="auto"/>
                <w:kern w:val="2"/>
                <w:szCs w:val="21"/>
                <w:highlight w:val="none"/>
              </w:rPr>
            </w:pPr>
          </w:p>
        </w:tc>
        <w:tc>
          <w:tcPr>
            <w:tcW w:w="2551" w:type="dxa"/>
            <w:gridSpan w:val="2"/>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F13833F">
            <w:pPr>
              <w:widowControl/>
              <w:snapToGrid w:val="0"/>
              <w:jc w:val="left"/>
              <w:rPr>
                <w:rFonts w:hint="default" w:ascii="Times New Roman" w:hAnsi="Times New Roman" w:eastAsia="宋体" w:cs="Times New Roman"/>
                <w:color w:val="auto"/>
                <w:kern w:val="2"/>
                <w:szCs w:val="21"/>
                <w:highlight w:val="none"/>
              </w:rPr>
            </w:pPr>
          </w:p>
        </w:tc>
        <w:tc>
          <w:tcPr>
            <w:tcW w:w="3743"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43399F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监测因子</w:t>
            </w:r>
          </w:p>
        </w:tc>
        <w:tc>
          <w:tcPr>
            <w:tcW w:w="3744"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1C0192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c>
          <w:tcPr>
            <w:tcW w:w="3744"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A0B9070">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r>
      <w:tr w14:paraId="2C7CA114">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392"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924A1D6">
            <w:pPr>
              <w:widowControl/>
              <w:snapToGrid w:val="0"/>
              <w:jc w:val="left"/>
              <w:rPr>
                <w:rFonts w:hint="default" w:ascii="Times New Roman" w:hAnsi="Times New Roman" w:eastAsia="宋体" w:cs="Times New Roman"/>
                <w:color w:val="auto"/>
                <w:kern w:val="2"/>
                <w:szCs w:val="21"/>
                <w:highlight w:val="none"/>
              </w:rPr>
            </w:pPr>
          </w:p>
        </w:tc>
        <w:tc>
          <w:tcPr>
            <w:tcW w:w="2551"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B264E0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污染物排放清单</w:t>
            </w:r>
          </w:p>
        </w:tc>
        <w:tc>
          <w:tcPr>
            <w:tcW w:w="11231" w:type="dxa"/>
            <w:gridSpan w:val="10"/>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6DC2855">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w:t>
            </w:r>
          </w:p>
        </w:tc>
      </w:tr>
      <w:tr w14:paraId="37969557">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392"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0B0DD48">
            <w:pPr>
              <w:widowControl/>
              <w:snapToGrid w:val="0"/>
              <w:jc w:val="left"/>
              <w:rPr>
                <w:rFonts w:hint="default" w:ascii="Times New Roman" w:hAnsi="Times New Roman" w:eastAsia="宋体" w:cs="Times New Roman"/>
                <w:color w:val="auto"/>
                <w:kern w:val="2"/>
                <w:szCs w:val="21"/>
                <w:highlight w:val="none"/>
              </w:rPr>
            </w:pPr>
          </w:p>
        </w:tc>
        <w:tc>
          <w:tcPr>
            <w:tcW w:w="2551"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EA952F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评价结论</w:t>
            </w:r>
          </w:p>
        </w:tc>
        <w:tc>
          <w:tcPr>
            <w:tcW w:w="11231" w:type="dxa"/>
            <w:gridSpan w:val="10"/>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F3218D1">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可以接受√；不可以接受□</w:t>
            </w:r>
          </w:p>
        </w:tc>
      </w:tr>
      <w:tr w14:paraId="4095FD3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14174" w:type="dxa"/>
            <w:gridSpan w:val="14"/>
            <w:tcBorders>
              <w:top w:val="single" w:color="000000" w:themeColor="text1" w:sz="6" w:space="0"/>
              <w:left w:val="single" w:color="000000" w:themeColor="text1" w:sz="12" w:space="0"/>
              <w:bottom w:val="single" w:color="000000" w:themeColor="text1" w:sz="12" w:space="0"/>
              <w:right w:val="single" w:color="000000" w:themeColor="text1" w:sz="12" w:space="0"/>
            </w:tcBorders>
            <w:vAlign w:val="center"/>
          </w:tcPr>
          <w:p w14:paraId="3DD9674C">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注：“□”为勾选项，可√；“（）”为内容填写项；“备注”为其他补充内容。</w:t>
            </w:r>
          </w:p>
        </w:tc>
      </w:tr>
    </w:tbl>
    <w:p w14:paraId="235B6A34">
      <w:pPr>
        <w:rPr>
          <w:rFonts w:hint="default" w:ascii="Times New Roman" w:hAnsi="Times New Roman" w:cs="Times New Roman"/>
          <w:color w:val="auto"/>
          <w:highlight w:val="none"/>
        </w:rPr>
        <w:sectPr>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34A40E08">
      <w:pPr>
        <w:jc w:val="left"/>
        <w:outlineLvl w:val="1"/>
        <w:rPr>
          <w:rFonts w:hint="default" w:ascii="Times New Roman" w:hAnsi="Times New Roman" w:eastAsia="宋体" w:cs="Times New Roman"/>
          <w:b/>
          <w:color w:val="auto"/>
          <w:sz w:val="24"/>
          <w:highlight w:val="none"/>
          <w:lang w:val="en-US" w:eastAsia="zh-CN"/>
        </w:rPr>
      </w:pPr>
      <w:bookmarkStart w:id="299" w:name="_Toc10363"/>
      <w:bookmarkStart w:id="300" w:name="_Toc169251903"/>
      <w:r>
        <w:rPr>
          <w:rFonts w:hint="default" w:ascii="Times New Roman" w:hAnsi="Times New Roman" w:eastAsia="宋体" w:cs="Times New Roman"/>
          <w:b/>
          <w:color w:val="auto"/>
          <w:sz w:val="24"/>
          <w:highlight w:val="none"/>
          <w:lang w:val="en-US" w:eastAsia="zh-CN"/>
        </w:rPr>
        <w:t>附表3：建设项目声环境影响评价自查表</w:t>
      </w:r>
      <w:bookmarkEnd w:id="299"/>
      <w:bookmarkEnd w:id="300"/>
    </w:p>
    <w:tbl>
      <w:tblPr>
        <w:tblStyle w:val="26"/>
        <w:tblW w:w="5000" w:type="pct"/>
        <w:tblInd w:w="0" w:type="dxa"/>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17"/>
        <w:gridCol w:w="1029"/>
        <w:gridCol w:w="1080"/>
        <w:gridCol w:w="220"/>
        <w:gridCol w:w="322"/>
        <w:gridCol w:w="404"/>
        <w:gridCol w:w="135"/>
        <w:gridCol w:w="12"/>
        <w:gridCol w:w="425"/>
        <w:gridCol w:w="641"/>
        <w:gridCol w:w="7"/>
        <w:gridCol w:w="648"/>
        <w:gridCol w:w="26"/>
        <w:gridCol w:w="401"/>
        <w:gridCol w:w="7"/>
        <w:gridCol w:w="541"/>
        <w:gridCol w:w="322"/>
        <w:gridCol w:w="217"/>
        <w:gridCol w:w="1073"/>
      </w:tblGrid>
      <w:tr w14:paraId="1F34C1F0">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PrEx>
        <w:trPr>
          <w:trHeight w:val="312" w:hRule="atLeast"/>
        </w:trPr>
        <w:tc>
          <w:tcPr>
            <w:tcW w:w="1201" w:type="pct"/>
            <w:gridSpan w:val="2"/>
            <w:tcBorders>
              <w:tl2br w:val="nil"/>
              <w:tr2bl w:val="nil"/>
            </w:tcBorders>
            <w:shd w:val="clear" w:color="auto" w:fill="auto"/>
            <w:vAlign w:val="center"/>
          </w:tcPr>
          <w:p w14:paraId="373D6B90">
            <w:pPr>
              <w:pStyle w:val="60"/>
              <w:adjustRightInd w:val="0"/>
              <w:snapToGrid w:val="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工作内容</w:t>
            </w:r>
          </w:p>
        </w:tc>
        <w:tc>
          <w:tcPr>
            <w:tcW w:w="3799" w:type="pct"/>
            <w:gridSpan w:val="17"/>
            <w:tcBorders>
              <w:tl2br w:val="nil"/>
              <w:tr2bl w:val="nil"/>
            </w:tcBorders>
            <w:shd w:val="clear" w:color="auto" w:fill="auto"/>
            <w:vAlign w:val="center"/>
          </w:tcPr>
          <w:p w14:paraId="4A544DAD">
            <w:pPr>
              <w:pStyle w:val="60"/>
              <w:adjustRightInd w:val="0"/>
              <w:snapToGrid w:val="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自查项目</w:t>
            </w:r>
          </w:p>
        </w:tc>
      </w:tr>
      <w:tr w14:paraId="56974511">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tcBorders>
              <w:tl2br w:val="nil"/>
              <w:tr2bl w:val="nil"/>
            </w:tcBorders>
            <w:shd w:val="clear" w:color="auto" w:fill="auto"/>
            <w:vAlign w:val="center"/>
          </w:tcPr>
          <w:p w14:paraId="4600D0BB">
            <w:pPr>
              <w:pStyle w:val="6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评价等级与范围</w:t>
            </w:r>
          </w:p>
        </w:tc>
        <w:tc>
          <w:tcPr>
            <w:tcW w:w="604" w:type="pct"/>
            <w:tcBorders>
              <w:tl2br w:val="nil"/>
              <w:tr2bl w:val="nil"/>
            </w:tcBorders>
            <w:shd w:val="clear" w:color="auto" w:fill="auto"/>
            <w:vAlign w:val="center"/>
          </w:tcPr>
          <w:p w14:paraId="285466C8">
            <w:pPr>
              <w:pStyle w:val="60"/>
              <w:adjustRightInd w:val="0"/>
              <w:snapToGrid w:val="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评价等级</w:t>
            </w:r>
          </w:p>
        </w:tc>
        <w:tc>
          <w:tcPr>
            <w:tcW w:w="1274" w:type="pct"/>
            <w:gridSpan w:val="6"/>
            <w:tcBorders>
              <w:tl2br w:val="nil"/>
              <w:tr2bl w:val="nil"/>
            </w:tcBorders>
            <w:shd w:val="clear" w:color="auto" w:fill="auto"/>
            <w:vAlign w:val="center"/>
          </w:tcPr>
          <w:p w14:paraId="48F7E01F">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一级□</w:t>
            </w:r>
          </w:p>
        </w:tc>
        <w:tc>
          <w:tcPr>
            <w:tcW w:w="1024" w:type="pct"/>
            <w:gridSpan w:val="5"/>
            <w:tcBorders>
              <w:tl2br w:val="nil"/>
              <w:tr2bl w:val="nil"/>
            </w:tcBorders>
            <w:shd w:val="clear" w:color="auto" w:fill="auto"/>
            <w:vAlign w:val="center"/>
          </w:tcPr>
          <w:p w14:paraId="685DDA74">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二级√</w:t>
            </w:r>
          </w:p>
        </w:tc>
        <w:tc>
          <w:tcPr>
            <w:tcW w:w="1501" w:type="pct"/>
            <w:gridSpan w:val="6"/>
            <w:tcBorders>
              <w:tl2br w:val="nil"/>
              <w:tr2bl w:val="nil"/>
            </w:tcBorders>
            <w:shd w:val="clear" w:color="auto" w:fill="auto"/>
            <w:vAlign w:val="center"/>
          </w:tcPr>
          <w:p w14:paraId="73928222">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三级□</w:t>
            </w:r>
          </w:p>
        </w:tc>
      </w:tr>
      <w:tr w14:paraId="5D429F4A">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04417A9E">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5F099FEA">
            <w:pPr>
              <w:pStyle w:val="60"/>
              <w:adjustRightInd w:val="0"/>
              <w:snapToGrid w:val="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评价范围</w:t>
            </w:r>
          </w:p>
        </w:tc>
        <w:tc>
          <w:tcPr>
            <w:tcW w:w="1274" w:type="pct"/>
            <w:gridSpan w:val="6"/>
            <w:tcBorders>
              <w:tl2br w:val="nil"/>
              <w:tr2bl w:val="nil"/>
            </w:tcBorders>
            <w:shd w:val="clear" w:color="auto" w:fill="auto"/>
            <w:vAlign w:val="center"/>
          </w:tcPr>
          <w:p w14:paraId="0F48CDC5">
            <w:pPr>
              <w:pStyle w:val="60"/>
              <w:adjustRightInd w:val="0"/>
              <w:snapToGrid w:val="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eastAsia="zh-CN"/>
              </w:rPr>
              <w:t>200m√</w:t>
            </w:r>
          </w:p>
        </w:tc>
        <w:tc>
          <w:tcPr>
            <w:tcW w:w="1024" w:type="pct"/>
            <w:gridSpan w:val="5"/>
            <w:tcBorders>
              <w:tl2br w:val="nil"/>
              <w:tr2bl w:val="nil"/>
            </w:tcBorders>
            <w:shd w:val="clear" w:color="auto" w:fill="auto"/>
            <w:vAlign w:val="center"/>
          </w:tcPr>
          <w:p w14:paraId="770AB868">
            <w:pPr>
              <w:pStyle w:val="60"/>
              <w:adjustRightInd w:val="0"/>
              <w:snapToGrid w:val="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eastAsia="zh-CN"/>
              </w:rPr>
              <w:t>大于200m□</w:t>
            </w:r>
          </w:p>
        </w:tc>
        <w:tc>
          <w:tcPr>
            <w:tcW w:w="1501" w:type="pct"/>
            <w:gridSpan w:val="6"/>
            <w:tcBorders>
              <w:tl2br w:val="nil"/>
              <w:tr2bl w:val="nil"/>
            </w:tcBorders>
            <w:shd w:val="clear" w:color="auto" w:fill="auto"/>
            <w:vAlign w:val="center"/>
          </w:tcPr>
          <w:p w14:paraId="715176AC">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小于200m□</w:t>
            </w:r>
          </w:p>
        </w:tc>
      </w:tr>
      <w:tr w14:paraId="67245537">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tcBorders>
              <w:tl2br w:val="nil"/>
              <w:tr2bl w:val="nil"/>
            </w:tcBorders>
            <w:shd w:val="clear" w:color="auto" w:fill="auto"/>
            <w:vAlign w:val="center"/>
          </w:tcPr>
          <w:p w14:paraId="5FE5CEFE">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评价因子</w:t>
            </w:r>
          </w:p>
        </w:tc>
        <w:tc>
          <w:tcPr>
            <w:tcW w:w="604" w:type="pct"/>
            <w:tcBorders>
              <w:tl2br w:val="nil"/>
              <w:tr2bl w:val="nil"/>
            </w:tcBorders>
            <w:shd w:val="clear" w:color="auto" w:fill="auto"/>
            <w:vAlign w:val="center"/>
          </w:tcPr>
          <w:p w14:paraId="0E42E2CF">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评价因子</w:t>
            </w:r>
          </w:p>
        </w:tc>
        <w:tc>
          <w:tcPr>
            <w:tcW w:w="1274" w:type="pct"/>
            <w:gridSpan w:val="6"/>
            <w:tcBorders>
              <w:tl2br w:val="nil"/>
              <w:tr2bl w:val="nil"/>
            </w:tcBorders>
            <w:shd w:val="clear" w:color="auto" w:fill="auto"/>
            <w:vAlign w:val="center"/>
          </w:tcPr>
          <w:p w14:paraId="3703CE54">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rPr>
              <w:t>等效连续A声级</w:t>
            </w:r>
            <w:r>
              <w:rPr>
                <w:rFonts w:hint="default" w:ascii="Times New Roman" w:hAnsi="Times New Roman" w:cs="Times New Roman"/>
                <w:color w:val="auto"/>
                <w:sz w:val="21"/>
                <w:szCs w:val="21"/>
                <w:highlight w:val="none"/>
                <w:lang w:eastAsia="zh-CN"/>
              </w:rPr>
              <w:t>√</w:t>
            </w:r>
          </w:p>
        </w:tc>
        <w:tc>
          <w:tcPr>
            <w:tcW w:w="1024" w:type="pct"/>
            <w:gridSpan w:val="5"/>
            <w:tcBorders>
              <w:tl2br w:val="nil"/>
              <w:tr2bl w:val="nil"/>
            </w:tcBorders>
            <w:shd w:val="clear" w:color="auto" w:fill="auto"/>
            <w:vAlign w:val="center"/>
          </w:tcPr>
          <w:p w14:paraId="280F5006">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rPr>
              <w:t>最大A声级</w:t>
            </w:r>
            <w:r>
              <w:rPr>
                <w:rFonts w:hint="default" w:ascii="Times New Roman" w:hAnsi="Times New Roman" w:cs="Times New Roman"/>
                <w:color w:val="auto"/>
                <w:sz w:val="21"/>
                <w:szCs w:val="21"/>
                <w:highlight w:val="none"/>
                <w:lang w:eastAsia="zh-CN"/>
              </w:rPr>
              <w:t>□</w:t>
            </w:r>
          </w:p>
        </w:tc>
        <w:tc>
          <w:tcPr>
            <w:tcW w:w="1501" w:type="pct"/>
            <w:gridSpan w:val="6"/>
            <w:tcBorders>
              <w:tl2br w:val="nil"/>
              <w:tr2bl w:val="nil"/>
            </w:tcBorders>
            <w:shd w:val="clear" w:color="auto" w:fill="auto"/>
            <w:vAlign w:val="center"/>
          </w:tcPr>
          <w:p w14:paraId="6E7DB20B">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计权等效连续感觉噪声级□</w:t>
            </w:r>
          </w:p>
        </w:tc>
      </w:tr>
      <w:tr w14:paraId="5BE07D88">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tcBorders>
              <w:tl2br w:val="nil"/>
              <w:tr2bl w:val="nil"/>
            </w:tcBorders>
            <w:shd w:val="clear" w:color="auto" w:fill="auto"/>
            <w:vAlign w:val="center"/>
          </w:tcPr>
          <w:p w14:paraId="77E61DAE">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评价标准</w:t>
            </w:r>
          </w:p>
        </w:tc>
        <w:tc>
          <w:tcPr>
            <w:tcW w:w="604" w:type="pct"/>
            <w:tcBorders>
              <w:tl2br w:val="nil"/>
              <w:tr2bl w:val="nil"/>
            </w:tcBorders>
            <w:shd w:val="clear" w:color="auto" w:fill="auto"/>
            <w:vAlign w:val="center"/>
          </w:tcPr>
          <w:p w14:paraId="520DA255">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评价标准</w:t>
            </w:r>
          </w:p>
        </w:tc>
        <w:tc>
          <w:tcPr>
            <w:tcW w:w="1274" w:type="pct"/>
            <w:gridSpan w:val="6"/>
            <w:tcBorders>
              <w:tl2br w:val="nil"/>
              <w:tr2bl w:val="nil"/>
            </w:tcBorders>
            <w:shd w:val="clear" w:color="auto" w:fill="auto"/>
            <w:vAlign w:val="center"/>
          </w:tcPr>
          <w:p w14:paraId="7019761C">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国家标准√</w:t>
            </w:r>
          </w:p>
        </w:tc>
        <w:tc>
          <w:tcPr>
            <w:tcW w:w="1024" w:type="pct"/>
            <w:gridSpan w:val="5"/>
            <w:tcBorders>
              <w:tl2br w:val="nil"/>
              <w:tr2bl w:val="nil"/>
            </w:tcBorders>
            <w:shd w:val="clear" w:color="auto" w:fill="auto"/>
            <w:vAlign w:val="center"/>
          </w:tcPr>
          <w:p w14:paraId="1BD50B35">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地方标准□</w:t>
            </w:r>
          </w:p>
        </w:tc>
        <w:tc>
          <w:tcPr>
            <w:tcW w:w="1501" w:type="pct"/>
            <w:gridSpan w:val="6"/>
            <w:tcBorders>
              <w:tl2br w:val="nil"/>
              <w:tr2bl w:val="nil"/>
            </w:tcBorders>
            <w:shd w:val="clear" w:color="auto" w:fill="auto"/>
            <w:vAlign w:val="center"/>
          </w:tcPr>
          <w:p w14:paraId="571BAD9E">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国外标准□</w:t>
            </w:r>
          </w:p>
        </w:tc>
      </w:tr>
      <w:tr w14:paraId="6DE5D858">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tcBorders>
              <w:tl2br w:val="nil"/>
              <w:tr2bl w:val="nil"/>
            </w:tcBorders>
            <w:shd w:val="clear" w:color="auto" w:fill="auto"/>
            <w:vAlign w:val="center"/>
          </w:tcPr>
          <w:p w14:paraId="4E3CC344">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现状评价</w:t>
            </w:r>
          </w:p>
        </w:tc>
        <w:tc>
          <w:tcPr>
            <w:tcW w:w="604" w:type="pct"/>
            <w:tcBorders>
              <w:tl2br w:val="nil"/>
              <w:tr2bl w:val="nil"/>
            </w:tcBorders>
            <w:shd w:val="clear" w:color="auto" w:fill="auto"/>
            <w:vAlign w:val="center"/>
          </w:tcPr>
          <w:p w14:paraId="0C1BE105">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环境功能区</w:t>
            </w:r>
          </w:p>
        </w:tc>
        <w:tc>
          <w:tcPr>
            <w:tcW w:w="633" w:type="pct"/>
            <w:tcBorders>
              <w:tl2br w:val="nil"/>
              <w:tr2bl w:val="nil"/>
            </w:tcBorders>
            <w:shd w:val="clear" w:color="auto" w:fill="auto"/>
            <w:vAlign w:val="center"/>
          </w:tcPr>
          <w:p w14:paraId="24944413">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0类区□</w:t>
            </w:r>
          </w:p>
        </w:tc>
        <w:tc>
          <w:tcPr>
            <w:tcW w:w="555" w:type="pct"/>
            <w:gridSpan w:val="3"/>
            <w:tcBorders>
              <w:tl2br w:val="nil"/>
              <w:tr2bl w:val="nil"/>
            </w:tcBorders>
            <w:shd w:val="clear" w:color="auto" w:fill="auto"/>
            <w:vAlign w:val="center"/>
          </w:tcPr>
          <w:p w14:paraId="67045CC6">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1类区☑</w:t>
            </w:r>
          </w:p>
        </w:tc>
        <w:tc>
          <w:tcPr>
            <w:tcW w:w="715" w:type="pct"/>
            <w:gridSpan w:val="5"/>
            <w:tcBorders>
              <w:tl2br w:val="nil"/>
              <w:tr2bl w:val="nil"/>
            </w:tcBorders>
            <w:shd w:val="clear" w:color="auto" w:fill="auto"/>
            <w:vAlign w:val="center"/>
          </w:tcPr>
          <w:p w14:paraId="2D6809E6">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2类区□</w:t>
            </w:r>
          </w:p>
        </w:tc>
        <w:tc>
          <w:tcPr>
            <w:tcW w:w="634" w:type="pct"/>
            <w:gridSpan w:val="4"/>
            <w:tcBorders>
              <w:tl2br w:val="nil"/>
              <w:tr2bl w:val="nil"/>
            </w:tcBorders>
            <w:shd w:val="clear" w:color="auto" w:fill="auto"/>
            <w:vAlign w:val="center"/>
          </w:tcPr>
          <w:p w14:paraId="0B507A99">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3类区□</w:t>
            </w:r>
          </w:p>
        </w:tc>
        <w:tc>
          <w:tcPr>
            <w:tcW w:w="633" w:type="pct"/>
            <w:gridSpan w:val="3"/>
            <w:tcBorders>
              <w:tl2br w:val="nil"/>
              <w:tr2bl w:val="nil"/>
            </w:tcBorders>
            <w:shd w:val="clear" w:color="auto" w:fill="auto"/>
            <w:vAlign w:val="center"/>
          </w:tcPr>
          <w:p w14:paraId="297C0258">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4a类区□</w:t>
            </w:r>
          </w:p>
        </w:tc>
        <w:tc>
          <w:tcPr>
            <w:tcW w:w="629" w:type="pct"/>
            <w:tcBorders>
              <w:tl2br w:val="nil"/>
              <w:tr2bl w:val="nil"/>
            </w:tcBorders>
            <w:shd w:val="clear" w:color="auto" w:fill="auto"/>
            <w:vAlign w:val="center"/>
          </w:tcPr>
          <w:p w14:paraId="1572BDBE">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4b类区□</w:t>
            </w:r>
          </w:p>
        </w:tc>
      </w:tr>
      <w:tr w14:paraId="37C1638F">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25A99C42">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76DC6637">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评价年度</w:t>
            </w:r>
          </w:p>
        </w:tc>
        <w:tc>
          <w:tcPr>
            <w:tcW w:w="951" w:type="pct"/>
            <w:gridSpan w:val="3"/>
            <w:tcBorders>
              <w:tl2br w:val="nil"/>
              <w:tr2bl w:val="nil"/>
            </w:tcBorders>
            <w:shd w:val="clear" w:color="auto" w:fill="auto"/>
            <w:vAlign w:val="center"/>
          </w:tcPr>
          <w:p w14:paraId="004A4ECF">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初期□</w:t>
            </w:r>
          </w:p>
        </w:tc>
        <w:tc>
          <w:tcPr>
            <w:tcW w:w="952" w:type="pct"/>
            <w:gridSpan w:val="6"/>
            <w:tcBorders>
              <w:tl2br w:val="nil"/>
              <w:tr2bl w:val="nil"/>
            </w:tcBorders>
            <w:shd w:val="clear" w:color="auto" w:fill="auto"/>
            <w:vAlign w:val="center"/>
          </w:tcPr>
          <w:p w14:paraId="3DBE145F">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近期√</w:t>
            </w:r>
          </w:p>
        </w:tc>
        <w:tc>
          <w:tcPr>
            <w:tcW w:w="951" w:type="pct"/>
            <w:gridSpan w:val="5"/>
            <w:tcBorders>
              <w:tl2br w:val="nil"/>
              <w:tr2bl w:val="nil"/>
            </w:tcBorders>
            <w:shd w:val="clear" w:color="auto" w:fill="auto"/>
            <w:vAlign w:val="center"/>
          </w:tcPr>
          <w:p w14:paraId="40204AB1">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中期□</w:t>
            </w:r>
          </w:p>
        </w:tc>
        <w:tc>
          <w:tcPr>
            <w:tcW w:w="945" w:type="pct"/>
            <w:gridSpan w:val="3"/>
            <w:tcBorders>
              <w:tl2br w:val="nil"/>
              <w:tr2bl w:val="nil"/>
            </w:tcBorders>
            <w:shd w:val="clear" w:color="auto" w:fill="auto"/>
            <w:vAlign w:val="center"/>
          </w:tcPr>
          <w:p w14:paraId="31DE49C9">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远期□</w:t>
            </w:r>
          </w:p>
        </w:tc>
      </w:tr>
      <w:tr w14:paraId="341A0668">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11153FFE">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77449AFB">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现状调查方法</w:t>
            </w:r>
          </w:p>
        </w:tc>
        <w:tc>
          <w:tcPr>
            <w:tcW w:w="1188" w:type="pct"/>
            <w:gridSpan w:val="4"/>
            <w:tcBorders>
              <w:tl2br w:val="nil"/>
              <w:tr2bl w:val="nil"/>
            </w:tcBorders>
            <w:shd w:val="clear" w:color="auto" w:fill="auto"/>
            <w:vAlign w:val="center"/>
          </w:tcPr>
          <w:p w14:paraId="1DFA99BA">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现场实测法√</w:t>
            </w:r>
          </w:p>
        </w:tc>
        <w:tc>
          <w:tcPr>
            <w:tcW w:w="1348" w:type="pct"/>
            <w:gridSpan w:val="9"/>
            <w:tcBorders>
              <w:tl2br w:val="nil"/>
              <w:tr2bl w:val="nil"/>
            </w:tcBorders>
            <w:shd w:val="clear" w:color="auto" w:fill="auto"/>
            <w:vAlign w:val="center"/>
          </w:tcPr>
          <w:p w14:paraId="31E848DE">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现场实测加模型计算法□</w:t>
            </w:r>
          </w:p>
        </w:tc>
        <w:tc>
          <w:tcPr>
            <w:tcW w:w="1262" w:type="pct"/>
            <w:gridSpan w:val="4"/>
            <w:tcBorders>
              <w:tl2br w:val="nil"/>
              <w:tr2bl w:val="nil"/>
            </w:tcBorders>
            <w:shd w:val="clear" w:color="auto" w:fill="auto"/>
            <w:vAlign w:val="center"/>
          </w:tcPr>
          <w:p w14:paraId="37402D63">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收集资料□</w:t>
            </w:r>
          </w:p>
        </w:tc>
      </w:tr>
      <w:tr w14:paraId="752906B5">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65749CA5">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45AA501D">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现状评价</w:t>
            </w:r>
          </w:p>
        </w:tc>
        <w:tc>
          <w:tcPr>
            <w:tcW w:w="762" w:type="pct"/>
            <w:gridSpan w:val="2"/>
            <w:tcBorders>
              <w:tl2br w:val="nil"/>
              <w:tr2bl w:val="nil"/>
            </w:tcBorders>
            <w:shd w:val="clear" w:color="auto" w:fill="auto"/>
            <w:vAlign w:val="center"/>
          </w:tcPr>
          <w:p w14:paraId="31D05123">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达标百分比</w:t>
            </w:r>
          </w:p>
        </w:tc>
        <w:tc>
          <w:tcPr>
            <w:tcW w:w="3037" w:type="pct"/>
            <w:gridSpan w:val="15"/>
            <w:tcBorders>
              <w:tl2br w:val="nil"/>
              <w:tr2bl w:val="nil"/>
            </w:tcBorders>
            <w:shd w:val="clear" w:color="auto" w:fill="auto"/>
            <w:vAlign w:val="center"/>
          </w:tcPr>
          <w:p w14:paraId="1FC57512">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100%</w:t>
            </w:r>
          </w:p>
        </w:tc>
      </w:tr>
      <w:tr w14:paraId="73833056">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tcBorders>
              <w:tl2br w:val="nil"/>
              <w:tr2bl w:val="nil"/>
            </w:tcBorders>
            <w:shd w:val="clear" w:color="auto" w:fill="auto"/>
            <w:vAlign w:val="center"/>
          </w:tcPr>
          <w:p w14:paraId="41F33F6C">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噪声源调查</w:t>
            </w:r>
          </w:p>
        </w:tc>
        <w:tc>
          <w:tcPr>
            <w:tcW w:w="604" w:type="pct"/>
            <w:tcBorders>
              <w:tl2br w:val="nil"/>
              <w:tr2bl w:val="nil"/>
            </w:tcBorders>
            <w:shd w:val="clear" w:color="auto" w:fill="auto"/>
            <w:vAlign w:val="center"/>
          </w:tcPr>
          <w:p w14:paraId="2BD4DAD7">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噪声源调查方法</w:t>
            </w:r>
          </w:p>
        </w:tc>
        <w:tc>
          <w:tcPr>
            <w:tcW w:w="1274" w:type="pct"/>
            <w:gridSpan w:val="6"/>
            <w:tcBorders>
              <w:tl2br w:val="nil"/>
              <w:tr2bl w:val="nil"/>
            </w:tcBorders>
            <w:shd w:val="clear" w:color="auto" w:fill="auto"/>
            <w:vAlign w:val="center"/>
          </w:tcPr>
          <w:p w14:paraId="1FDC4452">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现场实测□</w:t>
            </w:r>
          </w:p>
        </w:tc>
        <w:tc>
          <w:tcPr>
            <w:tcW w:w="1263" w:type="pct"/>
            <w:gridSpan w:val="7"/>
            <w:tcBorders>
              <w:tl2br w:val="nil"/>
              <w:tr2bl w:val="nil"/>
            </w:tcBorders>
            <w:shd w:val="clear" w:color="auto" w:fill="auto"/>
            <w:vAlign w:val="center"/>
          </w:tcPr>
          <w:p w14:paraId="6035CBF0">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已有资料√</w:t>
            </w:r>
          </w:p>
        </w:tc>
        <w:tc>
          <w:tcPr>
            <w:tcW w:w="1262" w:type="pct"/>
            <w:gridSpan w:val="4"/>
            <w:tcBorders>
              <w:tl2br w:val="nil"/>
              <w:tr2bl w:val="nil"/>
            </w:tcBorders>
            <w:shd w:val="clear" w:color="auto" w:fill="auto"/>
            <w:vAlign w:val="center"/>
          </w:tcPr>
          <w:p w14:paraId="0ADDA157">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研究成果□</w:t>
            </w:r>
          </w:p>
        </w:tc>
      </w:tr>
      <w:tr w14:paraId="37D82C9C">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tcBorders>
              <w:tl2br w:val="nil"/>
              <w:tr2bl w:val="nil"/>
            </w:tcBorders>
            <w:shd w:val="clear" w:color="auto" w:fill="auto"/>
            <w:vAlign w:val="center"/>
          </w:tcPr>
          <w:p w14:paraId="0AE25A1E">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声环境影响预测与评价</w:t>
            </w:r>
          </w:p>
        </w:tc>
        <w:tc>
          <w:tcPr>
            <w:tcW w:w="604" w:type="pct"/>
            <w:tcBorders>
              <w:tl2br w:val="nil"/>
              <w:tr2bl w:val="nil"/>
            </w:tcBorders>
            <w:shd w:val="clear" w:color="auto" w:fill="auto"/>
            <w:vAlign w:val="center"/>
          </w:tcPr>
          <w:p w14:paraId="28A7E294">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预测模型</w:t>
            </w:r>
          </w:p>
        </w:tc>
        <w:tc>
          <w:tcPr>
            <w:tcW w:w="1903" w:type="pct"/>
            <w:gridSpan w:val="9"/>
            <w:tcBorders>
              <w:tl2br w:val="nil"/>
              <w:tr2bl w:val="nil"/>
            </w:tcBorders>
            <w:shd w:val="clear" w:color="auto" w:fill="auto"/>
            <w:vAlign w:val="center"/>
          </w:tcPr>
          <w:p w14:paraId="4BAC0BA6">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导则推荐模型√</w:t>
            </w:r>
          </w:p>
        </w:tc>
        <w:tc>
          <w:tcPr>
            <w:tcW w:w="1896" w:type="pct"/>
            <w:gridSpan w:val="8"/>
            <w:tcBorders>
              <w:tl2br w:val="nil"/>
              <w:tr2bl w:val="nil"/>
            </w:tcBorders>
            <w:shd w:val="clear" w:color="auto" w:fill="auto"/>
            <w:vAlign w:val="center"/>
          </w:tcPr>
          <w:p w14:paraId="2247CEE0">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其他□</w:t>
            </w:r>
          </w:p>
        </w:tc>
      </w:tr>
      <w:tr w14:paraId="59CF4C8C">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7B343037">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1C2A9C21">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预测范围</w:t>
            </w:r>
          </w:p>
        </w:tc>
        <w:tc>
          <w:tcPr>
            <w:tcW w:w="1274" w:type="pct"/>
            <w:gridSpan w:val="6"/>
            <w:tcBorders>
              <w:tl2br w:val="nil"/>
              <w:tr2bl w:val="nil"/>
            </w:tcBorders>
            <w:shd w:val="clear" w:color="auto" w:fill="auto"/>
            <w:vAlign w:val="center"/>
          </w:tcPr>
          <w:p w14:paraId="29B45211">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200m√</w:t>
            </w:r>
          </w:p>
        </w:tc>
        <w:tc>
          <w:tcPr>
            <w:tcW w:w="1263" w:type="pct"/>
            <w:gridSpan w:val="7"/>
            <w:tcBorders>
              <w:tl2br w:val="nil"/>
              <w:tr2bl w:val="nil"/>
            </w:tcBorders>
            <w:shd w:val="clear" w:color="auto" w:fill="auto"/>
            <w:vAlign w:val="center"/>
          </w:tcPr>
          <w:p w14:paraId="05BD12DF">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大于200m□</w:t>
            </w:r>
          </w:p>
        </w:tc>
        <w:tc>
          <w:tcPr>
            <w:tcW w:w="1262" w:type="pct"/>
            <w:gridSpan w:val="4"/>
            <w:tcBorders>
              <w:tl2br w:val="nil"/>
              <w:tr2bl w:val="nil"/>
            </w:tcBorders>
            <w:shd w:val="clear" w:color="auto" w:fill="auto"/>
            <w:vAlign w:val="center"/>
          </w:tcPr>
          <w:p w14:paraId="4189AD6F">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小于200m□</w:t>
            </w:r>
          </w:p>
        </w:tc>
      </w:tr>
      <w:tr w14:paraId="3AD970DB">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00B86CCE">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3E32DB6D">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预测因子</w:t>
            </w:r>
          </w:p>
        </w:tc>
        <w:tc>
          <w:tcPr>
            <w:tcW w:w="1274" w:type="pct"/>
            <w:gridSpan w:val="6"/>
            <w:tcBorders>
              <w:tl2br w:val="nil"/>
              <w:tr2bl w:val="nil"/>
            </w:tcBorders>
            <w:shd w:val="clear" w:color="auto" w:fill="auto"/>
            <w:vAlign w:val="center"/>
          </w:tcPr>
          <w:p w14:paraId="4018AE1B">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rPr>
              <w:t>等效连续A声级</w:t>
            </w:r>
            <w:r>
              <w:rPr>
                <w:rFonts w:hint="default" w:ascii="Times New Roman" w:hAnsi="Times New Roman" w:cs="Times New Roman"/>
                <w:color w:val="auto"/>
                <w:sz w:val="21"/>
                <w:szCs w:val="21"/>
                <w:highlight w:val="none"/>
                <w:lang w:eastAsia="zh-CN"/>
              </w:rPr>
              <w:t>√</w:t>
            </w:r>
          </w:p>
        </w:tc>
        <w:tc>
          <w:tcPr>
            <w:tcW w:w="1263" w:type="pct"/>
            <w:gridSpan w:val="7"/>
            <w:tcBorders>
              <w:tl2br w:val="nil"/>
              <w:tr2bl w:val="nil"/>
            </w:tcBorders>
            <w:shd w:val="clear" w:color="auto" w:fill="auto"/>
            <w:vAlign w:val="center"/>
          </w:tcPr>
          <w:p w14:paraId="0DDC0805">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rPr>
              <w:t>最大A声级</w:t>
            </w:r>
            <w:r>
              <w:rPr>
                <w:rFonts w:hint="default" w:ascii="Times New Roman" w:hAnsi="Times New Roman" w:cs="Times New Roman"/>
                <w:color w:val="auto"/>
                <w:sz w:val="21"/>
                <w:szCs w:val="21"/>
                <w:highlight w:val="none"/>
                <w:lang w:eastAsia="zh-CN"/>
              </w:rPr>
              <w:t>□</w:t>
            </w:r>
          </w:p>
        </w:tc>
        <w:tc>
          <w:tcPr>
            <w:tcW w:w="1262" w:type="pct"/>
            <w:gridSpan w:val="4"/>
            <w:tcBorders>
              <w:tl2br w:val="nil"/>
              <w:tr2bl w:val="nil"/>
            </w:tcBorders>
            <w:shd w:val="clear" w:color="auto" w:fill="auto"/>
            <w:vAlign w:val="center"/>
          </w:tcPr>
          <w:p w14:paraId="4D2C62DC">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计权等效连续感觉噪声级□</w:t>
            </w:r>
          </w:p>
        </w:tc>
      </w:tr>
      <w:tr w14:paraId="007BB22D">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42CB60B8">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0F4A408C">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厂界噪声贡献值</w:t>
            </w:r>
          </w:p>
        </w:tc>
        <w:tc>
          <w:tcPr>
            <w:tcW w:w="1903" w:type="pct"/>
            <w:gridSpan w:val="9"/>
            <w:tcBorders>
              <w:tl2br w:val="nil"/>
              <w:tr2bl w:val="nil"/>
            </w:tcBorders>
            <w:shd w:val="clear" w:color="auto" w:fill="auto"/>
            <w:vAlign w:val="center"/>
          </w:tcPr>
          <w:p w14:paraId="2E9AFC33">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达标√</w:t>
            </w:r>
          </w:p>
        </w:tc>
        <w:tc>
          <w:tcPr>
            <w:tcW w:w="1896" w:type="pct"/>
            <w:gridSpan w:val="8"/>
            <w:tcBorders>
              <w:tl2br w:val="nil"/>
              <w:tr2bl w:val="nil"/>
            </w:tcBorders>
            <w:shd w:val="clear" w:color="auto" w:fill="auto"/>
            <w:vAlign w:val="center"/>
          </w:tcPr>
          <w:p w14:paraId="0AC9F2FE">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不达标□</w:t>
            </w:r>
          </w:p>
        </w:tc>
      </w:tr>
      <w:tr w14:paraId="4AC02989">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246F08CB">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52B1202C">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声环境保护目标处噪声值</w:t>
            </w:r>
          </w:p>
        </w:tc>
        <w:tc>
          <w:tcPr>
            <w:tcW w:w="1903" w:type="pct"/>
            <w:gridSpan w:val="9"/>
            <w:tcBorders>
              <w:tl2br w:val="nil"/>
              <w:tr2bl w:val="nil"/>
            </w:tcBorders>
            <w:shd w:val="clear" w:color="auto" w:fill="auto"/>
            <w:vAlign w:val="center"/>
          </w:tcPr>
          <w:p w14:paraId="702C27D0">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达标□</w:t>
            </w:r>
          </w:p>
        </w:tc>
        <w:tc>
          <w:tcPr>
            <w:tcW w:w="1896" w:type="pct"/>
            <w:gridSpan w:val="8"/>
            <w:tcBorders>
              <w:tl2br w:val="nil"/>
              <w:tr2bl w:val="nil"/>
            </w:tcBorders>
            <w:shd w:val="clear" w:color="auto" w:fill="auto"/>
            <w:vAlign w:val="center"/>
          </w:tcPr>
          <w:p w14:paraId="69004767">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不达标□</w:t>
            </w:r>
          </w:p>
        </w:tc>
      </w:tr>
      <w:tr w14:paraId="3262A9D0">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restart"/>
            <w:tcBorders>
              <w:tl2br w:val="nil"/>
              <w:tr2bl w:val="nil"/>
            </w:tcBorders>
            <w:shd w:val="clear" w:color="auto" w:fill="auto"/>
            <w:vAlign w:val="center"/>
          </w:tcPr>
          <w:p w14:paraId="490654EB">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环境监测</w:t>
            </w:r>
          </w:p>
          <w:p w14:paraId="12F4A7A5">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计划</w:t>
            </w:r>
          </w:p>
        </w:tc>
        <w:tc>
          <w:tcPr>
            <w:tcW w:w="604" w:type="pct"/>
            <w:tcBorders>
              <w:tl2br w:val="nil"/>
              <w:tr2bl w:val="nil"/>
            </w:tcBorders>
            <w:shd w:val="clear" w:color="auto" w:fill="auto"/>
            <w:vAlign w:val="center"/>
          </w:tcPr>
          <w:p w14:paraId="4ED02A79">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排放监测</w:t>
            </w:r>
          </w:p>
        </w:tc>
        <w:tc>
          <w:tcPr>
            <w:tcW w:w="762" w:type="pct"/>
            <w:gridSpan w:val="2"/>
            <w:tcBorders>
              <w:tl2br w:val="nil"/>
              <w:tr2bl w:val="nil"/>
            </w:tcBorders>
            <w:shd w:val="clear" w:color="auto" w:fill="auto"/>
            <w:vAlign w:val="center"/>
          </w:tcPr>
          <w:p w14:paraId="22FA5361">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厂界监测√</w:t>
            </w:r>
          </w:p>
        </w:tc>
        <w:tc>
          <w:tcPr>
            <w:tcW w:w="761" w:type="pct"/>
            <w:gridSpan w:val="5"/>
            <w:tcBorders>
              <w:tl2br w:val="nil"/>
              <w:tr2bl w:val="nil"/>
            </w:tcBorders>
            <w:shd w:val="clear" w:color="auto" w:fill="auto"/>
            <w:vAlign w:val="center"/>
          </w:tcPr>
          <w:p w14:paraId="785D6788">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固定位置监测□</w:t>
            </w:r>
          </w:p>
        </w:tc>
        <w:tc>
          <w:tcPr>
            <w:tcW w:w="760" w:type="pct"/>
            <w:gridSpan w:val="3"/>
            <w:tcBorders>
              <w:tl2br w:val="nil"/>
              <w:tr2bl w:val="nil"/>
            </w:tcBorders>
            <w:shd w:val="clear" w:color="auto" w:fill="auto"/>
            <w:vAlign w:val="center"/>
          </w:tcPr>
          <w:p w14:paraId="3259CE8F">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自动监测□</w:t>
            </w:r>
          </w:p>
        </w:tc>
        <w:tc>
          <w:tcPr>
            <w:tcW w:w="760" w:type="pct"/>
            <w:gridSpan w:val="5"/>
            <w:tcBorders>
              <w:tl2br w:val="nil"/>
              <w:tr2bl w:val="nil"/>
            </w:tcBorders>
            <w:shd w:val="clear" w:color="auto" w:fill="auto"/>
            <w:vAlign w:val="center"/>
          </w:tcPr>
          <w:p w14:paraId="3A560B0F">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手动监测□</w:t>
            </w:r>
          </w:p>
        </w:tc>
        <w:tc>
          <w:tcPr>
            <w:tcW w:w="756" w:type="pct"/>
            <w:gridSpan w:val="2"/>
            <w:tcBorders>
              <w:tl2br w:val="nil"/>
              <w:tr2bl w:val="nil"/>
            </w:tcBorders>
            <w:shd w:val="clear" w:color="auto" w:fill="auto"/>
            <w:vAlign w:val="center"/>
          </w:tcPr>
          <w:p w14:paraId="11F30064">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无监测□</w:t>
            </w:r>
          </w:p>
        </w:tc>
      </w:tr>
      <w:tr w14:paraId="4DDA66E0">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vMerge w:val="continue"/>
            <w:tcBorders>
              <w:tl2br w:val="nil"/>
              <w:tr2bl w:val="nil"/>
            </w:tcBorders>
            <w:shd w:val="clear" w:color="auto" w:fill="auto"/>
            <w:vAlign w:val="center"/>
          </w:tcPr>
          <w:p w14:paraId="0E194DDB">
            <w:pPr>
              <w:pStyle w:val="60"/>
              <w:jc w:val="center"/>
              <w:rPr>
                <w:rFonts w:hint="default" w:ascii="Times New Roman" w:hAnsi="Times New Roman" w:cs="Times New Roman"/>
                <w:color w:val="auto"/>
                <w:sz w:val="21"/>
                <w:szCs w:val="21"/>
                <w:highlight w:val="none"/>
                <w:lang w:eastAsia="zh-CN"/>
              </w:rPr>
            </w:pPr>
          </w:p>
        </w:tc>
        <w:tc>
          <w:tcPr>
            <w:tcW w:w="604" w:type="pct"/>
            <w:tcBorders>
              <w:tl2br w:val="nil"/>
              <w:tr2bl w:val="nil"/>
            </w:tcBorders>
            <w:shd w:val="clear" w:color="auto" w:fill="auto"/>
            <w:vAlign w:val="center"/>
          </w:tcPr>
          <w:p w14:paraId="7BCC945C">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声环境保护目标处噪声监测</w:t>
            </w:r>
          </w:p>
        </w:tc>
        <w:tc>
          <w:tcPr>
            <w:tcW w:w="1267" w:type="pct"/>
            <w:gridSpan w:val="5"/>
            <w:tcBorders>
              <w:tl2br w:val="nil"/>
              <w:tr2bl w:val="nil"/>
            </w:tcBorders>
            <w:shd w:val="clear" w:color="auto" w:fill="auto"/>
            <w:vAlign w:val="center"/>
          </w:tcPr>
          <w:p w14:paraId="72648A66">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监测因子：（）</w:t>
            </w:r>
          </w:p>
        </w:tc>
        <w:tc>
          <w:tcPr>
            <w:tcW w:w="1266" w:type="pct"/>
            <w:gridSpan w:val="7"/>
            <w:tcBorders>
              <w:tl2br w:val="nil"/>
              <w:tr2bl w:val="nil"/>
            </w:tcBorders>
            <w:shd w:val="clear" w:color="auto" w:fill="auto"/>
            <w:vAlign w:val="center"/>
          </w:tcPr>
          <w:p w14:paraId="161E6A5C">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监测点位数（）</w:t>
            </w:r>
          </w:p>
        </w:tc>
        <w:tc>
          <w:tcPr>
            <w:tcW w:w="1267" w:type="pct"/>
            <w:gridSpan w:val="5"/>
            <w:tcBorders>
              <w:tl2br w:val="nil"/>
              <w:tr2bl w:val="nil"/>
            </w:tcBorders>
            <w:shd w:val="clear" w:color="auto" w:fill="auto"/>
            <w:vAlign w:val="center"/>
          </w:tcPr>
          <w:p w14:paraId="27E31647">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无监测√</w:t>
            </w:r>
          </w:p>
        </w:tc>
      </w:tr>
      <w:tr w14:paraId="36E0FD0C">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97" w:type="pct"/>
            <w:tcBorders>
              <w:tl2br w:val="nil"/>
              <w:tr2bl w:val="nil"/>
            </w:tcBorders>
            <w:shd w:val="clear" w:color="auto" w:fill="auto"/>
            <w:vAlign w:val="center"/>
          </w:tcPr>
          <w:p w14:paraId="4EA98B59">
            <w:pPr>
              <w:pStyle w:val="6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评价结论</w:t>
            </w:r>
          </w:p>
        </w:tc>
        <w:tc>
          <w:tcPr>
            <w:tcW w:w="604" w:type="pct"/>
            <w:tcBorders>
              <w:tl2br w:val="nil"/>
              <w:tr2bl w:val="nil"/>
            </w:tcBorders>
            <w:shd w:val="clear" w:color="auto" w:fill="auto"/>
            <w:vAlign w:val="center"/>
          </w:tcPr>
          <w:p w14:paraId="5953A55B">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环境影响</w:t>
            </w:r>
          </w:p>
        </w:tc>
        <w:tc>
          <w:tcPr>
            <w:tcW w:w="1899" w:type="pct"/>
            <w:gridSpan w:val="8"/>
            <w:tcBorders>
              <w:tl2br w:val="nil"/>
              <w:tr2bl w:val="nil"/>
            </w:tcBorders>
            <w:shd w:val="clear" w:color="auto" w:fill="auto"/>
            <w:vAlign w:val="center"/>
          </w:tcPr>
          <w:p w14:paraId="78FB6D98">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可行√</w:t>
            </w:r>
          </w:p>
        </w:tc>
        <w:tc>
          <w:tcPr>
            <w:tcW w:w="1900" w:type="pct"/>
            <w:gridSpan w:val="9"/>
            <w:tcBorders>
              <w:tl2br w:val="nil"/>
              <w:tr2bl w:val="nil"/>
            </w:tcBorders>
            <w:shd w:val="clear" w:color="auto" w:fill="auto"/>
            <w:vAlign w:val="center"/>
          </w:tcPr>
          <w:p w14:paraId="60A862BE">
            <w:pPr>
              <w:pStyle w:val="60"/>
              <w:adjustRightInd w:val="0"/>
              <w:snapToGrid w:val="0"/>
              <w:jc w:val="center"/>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不可行□</w:t>
            </w:r>
          </w:p>
        </w:tc>
      </w:tr>
      <w:tr w14:paraId="109A07C8">
        <w:tblPrEx>
          <w:tblBorders>
            <w:top w:val="single" w:color="auto" w:sz="12" w:space="0"/>
            <w:left w:val="single" w:color="auto" w:sz="8" w:space="0"/>
            <w:bottom w:val="single" w:color="auto" w:sz="12"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5000" w:type="pct"/>
            <w:gridSpan w:val="19"/>
            <w:tcBorders>
              <w:tl2br w:val="nil"/>
              <w:tr2bl w:val="nil"/>
            </w:tcBorders>
            <w:shd w:val="clear" w:color="auto" w:fill="auto"/>
            <w:vAlign w:val="center"/>
          </w:tcPr>
          <w:p w14:paraId="70589005">
            <w:pPr>
              <w:pStyle w:val="60"/>
              <w:adjustRightInd w:val="0"/>
              <w:snapToGrid w:val="0"/>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注：“□”为勾选项，可√；“（ ）”为内容填写项。</w:t>
            </w:r>
          </w:p>
        </w:tc>
      </w:tr>
    </w:tbl>
    <w:p w14:paraId="610CBB37">
      <w:pPr>
        <w:rPr>
          <w:rFonts w:hint="default" w:ascii="Times New Roman" w:hAnsi="Times New Roman" w:eastAsia="宋体" w:cs="Times New Roman"/>
          <w:b/>
          <w:color w:val="auto"/>
          <w:sz w:val="24"/>
          <w:highlight w:val="none"/>
          <w:lang w:val="en-US" w:eastAsia="zh-CN"/>
        </w:rPr>
      </w:pPr>
      <w:r>
        <w:rPr>
          <w:rFonts w:hint="default" w:ascii="Times New Roman" w:hAnsi="Times New Roman" w:eastAsia="宋体" w:cs="Times New Roman"/>
          <w:b/>
          <w:color w:val="auto"/>
          <w:sz w:val="24"/>
          <w:highlight w:val="none"/>
          <w:lang w:val="en-US" w:eastAsia="zh-CN"/>
        </w:rPr>
        <w:br w:type="page"/>
      </w:r>
    </w:p>
    <w:p w14:paraId="32F51E9A">
      <w:pPr>
        <w:jc w:val="left"/>
        <w:outlineLvl w:val="1"/>
        <w:rPr>
          <w:rFonts w:hint="default" w:ascii="Times New Roman" w:hAnsi="Times New Roman" w:eastAsia="宋体" w:cs="Times New Roman"/>
          <w:b/>
          <w:color w:val="auto"/>
          <w:sz w:val="24"/>
          <w:highlight w:val="none"/>
        </w:rPr>
      </w:pPr>
      <w:bookmarkStart w:id="301" w:name="_Toc8613"/>
      <w:r>
        <w:rPr>
          <w:rFonts w:hint="default" w:ascii="Times New Roman" w:hAnsi="Times New Roman" w:eastAsia="宋体" w:cs="Times New Roman"/>
          <w:b/>
          <w:color w:val="auto"/>
          <w:sz w:val="24"/>
          <w:highlight w:val="none"/>
          <w:lang w:val="en-US" w:eastAsia="zh-CN"/>
        </w:rPr>
        <w:t>附表4：建设项目</w:t>
      </w:r>
      <w:r>
        <w:rPr>
          <w:rFonts w:hint="default" w:ascii="Times New Roman" w:hAnsi="Times New Roman" w:eastAsia="宋体" w:cs="Times New Roman"/>
          <w:b/>
          <w:color w:val="auto"/>
          <w:sz w:val="24"/>
          <w:highlight w:val="none"/>
        </w:rPr>
        <w:t>环境风险评价自查表</w:t>
      </w:r>
      <w:bookmarkEnd w:id="301"/>
    </w:p>
    <w:tbl>
      <w:tblPr>
        <w:tblStyle w:val="59"/>
        <w:tblW w:w="9079" w:type="dxa"/>
        <w:tblInd w:w="-318"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
      <w:tblGrid>
        <w:gridCol w:w="427"/>
        <w:gridCol w:w="1277"/>
        <w:gridCol w:w="1276"/>
        <w:gridCol w:w="151"/>
        <w:gridCol w:w="357"/>
        <w:gridCol w:w="596"/>
        <w:gridCol w:w="172"/>
        <w:gridCol w:w="303"/>
        <w:gridCol w:w="405"/>
        <w:gridCol w:w="310"/>
        <w:gridCol w:w="425"/>
        <w:gridCol w:w="287"/>
        <w:gridCol w:w="341"/>
        <w:gridCol w:w="137"/>
        <w:gridCol w:w="440"/>
        <w:gridCol w:w="51"/>
        <w:gridCol w:w="103"/>
        <w:gridCol w:w="356"/>
        <w:gridCol w:w="170"/>
        <w:gridCol w:w="629"/>
        <w:gridCol w:w="866"/>
      </w:tblGrid>
      <w:tr w14:paraId="25421E7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9" w:hRule="atLeast"/>
        </w:trPr>
        <w:tc>
          <w:tcPr>
            <w:tcW w:w="1704" w:type="dxa"/>
            <w:gridSpan w:val="2"/>
            <w:tcBorders>
              <w:top w:val="single" w:color="000000" w:themeColor="text1" w:sz="12" w:space="0"/>
              <w:left w:val="single" w:color="000000" w:themeColor="text1" w:sz="12" w:space="0"/>
              <w:bottom w:val="single" w:color="000000" w:themeColor="text1" w:sz="6" w:space="0"/>
              <w:right w:val="single" w:color="000000" w:themeColor="text1" w:sz="6" w:space="0"/>
            </w:tcBorders>
            <w:vAlign w:val="center"/>
          </w:tcPr>
          <w:p w14:paraId="62E1C43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工作内容</w:t>
            </w:r>
          </w:p>
        </w:tc>
        <w:tc>
          <w:tcPr>
            <w:tcW w:w="7375" w:type="dxa"/>
            <w:gridSpan w:val="19"/>
            <w:tcBorders>
              <w:top w:val="single" w:color="000000" w:themeColor="text1" w:sz="12" w:space="0"/>
              <w:left w:val="single" w:color="000000" w:themeColor="text1" w:sz="6" w:space="0"/>
              <w:bottom w:val="single" w:color="000000" w:themeColor="text1" w:sz="6" w:space="0"/>
              <w:right w:val="single" w:color="000000" w:themeColor="text1" w:sz="12" w:space="0"/>
            </w:tcBorders>
            <w:vAlign w:val="center"/>
          </w:tcPr>
          <w:p w14:paraId="0E3BA1C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完成情况</w:t>
            </w:r>
          </w:p>
        </w:tc>
      </w:tr>
      <w:tr w14:paraId="63BB5B5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04" w:hRule="atLeast"/>
        </w:trPr>
        <w:tc>
          <w:tcPr>
            <w:tcW w:w="427" w:type="dxa"/>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D0A71D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风险调查</w:t>
            </w:r>
          </w:p>
        </w:tc>
        <w:tc>
          <w:tcPr>
            <w:tcW w:w="1277"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473380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危险物质</w:t>
            </w:r>
          </w:p>
        </w:tc>
        <w:tc>
          <w:tcPr>
            <w:tcW w:w="1276"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6C1A3C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名称</w:t>
            </w:r>
          </w:p>
        </w:tc>
        <w:tc>
          <w:tcPr>
            <w:tcW w:w="1276"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8BC84D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S</w:t>
            </w:r>
          </w:p>
        </w:tc>
        <w:tc>
          <w:tcPr>
            <w:tcW w:w="708"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AE9861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p>
        </w:tc>
        <w:tc>
          <w:tcPr>
            <w:tcW w:w="735"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DBCA1F0">
            <w:pPr>
              <w:snapToGrid w:val="0"/>
              <w:jc w:val="center"/>
              <w:rPr>
                <w:rFonts w:hint="default" w:ascii="Times New Roman" w:hAnsi="Times New Roman" w:eastAsia="宋体" w:cs="Times New Roman"/>
                <w:color w:val="auto"/>
                <w:kern w:val="2"/>
                <w:szCs w:val="21"/>
                <w:highlight w:val="none"/>
              </w:rPr>
            </w:pPr>
          </w:p>
        </w:tc>
        <w:tc>
          <w:tcPr>
            <w:tcW w:w="628"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6F5BC6F">
            <w:pPr>
              <w:snapToGrid w:val="0"/>
              <w:jc w:val="center"/>
              <w:rPr>
                <w:rFonts w:hint="default" w:ascii="Times New Roman" w:hAnsi="Times New Roman" w:eastAsia="宋体" w:cs="Times New Roman"/>
                <w:color w:val="auto"/>
                <w:kern w:val="2"/>
                <w:szCs w:val="21"/>
                <w:highlight w:val="none"/>
              </w:rPr>
            </w:pPr>
          </w:p>
        </w:tc>
        <w:tc>
          <w:tcPr>
            <w:tcW w:w="628"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E68C798">
            <w:pPr>
              <w:snapToGrid w:val="0"/>
              <w:jc w:val="center"/>
              <w:rPr>
                <w:rFonts w:hint="default" w:ascii="Times New Roman" w:hAnsi="Times New Roman" w:eastAsia="宋体" w:cs="Times New Roman"/>
                <w:color w:val="auto"/>
                <w:kern w:val="2"/>
                <w:szCs w:val="21"/>
                <w:highlight w:val="none"/>
              </w:rPr>
            </w:pPr>
          </w:p>
        </w:tc>
        <w:tc>
          <w:tcPr>
            <w:tcW w:w="629"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DCE67C2">
            <w:pPr>
              <w:snapToGrid w:val="0"/>
              <w:jc w:val="center"/>
              <w:rPr>
                <w:rFonts w:hint="default" w:ascii="Times New Roman" w:hAnsi="Times New Roman" w:eastAsia="宋体" w:cs="Times New Roman"/>
                <w:color w:val="auto"/>
                <w:kern w:val="2"/>
                <w:szCs w:val="21"/>
                <w:highlight w:val="none"/>
              </w:rPr>
            </w:pPr>
          </w:p>
        </w:tc>
        <w:tc>
          <w:tcPr>
            <w:tcW w:w="62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9C2141D">
            <w:pPr>
              <w:snapToGrid w:val="0"/>
              <w:jc w:val="center"/>
              <w:rPr>
                <w:rFonts w:hint="default" w:ascii="Times New Roman" w:hAnsi="Times New Roman" w:eastAsia="宋体" w:cs="Times New Roman"/>
                <w:color w:val="auto"/>
                <w:kern w:val="2"/>
                <w:szCs w:val="21"/>
                <w:highlight w:val="none"/>
              </w:rPr>
            </w:pPr>
          </w:p>
        </w:tc>
        <w:tc>
          <w:tcPr>
            <w:tcW w:w="866"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1310A455">
            <w:pPr>
              <w:snapToGrid w:val="0"/>
              <w:jc w:val="center"/>
              <w:rPr>
                <w:rFonts w:hint="default" w:ascii="Times New Roman" w:hAnsi="Times New Roman" w:eastAsia="宋体" w:cs="Times New Roman"/>
                <w:color w:val="auto"/>
                <w:kern w:val="2"/>
                <w:szCs w:val="21"/>
                <w:highlight w:val="none"/>
              </w:rPr>
            </w:pPr>
          </w:p>
        </w:tc>
      </w:tr>
      <w:tr w14:paraId="070D7FF6">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97"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6FDFEC5F">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5FD4284">
            <w:pPr>
              <w:widowControl/>
              <w:snapToGrid w:val="0"/>
              <w:jc w:val="left"/>
              <w:rPr>
                <w:rFonts w:hint="default" w:ascii="Times New Roman" w:hAnsi="Times New Roman" w:eastAsia="宋体" w:cs="Times New Roman"/>
                <w:color w:val="auto"/>
                <w:kern w:val="2"/>
                <w:szCs w:val="21"/>
                <w:highlight w:val="none"/>
              </w:rPr>
            </w:pPr>
          </w:p>
        </w:tc>
        <w:tc>
          <w:tcPr>
            <w:tcW w:w="1276"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9B57C4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存在总量/t</w:t>
            </w:r>
          </w:p>
        </w:tc>
        <w:tc>
          <w:tcPr>
            <w:tcW w:w="1276"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E5C80B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sz w:val="21"/>
                <w:szCs w:val="21"/>
                <w:highlight w:val="none"/>
              </w:rPr>
              <w:t>/</w:t>
            </w:r>
          </w:p>
        </w:tc>
        <w:tc>
          <w:tcPr>
            <w:tcW w:w="708"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7E7BD10">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sz w:val="21"/>
                <w:szCs w:val="21"/>
                <w:highlight w:val="none"/>
              </w:rPr>
              <w:t>/</w:t>
            </w:r>
          </w:p>
        </w:tc>
        <w:tc>
          <w:tcPr>
            <w:tcW w:w="735"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9CFBD52">
            <w:pPr>
              <w:snapToGrid w:val="0"/>
              <w:jc w:val="center"/>
              <w:rPr>
                <w:rFonts w:hint="default" w:ascii="Times New Roman" w:hAnsi="Times New Roman" w:eastAsia="宋体" w:cs="Times New Roman"/>
                <w:color w:val="auto"/>
                <w:kern w:val="2"/>
                <w:szCs w:val="21"/>
                <w:highlight w:val="none"/>
              </w:rPr>
            </w:pPr>
          </w:p>
        </w:tc>
        <w:tc>
          <w:tcPr>
            <w:tcW w:w="628"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DD92DFB">
            <w:pPr>
              <w:snapToGrid w:val="0"/>
              <w:jc w:val="center"/>
              <w:rPr>
                <w:rFonts w:hint="default" w:ascii="Times New Roman" w:hAnsi="Times New Roman" w:eastAsia="宋体" w:cs="Times New Roman"/>
                <w:color w:val="auto"/>
                <w:kern w:val="2"/>
                <w:szCs w:val="21"/>
                <w:highlight w:val="none"/>
              </w:rPr>
            </w:pPr>
          </w:p>
        </w:tc>
        <w:tc>
          <w:tcPr>
            <w:tcW w:w="628"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A34DADF">
            <w:pPr>
              <w:snapToGrid w:val="0"/>
              <w:jc w:val="center"/>
              <w:rPr>
                <w:rFonts w:hint="default" w:ascii="Times New Roman" w:hAnsi="Times New Roman" w:eastAsia="宋体" w:cs="Times New Roman"/>
                <w:color w:val="auto"/>
                <w:kern w:val="2"/>
                <w:szCs w:val="21"/>
                <w:highlight w:val="none"/>
              </w:rPr>
            </w:pPr>
          </w:p>
        </w:tc>
        <w:tc>
          <w:tcPr>
            <w:tcW w:w="629"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E8EDB0E">
            <w:pPr>
              <w:snapToGrid w:val="0"/>
              <w:jc w:val="center"/>
              <w:rPr>
                <w:rFonts w:hint="default" w:ascii="Times New Roman" w:hAnsi="Times New Roman" w:eastAsia="宋体" w:cs="Times New Roman"/>
                <w:color w:val="auto"/>
                <w:kern w:val="2"/>
                <w:szCs w:val="21"/>
                <w:highlight w:val="none"/>
              </w:rPr>
            </w:pPr>
          </w:p>
        </w:tc>
        <w:tc>
          <w:tcPr>
            <w:tcW w:w="629"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0A1CE8D">
            <w:pPr>
              <w:snapToGrid w:val="0"/>
              <w:jc w:val="center"/>
              <w:rPr>
                <w:rFonts w:hint="default" w:ascii="Times New Roman" w:hAnsi="Times New Roman" w:eastAsia="宋体" w:cs="Times New Roman"/>
                <w:color w:val="auto"/>
                <w:kern w:val="2"/>
                <w:szCs w:val="21"/>
                <w:highlight w:val="none"/>
              </w:rPr>
            </w:pPr>
          </w:p>
        </w:tc>
        <w:tc>
          <w:tcPr>
            <w:tcW w:w="866" w:type="dxa"/>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40087B4">
            <w:pPr>
              <w:snapToGrid w:val="0"/>
              <w:jc w:val="center"/>
              <w:rPr>
                <w:rFonts w:hint="default" w:ascii="Times New Roman" w:hAnsi="Times New Roman" w:eastAsia="宋体" w:cs="Times New Roman"/>
                <w:color w:val="auto"/>
                <w:kern w:val="2"/>
                <w:szCs w:val="21"/>
                <w:highlight w:val="none"/>
              </w:rPr>
            </w:pPr>
          </w:p>
        </w:tc>
      </w:tr>
      <w:tr w14:paraId="7C96B9F7">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04"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145B2A54">
            <w:pPr>
              <w:widowControl/>
              <w:snapToGrid w:val="0"/>
              <w:jc w:val="left"/>
              <w:rPr>
                <w:rFonts w:hint="default" w:ascii="Times New Roman" w:hAnsi="Times New Roman" w:eastAsia="宋体" w:cs="Times New Roman"/>
                <w:color w:val="auto"/>
                <w:kern w:val="2"/>
                <w:szCs w:val="21"/>
                <w:highlight w:val="none"/>
              </w:rPr>
            </w:pPr>
          </w:p>
        </w:tc>
        <w:tc>
          <w:tcPr>
            <w:tcW w:w="1277"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19C9D4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环境敏感性</w:t>
            </w:r>
          </w:p>
        </w:tc>
        <w:tc>
          <w:tcPr>
            <w:tcW w:w="1276"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924E02C">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大气</w:t>
            </w:r>
          </w:p>
        </w:tc>
        <w:tc>
          <w:tcPr>
            <w:tcW w:w="3347" w:type="dxa"/>
            <w:gridSpan w:val="10"/>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917869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500m范围内人口数</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u w:val="single"/>
                <w:lang w:val="en-US" w:eastAsia="zh-CN"/>
              </w:rPr>
              <w:t xml:space="preserve">0 </w:t>
            </w:r>
            <w:r>
              <w:rPr>
                <w:rFonts w:hint="default" w:ascii="Times New Roman" w:hAnsi="Times New Roman" w:eastAsia="宋体" w:cs="Times New Roman"/>
                <w:color w:val="auto"/>
                <w:kern w:val="0"/>
                <w:szCs w:val="21"/>
                <w:highlight w:val="none"/>
              </w:rPr>
              <w:t>人</w:t>
            </w:r>
          </w:p>
        </w:tc>
        <w:tc>
          <w:tcPr>
            <w:tcW w:w="2752" w:type="dxa"/>
            <w:gridSpan w:val="8"/>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1FD9318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5km范围内人口数</w:t>
            </w:r>
            <w:r>
              <w:rPr>
                <w:rFonts w:hint="default" w:ascii="Times New Roman" w:hAnsi="Times New Roman" w:eastAsia="宋体" w:cs="Times New Roman"/>
                <w:color w:val="auto"/>
                <w:kern w:val="0"/>
                <w:szCs w:val="21"/>
                <w:highlight w:val="none"/>
                <w:u w:val="single"/>
                <w:lang w:val="en-US" w:eastAsia="zh-CN"/>
              </w:rPr>
              <w:t>4100</w:t>
            </w:r>
            <w:r>
              <w:rPr>
                <w:rFonts w:hint="default" w:ascii="Times New Roman" w:hAnsi="Times New Roman" w:eastAsia="宋体" w:cs="Times New Roman"/>
                <w:color w:val="auto"/>
                <w:kern w:val="0"/>
                <w:szCs w:val="21"/>
                <w:highlight w:val="none"/>
              </w:rPr>
              <w:t>人</w:t>
            </w:r>
          </w:p>
        </w:tc>
      </w:tr>
      <w:tr w14:paraId="14085E57">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04"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3EDD3903">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F2021B5">
            <w:pPr>
              <w:widowControl/>
              <w:snapToGrid w:val="0"/>
              <w:jc w:val="left"/>
              <w:rPr>
                <w:rFonts w:hint="default" w:ascii="Times New Roman" w:hAnsi="Times New Roman" w:eastAsia="宋体" w:cs="Times New Roman"/>
                <w:color w:val="auto"/>
                <w:kern w:val="2"/>
                <w:szCs w:val="21"/>
                <w:highlight w:val="none"/>
              </w:rPr>
            </w:pPr>
          </w:p>
        </w:tc>
        <w:tc>
          <w:tcPr>
            <w:tcW w:w="1276"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9EC0814">
            <w:pPr>
              <w:widowControl/>
              <w:snapToGrid w:val="0"/>
              <w:jc w:val="left"/>
              <w:rPr>
                <w:rFonts w:hint="default" w:ascii="Times New Roman" w:hAnsi="Times New Roman" w:eastAsia="宋体" w:cs="Times New Roman"/>
                <w:color w:val="auto"/>
                <w:kern w:val="2"/>
                <w:szCs w:val="21"/>
                <w:highlight w:val="none"/>
              </w:rPr>
            </w:pPr>
          </w:p>
        </w:tc>
        <w:tc>
          <w:tcPr>
            <w:tcW w:w="4604" w:type="dxa"/>
            <w:gridSpan w:val="1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219CBA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每公里管段周边200m范围内人口数（最大）</w:t>
            </w:r>
          </w:p>
        </w:tc>
        <w:tc>
          <w:tcPr>
            <w:tcW w:w="14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040C234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人</w:t>
            </w:r>
          </w:p>
        </w:tc>
      </w:tr>
      <w:tr w14:paraId="40B4B675">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297"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061D5194">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07D2EA8">
            <w:pPr>
              <w:widowControl/>
              <w:snapToGrid w:val="0"/>
              <w:jc w:val="left"/>
              <w:rPr>
                <w:rFonts w:hint="default" w:ascii="Times New Roman" w:hAnsi="Times New Roman" w:eastAsia="宋体" w:cs="Times New Roman"/>
                <w:color w:val="auto"/>
                <w:kern w:val="2"/>
                <w:szCs w:val="21"/>
                <w:highlight w:val="none"/>
              </w:rPr>
            </w:pPr>
          </w:p>
        </w:tc>
        <w:tc>
          <w:tcPr>
            <w:tcW w:w="1276"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17684AA">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地表水</w:t>
            </w: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F1DA1A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地表水功能敏感性</w:t>
            </w:r>
          </w:p>
        </w:tc>
        <w:tc>
          <w:tcPr>
            <w:tcW w:w="1363"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F75F0C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F1□</w:t>
            </w:r>
          </w:p>
        </w:tc>
        <w:tc>
          <w:tcPr>
            <w:tcW w:w="1257"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8313E2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F2□</w:t>
            </w:r>
          </w:p>
        </w:tc>
        <w:tc>
          <w:tcPr>
            <w:tcW w:w="14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1D698E6A">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F3□</w:t>
            </w:r>
          </w:p>
        </w:tc>
      </w:tr>
      <w:tr w14:paraId="5C939BDF">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04"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155C1B2C">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955216F">
            <w:pPr>
              <w:widowControl/>
              <w:snapToGrid w:val="0"/>
              <w:jc w:val="left"/>
              <w:rPr>
                <w:rFonts w:hint="default" w:ascii="Times New Roman" w:hAnsi="Times New Roman" w:eastAsia="宋体" w:cs="Times New Roman"/>
                <w:color w:val="auto"/>
                <w:kern w:val="2"/>
                <w:szCs w:val="21"/>
                <w:highlight w:val="none"/>
              </w:rPr>
            </w:pPr>
          </w:p>
        </w:tc>
        <w:tc>
          <w:tcPr>
            <w:tcW w:w="1276"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BF59B22">
            <w:pPr>
              <w:widowControl/>
              <w:snapToGrid w:val="0"/>
              <w:jc w:val="left"/>
              <w:rPr>
                <w:rFonts w:hint="default" w:ascii="Times New Roman" w:hAnsi="Times New Roman" w:eastAsia="宋体" w:cs="Times New Roman"/>
                <w:color w:val="auto"/>
                <w:kern w:val="2"/>
                <w:szCs w:val="21"/>
                <w:highlight w:val="none"/>
              </w:rPr>
            </w:pP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53B990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环境敏感目标分级</w:t>
            </w:r>
          </w:p>
        </w:tc>
        <w:tc>
          <w:tcPr>
            <w:tcW w:w="1363"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8051E3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S1□</w:t>
            </w:r>
          </w:p>
        </w:tc>
        <w:tc>
          <w:tcPr>
            <w:tcW w:w="1257"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E22089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S2□</w:t>
            </w:r>
          </w:p>
        </w:tc>
        <w:tc>
          <w:tcPr>
            <w:tcW w:w="14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2B0295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S3□</w:t>
            </w:r>
          </w:p>
        </w:tc>
      </w:tr>
      <w:tr w14:paraId="41206A6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5519F460">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3E24912">
            <w:pPr>
              <w:widowControl/>
              <w:snapToGrid w:val="0"/>
              <w:jc w:val="left"/>
              <w:rPr>
                <w:rFonts w:hint="default" w:ascii="Times New Roman" w:hAnsi="Times New Roman" w:eastAsia="宋体" w:cs="Times New Roman"/>
                <w:color w:val="auto"/>
                <w:kern w:val="2"/>
                <w:szCs w:val="21"/>
                <w:highlight w:val="none"/>
              </w:rPr>
            </w:pPr>
          </w:p>
        </w:tc>
        <w:tc>
          <w:tcPr>
            <w:tcW w:w="1276"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9436CB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地下水</w:t>
            </w: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287ED3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地下水功能敏感性</w:t>
            </w:r>
          </w:p>
        </w:tc>
        <w:tc>
          <w:tcPr>
            <w:tcW w:w="1363"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87C2A8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G1□</w:t>
            </w:r>
          </w:p>
        </w:tc>
        <w:tc>
          <w:tcPr>
            <w:tcW w:w="1257"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9C3ECF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G2□</w:t>
            </w:r>
          </w:p>
        </w:tc>
        <w:tc>
          <w:tcPr>
            <w:tcW w:w="14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0BD9681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G3□</w:t>
            </w:r>
          </w:p>
        </w:tc>
      </w:tr>
      <w:tr w14:paraId="3083DE2B">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3BD4AE67">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952DC79">
            <w:pPr>
              <w:widowControl/>
              <w:snapToGrid w:val="0"/>
              <w:jc w:val="left"/>
              <w:rPr>
                <w:rFonts w:hint="default" w:ascii="Times New Roman" w:hAnsi="Times New Roman" w:eastAsia="宋体" w:cs="Times New Roman"/>
                <w:color w:val="auto"/>
                <w:kern w:val="2"/>
                <w:szCs w:val="21"/>
                <w:highlight w:val="none"/>
              </w:rPr>
            </w:pPr>
          </w:p>
        </w:tc>
        <w:tc>
          <w:tcPr>
            <w:tcW w:w="1276"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67D51C0">
            <w:pPr>
              <w:widowControl/>
              <w:snapToGrid w:val="0"/>
              <w:jc w:val="left"/>
              <w:rPr>
                <w:rFonts w:hint="default" w:ascii="Times New Roman" w:hAnsi="Times New Roman" w:eastAsia="宋体" w:cs="Times New Roman"/>
                <w:color w:val="auto"/>
                <w:kern w:val="2"/>
                <w:szCs w:val="21"/>
                <w:highlight w:val="none"/>
              </w:rPr>
            </w:pP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FC88C5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包气带防污性能</w:t>
            </w:r>
          </w:p>
        </w:tc>
        <w:tc>
          <w:tcPr>
            <w:tcW w:w="1363"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133380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D1□</w:t>
            </w:r>
          </w:p>
        </w:tc>
        <w:tc>
          <w:tcPr>
            <w:tcW w:w="1257"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4EA8E7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D2□</w:t>
            </w:r>
          </w:p>
        </w:tc>
        <w:tc>
          <w:tcPr>
            <w:tcW w:w="14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952186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D2□</w:t>
            </w:r>
          </w:p>
        </w:tc>
      </w:tr>
      <w:tr w14:paraId="20384841">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546" w:hRule="atLeast"/>
        </w:trPr>
        <w:tc>
          <w:tcPr>
            <w:tcW w:w="1704" w:type="dxa"/>
            <w:gridSpan w:val="2"/>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5DEAC31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物质及工艺系统危险性</w:t>
            </w:r>
          </w:p>
        </w:tc>
        <w:tc>
          <w:tcPr>
            <w:tcW w:w="1276"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BEC1DF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Q值</w:t>
            </w: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701CFD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Q＜1√</w:t>
            </w:r>
          </w:p>
        </w:tc>
        <w:tc>
          <w:tcPr>
            <w:tcW w:w="1363"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B77C3D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1≤Q＜10□</w:t>
            </w:r>
          </w:p>
        </w:tc>
        <w:tc>
          <w:tcPr>
            <w:tcW w:w="1257"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762422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10≤Q＜100□</w:t>
            </w:r>
          </w:p>
        </w:tc>
        <w:tc>
          <w:tcPr>
            <w:tcW w:w="14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23753D2">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Q＞100□</w:t>
            </w:r>
          </w:p>
        </w:tc>
      </w:tr>
      <w:tr w14:paraId="41CA1912">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1704"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0DFAA7D4">
            <w:pPr>
              <w:widowControl/>
              <w:snapToGrid w:val="0"/>
              <w:jc w:val="left"/>
              <w:rPr>
                <w:rFonts w:hint="default" w:ascii="Times New Roman" w:hAnsi="Times New Roman" w:eastAsia="宋体" w:cs="Times New Roman"/>
                <w:color w:val="auto"/>
                <w:kern w:val="2"/>
                <w:szCs w:val="21"/>
                <w:highlight w:val="none"/>
              </w:rPr>
            </w:pPr>
          </w:p>
        </w:tc>
        <w:tc>
          <w:tcPr>
            <w:tcW w:w="1276"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5E2F7C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M值</w:t>
            </w: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4ED1AE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M1□</w:t>
            </w:r>
          </w:p>
        </w:tc>
        <w:tc>
          <w:tcPr>
            <w:tcW w:w="1363"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9EDB97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M2□</w:t>
            </w:r>
          </w:p>
        </w:tc>
        <w:tc>
          <w:tcPr>
            <w:tcW w:w="1257"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329219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M3□</w:t>
            </w:r>
          </w:p>
        </w:tc>
        <w:tc>
          <w:tcPr>
            <w:tcW w:w="14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1DD84EC">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M4□</w:t>
            </w:r>
          </w:p>
        </w:tc>
      </w:tr>
      <w:tr w14:paraId="684F2273">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1704"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79523D4">
            <w:pPr>
              <w:widowControl/>
              <w:snapToGrid w:val="0"/>
              <w:jc w:val="left"/>
              <w:rPr>
                <w:rFonts w:hint="default" w:ascii="Times New Roman" w:hAnsi="Times New Roman" w:eastAsia="宋体" w:cs="Times New Roman"/>
                <w:color w:val="auto"/>
                <w:kern w:val="2"/>
                <w:szCs w:val="21"/>
                <w:highlight w:val="none"/>
              </w:rPr>
            </w:pPr>
          </w:p>
        </w:tc>
        <w:tc>
          <w:tcPr>
            <w:tcW w:w="1276"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86D200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P值</w:t>
            </w: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34F723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P1□</w:t>
            </w:r>
          </w:p>
        </w:tc>
        <w:tc>
          <w:tcPr>
            <w:tcW w:w="1363"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7A3FDF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P2□</w:t>
            </w:r>
          </w:p>
        </w:tc>
        <w:tc>
          <w:tcPr>
            <w:tcW w:w="1257"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C19278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P3□</w:t>
            </w:r>
          </w:p>
        </w:tc>
        <w:tc>
          <w:tcPr>
            <w:tcW w:w="1495" w:type="dxa"/>
            <w:gridSpan w:val="2"/>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3FB8D7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P4□</w:t>
            </w:r>
          </w:p>
        </w:tc>
      </w:tr>
      <w:tr w14:paraId="0BE335D0">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1704" w:type="dxa"/>
            <w:gridSpan w:val="2"/>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81CE41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环境敏感程度</w:t>
            </w:r>
          </w:p>
        </w:tc>
        <w:tc>
          <w:tcPr>
            <w:tcW w:w="1276"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26E0EED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大气</w:t>
            </w: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2F0BB2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E1□</w:t>
            </w:r>
          </w:p>
        </w:tc>
        <w:tc>
          <w:tcPr>
            <w:tcW w:w="1940"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5C46FF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E2□</w:t>
            </w:r>
          </w:p>
        </w:tc>
        <w:tc>
          <w:tcPr>
            <w:tcW w:w="2175" w:type="dxa"/>
            <w:gridSpan w:val="6"/>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8DF2C8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E3□</w:t>
            </w:r>
          </w:p>
        </w:tc>
      </w:tr>
      <w:tr w14:paraId="4B22B6A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1704"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F09FE19">
            <w:pPr>
              <w:widowControl/>
              <w:snapToGrid w:val="0"/>
              <w:jc w:val="left"/>
              <w:rPr>
                <w:rFonts w:hint="default" w:ascii="Times New Roman" w:hAnsi="Times New Roman" w:eastAsia="宋体" w:cs="Times New Roman"/>
                <w:color w:val="auto"/>
                <w:kern w:val="2"/>
                <w:szCs w:val="21"/>
                <w:highlight w:val="none"/>
              </w:rPr>
            </w:pPr>
          </w:p>
        </w:tc>
        <w:tc>
          <w:tcPr>
            <w:tcW w:w="1276"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2F24A30">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地表水</w:t>
            </w: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232216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E1□</w:t>
            </w:r>
          </w:p>
        </w:tc>
        <w:tc>
          <w:tcPr>
            <w:tcW w:w="1940"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D1789A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E2□</w:t>
            </w:r>
          </w:p>
        </w:tc>
        <w:tc>
          <w:tcPr>
            <w:tcW w:w="2175" w:type="dxa"/>
            <w:gridSpan w:val="6"/>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54C5902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E3□</w:t>
            </w:r>
          </w:p>
        </w:tc>
      </w:tr>
      <w:tr w14:paraId="176709D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1704" w:type="dxa"/>
            <w:gridSpan w:val="2"/>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347F538">
            <w:pPr>
              <w:widowControl/>
              <w:snapToGrid w:val="0"/>
              <w:jc w:val="left"/>
              <w:rPr>
                <w:rFonts w:hint="default" w:ascii="Times New Roman" w:hAnsi="Times New Roman" w:eastAsia="宋体" w:cs="Times New Roman"/>
                <w:color w:val="auto"/>
                <w:kern w:val="2"/>
                <w:szCs w:val="21"/>
                <w:highlight w:val="none"/>
              </w:rPr>
            </w:pPr>
          </w:p>
        </w:tc>
        <w:tc>
          <w:tcPr>
            <w:tcW w:w="1276"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DD5F57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地下水</w:t>
            </w:r>
          </w:p>
        </w:tc>
        <w:tc>
          <w:tcPr>
            <w:tcW w:w="1984"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FD1214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E1□</w:t>
            </w:r>
          </w:p>
        </w:tc>
        <w:tc>
          <w:tcPr>
            <w:tcW w:w="1940"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0D1511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E2□</w:t>
            </w:r>
          </w:p>
        </w:tc>
        <w:tc>
          <w:tcPr>
            <w:tcW w:w="2175" w:type="dxa"/>
            <w:gridSpan w:val="6"/>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890E2D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E3□</w:t>
            </w:r>
          </w:p>
        </w:tc>
      </w:tr>
      <w:tr w14:paraId="0B1C9409">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1704" w:type="dxa"/>
            <w:gridSpan w:val="2"/>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86F19A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环境风险潜势</w:t>
            </w:r>
          </w:p>
        </w:tc>
        <w:tc>
          <w:tcPr>
            <w:tcW w:w="1427"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7DE599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Ⅳ</w:t>
            </w:r>
            <w:r>
              <w:rPr>
                <w:rFonts w:hint="default" w:ascii="Times New Roman" w:hAnsi="Times New Roman" w:eastAsia="宋体" w:cs="Times New Roman"/>
                <w:color w:val="auto"/>
                <w:kern w:val="0"/>
                <w:szCs w:val="21"/>
                <w:highlight w:val="none"/>
                <w:vertAlign w:val="superscript"/>
              </w:rPr>
              <w:t>+</w:t>
            </w:r>
            <w:r>
              <w:rPr>
                <w:rFonts w:hint="default" w:ascii="Times New Roman" w:hAnsi="Times New Roman" w:eastAsia="宋体" w:cs="Times New Roman"/>
                <w:color w:val="auto"/>
                <w:kern w:val="0"/>
                <w:szCs w:val="21"/>
                <w:highlight w:val="none"/>
              </w:rPr>
              <w:t>□</w:t>
            </w:r>
          </w:p>
        </w:tc>
        <w:tc>
          <w:tcPr>
            <w:tcW w:w="1428"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C5A361C">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Ⅳ□</w:t>
            </w:r>
          </w:p>
        </w:tc>
        <w:tc>
          <w:tcPr>
            <w:tcW w:w="1427"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BE14633">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Ⅲ□</w:t>
            </w:r>
          </w:p>
        </w:tc>
        <w:tc>
          <w:tcPr>
            <w:tcW w:w="1428"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750C50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Ⅱ□</w:t>
            </w:r>
          </w:p>
        </w:tc>
        <w:tc>
          <w:tcPr>
            <w:tcW w:w="1665" w:type="dxa"/>
            <w:gridSpan w:val="3"/>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04FA6BD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Ⅰ√</w:t>
            </w:r>
          </w:p>
        </w:tc>
      </w:tr>
      <w:tr w14:paraId="4706945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1704" w:type="dxa"/>
            <w:gridSpan w:val="2"/>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4A18A20">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评价等级</w:t>
            </w:r>
          </w:p>
        </w:tc>
        <w:tc>
          <w:tcPr>
            <w:tcW w:w="2855"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0111A2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一级□</w:t>
            </w:r>
          </w:p>
        </w:tc>
        <w:tc>
          <w:tcPr>
            <w:tcW w:w="1427"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B407C9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二级□</w:t>
            </w:r>
          </w:p>
        </w:tc>
        <w:tc>
          <w:tcPr>
            <w:tcW w:w="1428" w:type="dxa"/>
            <w:gridSpan w:val="6"/>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2CB3DE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三级□</w:t>
            </w:r>
          </w:p>
        </w:tc>
        <w:tc>
          <w:tcPr>
            <w:tcW w:w="1665" w:type="dxa"/>
            <w:gridSpan w:val="3"/>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13A42D5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简单分析√</w:t>
            </w:r>
          </w:p>
        </w:tc>
      </w:tr>
      <w:tr w14:paraId="0115223D">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25450F2A">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风险识别</w:t>
            </w:r>
          </w:p>
        </w:tc>
        <w:tc>
          <w:tcPr>
            <w:tcW w:w="1277"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9A7212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物质危险性</w:t>
            </w:r>
          </w:p>
        </w:tc>
        <w:tc>
          <w:tcPr>
            <w:tcW w:w="3570" w:type="dxa"/>
            <w:gridSpan w:val="8"/>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8B93D1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有毒有害√</w:t>
            </w:r>
          </w:p>
        </w:tc>
        <w:tc>
          <w:tcPr>
            <w:tcW w:w="3805" w:type="dxa"/>
            <w:gridSpan w:val="11"/>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5B500D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易燃易爆□</w:t>
            </w:r>
          </w:p>
        </w:tc>
      </w:tr>
      <w:tr w14:paraId="477600A1">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578"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738B7BFA">
            <w:pPr>
              <w:widowControl/>
              <w:snapToGrid w:val="0"/>
              <w:jc w:val="left"/>
              <w:rPr>
                <w:rFonts w:hint="default" w:ascii="Times New Roman" w:hAnsi="Times New Roman" w:eastAsia="宋体" w:cs="Times New Roman"/>
                <w:color w:val="auto"/>
                <w:kern w:val="2"/>
                <w:szCs w:val="21"/>
                <w:highlight w:val="none"/>
              </w:rPr>
            </w:pPr>
          </w:p>
        </w:tc>
        <w:tc>
          <w:tcPr>
            <w:tcW w:w="1277"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E45391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环境风险类型</w:t>
            </w:r>
          </w:p>
        </w:tc>
        <w:tc>
          <w:tcPr>
            <w:tcW w:w="3570" w:type="dxa"/>
            <w:gridSpan w:val="8"/>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A1D3AE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泄漏□</w:t>
            </w:r>
          </w:p>
        </w:tc>
        <w:tc>
          <w:tcPr>
            <w:tcW w:w="3805" w:type="dxa"/>
            <w:gridSpan w:val="11"/>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0204CDAA">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火灾、爆炸引发伴生/次生污染物排放□</w:t>
            </w:r>
          </w:p>
        </w:tc>
      </w:tr>
      <w:tr w14:paraId="042BFEBE">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6614F7A6">
            <w:pPr>
              <w:widowControl/>
              <w:snapToGrid w:val="0"/>
              <w:jc w:val="left"/>
              <w:rPr>
                <w:rFonts w:hint="default" w:ascii="Times New Roman" w:hAnsi="Times New Roman" w:eastAsia="宋体" w:cs="Times New Roman"/>
                <w:color w:val="auto"/>
                <w:kern w:val="2"/>
                <w:szCs w:val="21"/>
                <w:highlight w:val="none"/>
              </w:rPr>
            </w:pPr>
          </w:p>
        </w:tc>
        <w:tc>
          <w:tcPr>
            <w:tcW w:w="1277"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DFEB8BA">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影响途径</w:t>
            </w:r>
          </w:p>
        </w:tc>
        <w:tc>
          <w:tcPr>
            <w:tcW w:w="2380" w:type="dxa"/>
            <w:gridSpan w:val="4"/>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1C6CAB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大气√</w:t>
            </w:r>
          </w:p>
        </w:tc>
        <w:tc>
          <w:tcPr>
            <w:tcW w:w="2380" w:type="dxa"/>
            <w:gridSpan w:val="8"/>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8CE470D">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地表水□</w:t>
            </w:r>
          </w:p>
        </w:tc>
        <w:tc>
          <w:tcPr>
            <w:tcW w:w="2615" w:type="dxa"/>
            <w:gridSpan w:val="7"/>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3F26093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地下水□</w:t>
            </w:r>
          </w:p>
        </w:tc>
      </w:tr>
      <w:tr w14:paraId="2D3DE8B9">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1704" w:type="dxa"/>
            <w:gridSpan w:val="2"/>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348DA871">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事故情形分析</w:t>
            </w:r>
          </w:p>
        </w:tc>
        <w:tc>
          <w:tcPr>
            <w:tcW w:w="1784"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3C627CC5">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源强设定方法</w:t>
            </w:r>
          </w:p>
        </w:tc>
        <w:tc>
          <w:tcPr>
            <w:tcW w:w="1786" w:type="dxa"/>
            <w:gridSpan w:val="5"/>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BE7E5E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计算法□</w:t>
            </w:r>
          </w:p>
        </w:tc>
        <w:tc>
          <w:tcPr>
            <w:tcW w:w="1784" w:type="dxa"/>
            <w:gridSpan w:val="7"/>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A56A129">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经验估算法□</w:t>
            </w:r>
          </w:p>
        </w:tc>
        <w:tc>
          <w:tcPr>
            <w:tcW w:w="2021"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C8B128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其他估算法□</w:t>
            </w:r>
          </w:p>
        </w:tc>
      </w:tr>
      <w:tr w14:paraId="10C3A5D4">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restart"/>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0EDE0AB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风险预测与评价</w:t>
            </w:r>
          </w:p>
        </w:tc>
        <w:tc>
          <w:tcPr>
            <w:tcW w:w="1277"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3B0EC74">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大气</w:t>
            </w:r>
          </w:p>
        </w:tc>
        <w:tc>
          <w:tcPr>
            <w:tcW w:w="1784"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9831BA8">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预测模型</w:t>
            </w:r>
          </w:p>
        </w:tc>
        <w:tc>
          <w:tcPr>
            <w:tcW w:w="1786" w:type="dxa"/>
            <w:gridSpan w:val="5"/>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91211C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SLAB□</w:t>
            </w:r>
          </w:p>
        </w:tc>
        <w:tc>
          <w:tcPr>
            <w:tcW w:w="1784" w:type="dxa"/>
            <w:gridSpan w:val="7"/>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44D1267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AFTOX□</w:t>
            </w:r>
          </w:p>
        </w:tc>
        <w:tc>
          <w:tcPr>
            <w:tcW w:w="2021" w:type="dxa"/>
            <w:gridSpan w:val="4"/>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7697619A">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其他□</w:t>
            </w:r>
          </w:p>
        </w:tc>
      </w:tr>
      <w:tr w14:paraId="61AA768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1376D3C2">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65627191">
            <w:pPr>
              <w:widowControl/>
              <w:snapToGrid w:val="0"/>
              <w:jc w:val="left"/>
              <w:rPr>
                <w:rFonts w:hint="default" w:ascii="Times New Roman" w:hAnsi="Times New Roman" w:eastAsia="宋体" w:cs="Times New Roman"/>
                <w:color w:val="auto"/>
                <w:kern w:val="2"/>
                <w:szCs w:val="21"/>
                <w:highlight w:val="none"/>
              </w:rPr>
            </w:pPr>
          </w:p>
        </w:tc>
        <w:tc>
          <w:tcPr>
            <w:tcW w:w="1784" w:type="dxa"/>
            <w:gridSpan w:val="3"/>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AE174A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预测结果</w:t>
            </w:r>
          </w:p>
        </w:tc>
        <w:tc>
          <w:tcPr>
            <w:tcW w:w="5591" w:type="dxa"/>
            <w:gridSpan w:val="16"/>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53AE4D4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大气毒性终点浓度-1 最大影响范围</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m</w:t>
            </w:r>
          </w:p>
        </w:tc>
      </w:tr>
      <w:tr w14:paraId="34C9B9CC">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13E9057E">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7FB8988D">
            <w:pPr>
              <w:widowControl/>
              <w:snapToGrid w:val="0"/>
              <w:jc w:val="left"/>
              <w:rPr>
                <w:rFonts w:hint="default" w:ascii="Times New Roman" w:hAnsi="Times New Roman" w:eastAsia="宋体" w:cs="Times New Roman"/>
                <w:color w:val="auto"/>
                <w:kern w:val="2"/>
                <w:szCs w:val="21"/>
                <w:highlight w:val="none"/>
              </w:rPr>
            </w:pPr>
          </w:p>
        </w:tc>
        <w:tc>
          <w:tcPr>
            <w:tcW w:w="1784" w:type="dxa"/>
            <w:gridSpan w:val="3"/>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59D7986F">
            <w:pPr>
              <w:widowControl/>
              <w:snapToGrid w:val="0"/>
              <w:jc w:val="left"/>
              <w:rPr>
                <w:rFonts w:hint="default" w:ascii="Times New Roman" w:hAnsi="Times New Roman" w:eastAsia="宋体" w:cs="Times New Roman"/>
                <w:color w:val="auto"/>
                <w:kern w:val="2"/>
                <w:szCs w:val="21"/>
                <w:highlight w:val="none"/>
              </w:rPr>
            </w:pPr>
          </w:p>
        </w:tc>
        <w:tc>
          <w:tcPr>
            <w:tcW w:w="5591" w:type="dxa"/>
            <w:gridSpan w:val="16"/>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60B22E3C">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大气毒性终点浓度-2 最大影响范围</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m</w:t>
            </w:r>
          </w:p>
        </w:tc>
      </w:tr>
      <w:tr w14:paraId="284DFA3A">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3E8E8532">
            <w:pPr>
              <w:widowControl/>
              <w:snapToGrid w:val="0"/>
              <w:jc w:val="left"/>
              <w:rPr>
                <w:rFonts w:hint="default" w:ascii="Times New Roman" w:hAnsi="Times New Roman" w:eastAsia="宋体" w:cs="Times New Roman"/>
                <w:color w:val="auto"/>
                <w:kern w:val="2"/>
                <w:szCs w:val="21"/>
                <w:highlight w:val="none"/>
              </w:rPr>
            </w:pPr>
          </w:p>
        </w:tc>
        <w:tc>
          <w:tcPr>
            <w:tcW w:w="1277" w:type="dxa"/>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1D631837">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地表水</w:t>
            </w:r>
          </w:p>
        </w:tc>
        <w:tc>
          <w:tcPr>
            <w:tcW w:w="7375" w:type="dxa"/>
            <w:gridSpan w:val="19"/>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73A03C56">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最近环境敏感目标</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，到达时间</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h</w:t>
            </w:r>
          </w:p>
        </w:tc>
      </w:tr>
      <w:tr w14:paraId="5ADB5A8F">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313"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52570268">
            <w:pPr>
              <w:widowControl/>
              <w:snapToGrid w:val="0"/>
              <w:jc w:val="left"/>
              <w:rPr>
                <w:rFonts w:hint="default" w:ascii="Times New Roman" w:hAnsi="Times New Roman" w:eastAsia="宋体" w:cs="Times New Roman"/>
                <w:color w:val="auto"/>
                <w:kern w:val="2"/>
                <w:szCs w:val="21"/>
                <w:highlight w:val="none"/>
              </w:rPr>
            </w:pPr>
          </w:p>
        </w:tc>
        <w:tc>
          <w:tcPr>
            <w:tcW w:w="1277"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908549B">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地下水</w:t>
            </w:r>
          </w:p>
        </w:tc>
        <w:tc>
          <w:tcPr>
            <w:tcW w:w="7375" w:type="dxa"/>
            <w:gridSpan w:val="19"/>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44A00C4E">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下游厂区边界到达时间</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h</w:t>
            </w:r>
          </w:p>
        </w:tc>
      </w:tr>
      <w:tr w14:paraId="08C4E06F">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420" w:hRule="atLeast"/>
        </w:trPr>
        <w:tc>
          <w:tcPr>
            <w:tcW w:w="427" w:type="dxa"/>
            <w:vMerge w:val="continue"/>
            <w:tcBorders>
              <w:top w:val="single" w:color="000000" w:themeColor="text1" w:sz="6" w:space="0"/>
              <w:left w:val="single" w:color="000000" w:themeColor="text1" w:sz="12" w:space="0"/>
              <w:bottom w:val="single" w:color="000000" w:themeColor="text1" w:sz="6" w:space="0"/>
              <w:right w:val="single" w:color="000000" w:themeColor="text1" w:sz="6" w:space="0"/>
            </w:tcBorders>
            <w:vAlign w:val="center"/>
          </w:tcPr>
          <w:p w14:paraId="5924D250">
            <w:pPr>
              <w:widowControl/>
              <w:snapToGrid w:val="0"/>
              <w:jc w:val="left"/>
              <w:rPr>
                <w:rFonts w:hint="default" w:ascii="Times New Roman" w:hAnsi="Times New Roman" w:eastAsia="宋体" w:cs="Times New Roman"/>
                <w:color w:val="auto"/>
                <w:kern w:val="2"/>
                <w:szCs w:val="21"/>
                <w:highlight w:val="none"/>
              </w:rPr>
            </w:pPr>
          </w:p>
        </w:tc>
        <w:tc>
          <w:tcPr>
            <w:tcW w:w="1277" w:type="dxa"/>
            <w:vMerge w:val="continue"/>
            <w:tcBorders>
              <w:top w:val="single" w:color="000000" w:themeColor="text1" w:sz="6" w:space="0"/>
              <w:left w:val="single" w:color="000000" w:themeColor="text1" w:sz="6" w:space="0"/>
              <w:bottom w:val="single" w:color="000000" w:themeColor="text1" w:sz="6" w:space="0"/>
              <w:right w:val="single" w:color="000000" w:themeColor="text1" w:sz="6" w:space="0"/>
            </w:tcBorders>
            <w:vAlign w:val="center"/>
          </w:tcPr>
          <w:p w14:paraId="014E0C30">
            <w:pPr>
              <w:widowControl/>
              <w:snapToGrid w:val="0"/>
              <w:jc w:val="left"/>
              <w:rPr>
                <w:rFonts w:hint="default" w:ascii="Times New Roman" w:hAnsi="Times New Roman" w:eastAsia="宋体" w:cs="Times New Roman"/>
                <w:color w:val="auto"/>
                <w:kern w:val="2"/>
                <w:szCs w:val="21"/>
                <w:highlight w:val="none"/>
              </w:rPr>
            </w:pPr>
          </w:p>
        </w:tc>
        <w:tc>
          <w:tcPr>
            <w:tcW w:w="7375" w:type="dxa"/>
            <w:gridSpan w:val="19"/>
            <w:tcBorders>
              <w:top w:val="single" w:color="000000" w:themeColor="text1" w:sz="6" w:space="0"/>
              <w:left w:val="single" w:color="000000" w:themeColor="text1" w:sz="6" w:space="0"/>
              <w:bottom w:val="single" w:color="000000" w:themeColor="text1" w:sz="6" w:space="0"/>
              <w:right w:val="single" w:color="000000" w:themeColor="text1" w:sz="12" w:space="0"/>
            </w:tcBorders>
            <w:vAlign w:val="center"/>
          </w:tcPr>
          <w:p w14:paraId="271CA220">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最近环境敏感目标</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，到达时间</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h</w:t>
            </w:r>
          </w:p>
        </w:tc>
      </w:tr>
      <w:tr w14:paraId="4A1AE032">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1324" w:hRule="atLeast"/>
        </w:trPr>
        <w:tc>
          <w:tcPr>
            <w:tcW w:w="1704" w:type="dxa"/>
            <w:gridSpan w:val="2"/>
            <w:tcBorders>
              <w:top w:val="single" w:color="000000" w:themeColor="text1" w:sz="6" w:space="0"/>
              <w:left w:val="single" w:color="000000" w:themeColor="text1" w:sz="12" w:space="0"/>
              <w:bottom w:val="single" w:color="000000" w:themeColor="text1" w:sz="12" w:space="0"/>
              <w:right w:val="single" w:color="000000" w:themeColor="text1" w:sz="6" w:space="0"/>
            </w:tcBorders>
            <w:vAlign w:val="center"/>
          </w:tcPr>
          <w:p w14:paraId="1FA4C87F">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重点风险防范措施</w:t>
            </w:r>
          </w:p>
        </w:tc>
        <w:tc>
          <w:tcPr>
            <w:tcW w:w="7375" w:type="dxa"/>
            <w:gridSpan w:val="19"/>
            <w:tcBorders>
              <w:top w:val="single" w:color="000000" w:themeColor="text1" w:sz="6" w:space="0"/>
              <w:left w:val="single" w:color="000000" w:themeColor="text1" w:sz="6" w:space="0"/>
              <w:bottom w:val="single" w:color="000000" w:themeColor="text1" w:sz="12" w:space="0"/>
              <w:right w:val="single" w:color="000000" w:themeColor="text1" w:sz="12" w:space="0"/>
            </w:tcBorders>
            <w:vAlign w:val="center"/>
          </w:tcPr>
          <w:p w14:paraId="26F92CFA">
            <w:pPr>
              <w:snapToGrid w:val="0"/>
              <w:spacing w:line="240" w:lineRule="auto"/>
              <w:ind w:firstLine="0" w:firstLineChars="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zh-CN" w:eastAsia="zh-CN"/>
              </w:rPr>
              <w:t>优化平面布局、加强安全防范措施、加强防疫防范措施、加强地下水防渗措施</w:t>
            </w:r>
          </w:p>
        </w:tc>
      </w:tr>
      <w:tr w14:paraId="5AD2AD35">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1444" w:hRule="atLeast"/>
        </w:trPr>
        <w:tc>
          <w:tcPr>
            <w:tcW w:w="1704" w:type="dxa"/>
            <w:gridSpan w:val="2"/>
            <w:tcBorders>
              <w:top w:val="single" w:color="000000" w:themeColor="text1" w:sz="12" w:space="0"/>
              <w:left w:val="single" w:color="000000" w:themeColor="text1" w:sz="12" w:space="0"/>
              <w:bottom w:val="single" w:color="000000" w:themeColor="text1" w:sz="2" w:space="0"/>
              <w:right w:val="single" w:color="000000" w:themeColor="text1" w:sz="6" w:space="0"/>
            </w:tcBorders>
            <w:vAlign w:val="center"/>
          </w:tcPr>
          <w:p w14:paraId="276FA46A">
            <w:pPr>
              <w:snapToGrid w:val="0"/>
              <w:jc w:val="center"/>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评价结论与建议</w:t>
            </w:r>
          </w:p>
        </w:tc>
        <w:tc>
          <w:tcPr>
            <w:tcW w:w="7375" w:type="dxa"/>
            <w:gridSpan w:val="19"/>
            <w:tcBorders>
              <w:top w:val="single" w:color="000000" w:themeColor="text1" w:sz="12" w:space="0"/>
              <w:left w:val="single" w:color="000000" w:themeColor="text1" w:sz="6" w:space="0"/>
              <w:bottom w:val="single" w:color="000000" w:themeColor="text1" w:sz="2" w:space="0"/>
              <w:right w:val="single" w:color="000000" w:themeColor="text1" w:sz="12" w:space="0"/>
            </w:tcBorders>
            <w:vAlign w:val="center"/>
          </w:tcPr>
          <w:p w14:paraId="482481A2">
            <w:pPr>
              <w:snapToGrid w:val="0"/>
              <w:jc w:val="left"/>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建设单位运营过程中应从多方面积极采取防范措施，制订突发环境事件应急预案，一旦发生环境风险事故，立即按应急预案提到的紧急处理、救援、监测方案等进行紧急救援，项目可以有效的防范风险事故发生或对事故的发生进行有效处置，项目发生的环境风险可以控制在较低水平。</w:t>
            </w:r>
          </w:p>
        </w:tc>
      </w:tr>
      <w:tr w14:paraId="2283075D">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415" w:hRule="atLeast"/>
        </w:trPr>
        <w:tc>
          <w:tcPr>
            <w:tcW w:w="9079" w:type="dxa"/>
            <w:gridSpan w:val="21"/>
            <w:tcBorders>
              <w:top w:val="single" w:color="000000" w:themeColor="text1" w:sz="2" w:space="0"/>
              <w:left w:val="single" w:color="000000" w:themeColor="text1" w:sz="12" w:space="0"/>
              <w:bottom w:val="single" w:color="000000" w:themeColor="text1" w:sz="12" w:space="0"/>
              <w:right w:val="single" w:color="000000" w:themeColor="text1" w:sz="12" w:space="0"/>
            </w:tcBorders>
            <w:vAlign w:val="center"/>
          </w:tcPr>
          <w:p w14:paraId="062C2D0F">
            <w:pPr>
              <w:snapToGrid w:val="0"/>
              <w:jc w:val="both"/>
              <w:rPr>
                <w:rFonts w:hint="default" w:ascii="Times New Roman" w:hAnsi="Times New Roman" w:eastAsia="宋体" w:cs="Times New Roman"/>
                <w:color w:val="auto"/>
                <w:kern w:val="2"/>
                <w:szCs w:val="21"/>
                <w:highlight w:val="none"/>
              </w:rPr>
            </w:pPr>
            <w:r>
              <w:rPr>
                <w:rFonts w:hint="default" w:ascii="Times New Roman" w:hAnsi="Times New Roman" w:eastAsia="宋体" w:cs="Times New Roman"/>
                <w:color w:val="auto"/>
                <w:kern w:val="0"/>
                <w:szCs w:val="21"/>
                <w:highlight w:val="none"/>
              </w:rPr>
              <w:t>住：“□”为勾选项，“</w:t>
            </w:r>
            <w:r>
              <w:rPr>
                <w:rFonts w:hint="default" w:ascii="Times New Roman" w:hAnsi="Times New Roman" w:eastAsia="宋体" w:cs="Times New Roman"/>
                <w:color w:val="auto"/>
                <w:kern w:val="0"/>
                <w:szCs w:val="21"/>
                <w:highlight w:val="none"/>
                <w:u w:val="single"/>
              </w:rPr>
              <w:t xml:space="preserve">   </w:t>
            </w:r>
            <w:r>
              <w:rPr>
                <w:rFonts w:hint="default" w:ascii="Times New Roman" w:hAnsi="Times New Roman" w:eastAsia="宋体" w:cs="Times New Roman"/>
                <w:color w:val="auto"/>
                <w:kern w:val="0"/>
                <w:szCs w:val="21"/>
                <w:highlight w:val="none"/>
              </w:rPr>
              <w:t>”为填写项。</w:t>
            </w:r>
          </w:p>
        </w:tc>
      </w:tr>
    </w:tbl>
    <w:p w14:paraId="54A9867B">
      <w:pPr>
        <w:jc w:val="left"/>
        <w:rPr>
          <w:rFonts w:hint="default" w:ascii="Times New Roman" w:hAnsi="Times New Roman" w:eastAsia="宋体" w:cs="Times New Roman"/>
          <w:b/>
          <w:color w:val="auto"/>
          <w:sz w:val="24"/>
          <w:highlight w:val="none"/>
          <w:lang w:val="en-US" w:eastAsia="zh-CN"/>
        </w:rPr>
      </w:pPr>
    </w:p>
    <w:p w14:paraId="0BB3894F">
      <w:pPr>
        <w:jc w:val="left"/>
        <w:rPr>
          <w:rFonts w:hint="default" w:ascii="Times New Roman" w:hAnsi="Times New Roman" w:eastAsia="宋体" w:cs="Times New Roman"/>
          <w:b/>
          <w:color w:val="auto"/>
          <w:sz w:val="24"/>
          <w:highlight w:val="none"/>
          <w:lang w:val="en-US" w:eastAsia="zh-CN"/>
        </w:rPr>
      </w:pPr>
    </w:p>
    <w:p w14:paraId="3CCE78F9">
      <w:pPr>
        <w:jc w:val="left"/>
        <w:rPr>
          <w:rFonts w:hint="default" w:ascii="Times New Roman" w:hAnsi="Times New Roman" w:eastAsia="宋体" w:cs="Times New Roman"/>
          <w:b/>
          <w:color w:val="auto"/>
          <w:sz w:val="24"/>
          <w:highlight w:val="none"/>
          <w:lang w:val="en-US" w:eastAsia="zh-CN"/>
        </w:rPr>
      </w:pPr>
    </w:p>
    <w:p w14:paraId="488E91B8">
      <w:pPr>
        <w:jc w:val="left"/>
        <w:outlineLvl w:val="1"/>
        <w:rPr>
          <w:rFonts w:hint="default" w:ascii="Times New Roman" w:hAnsi="Times New Roman" w:eastAsia="宋体" w:cs="Times New Roman"/>
          <w:b/>
          <w:color w:val="auto"/>
          <w:sz w:val="24"/>
          <w:highlight w:val="none"/>
        </w:rPr>
      </w:pPr>
      <w:bookmarkStart w:id="302" w:name="_Toc2442"/>
      <w:r>
        <w:rPr>
          <w:rFonts w:hint="default" w:ascii="Times New Roman" w:hAnsi="Times New Roman" w:eastAsia="宋体" w:cs="Times New Roman"/>
          <w:b/>
          <w:color w:val="auto"/>
          <w:sz w:val="24"/>
          <w:highlight w:val="none"/>
          <w:lang w:val="en-US" w:eastAsia="zh-CN"/>
        </w:rPr>
        <w:t>附表5：建设项目</w:t>
      </w:r>
      <w:r>
        <w:rPr>
          <w:rFonts w:hint="default" w:ascii="Times New Roman" w:hAnsi="Times New Roman" w:eastAsia="宋体" w:cs="Times New Roman"/>
          <w:b/>
          <w:color w:val="auto"/>
          <w:sz w:val="24"/>
          <w:highlight w:val="none"/>
        </w:rPr>
        <w:t>土壤环境影响评价自查表</w:t>
      </w:r>
      <w:bookmarkEnd w:id="302"/>
    </w:p>
    <w:tbl>
      <w:tblPr>
        <w:tblStyle w:val="26"/>
        <w:tblW w:w="9150"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413"/>
        <w:gridCol w:w="1642"/>
        <w:gridCol w:w="1384"/>
        <w:gridCol w:w="1505"/>
        <w:gridCol w:w="1588"/>
        <w:gridCol w:w="437"/>
        <w:gridCol w:w="218"/>
        <w:gridCol w:w="244"/>
        <w:gridCol w:w="586"/>
        <w:gridCol w:w="1133"/>
      </w:tblGrid>
      <w:tr w14:paraId="224B962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2055" w:type="dxa"/>
            <w:gridSpan w:val="2"/>
            <w:tcBorders>
              <w:top w:val="single" w:color="000000" w:sz="12" w:space="0"/>
              <w:left w:val="single" w:color="000000" w:sz="12" w:space="0"/>
              <w:bottom w:val="single" w:color="000000" w:sz="4" w:space="0"/>
              <w:right w:val="single" w:color="000000" w:sz="4" w:space="0"/>
            </w:tcBorders>
            <w:vAlign w:val="center"/>
          </w:tcPr>
          <w:p w14:paraId="58F52974">
            <w:pPr>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工作内容</w:t>
            </w:r>
          </w:p>
        </w:tc>
        <w:tc>
          <w:tcPr>
            <w:tcW w:w="5962" w:type="dxa"/>
            <w:gridSpan w:val="7"/>
            <w:tcBorders>
              <w:top w:val="single" w:color="000000" w:sz="12" w:space="0"/>
              <w:left w:val="single" w:color="000000" w:sz="4" w:space="0"/>
              <w:bottom w:val="single" w:color="000000" w:sz="4" w:space="0"/>
              <w:right w:val="single" w:color="000000" w:sz="4" w:space="0"/>
            </w:tcBorders>
            <w:vAlign w:val="center"/>
          </w:tcPr>
          <w:p w14:paraId="68A7EEF4">
            <w:pPr>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完成情况</w:t>
            </w:r>
          </w:p>
        </w:tc>
        <w:tc>
          <w:tcPr>
            <w:tcW w:w="1133" w:type="dxa"/>
            <w:tcBorders>
              <w:top w:val="single" w:color="000000" w:sz="12" w:space="0"/>
              <w:left w:val="single" w:color="000000" w:sz="4" w:space="0"/>
              <w:bottom w:val="single" w:color="000000" w:sz="4" w:space="0"/>
              <w:right w:val="single" w:color="000000" w:sz="12" w:space="0"/>
            </w:tcBorders>
            <w:vAlign w:val="center"/>
          </w:tcPr>
          <w:p w14:paraId="1D4CC5E4">
            <w:pPr>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备注</w:t>
            </w:r>
          </w:p>
        </w:tc>
      </w:tr>
      <w:tr w14:paraId="3C8EF54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0" w:hRule="atLeast"/>
          <w:jc w:val="center"/>
        </w:trPr>
        <w:tc>
          <w:tcPr>
            <w:tcW w:w="413" w:type="dxa"/>
            <w:vMerge w:val="restart"/>
            <w:tcBorders>
              <w:top w:val="single" w:color="000000" w:sz="4" w:space="0"/>
              <w:left w:val="single" w:color="000000" w:sz="12" w:space="0"/>
              <w:bottom w:val="single" w:color="000000" w:sz="6" w:space="0"/>
              <w:right w:val="single" w:color="000000" w:sz="4" w:space="0"/>
            </w:tcBorders>
            <w:vAlign w:val="center"/>
          </w:tcPr>
          <w:p w14:paraId="1EBC4F9C">
            <w:pPr>
              <w:autoSpaceDE w:val="0"/>
              <w:autoSpaceDN w:val="0"/>
              <w:ind w:right="106"/>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影响识别</w:t>
            </w:r>
          </w:p>
        </w:tc>
        <w:tc>
          <w:tcPr>
            <w:tcW w:w="1642" w:type="dxa"/>
            <w:tcBorders>
              <w:top w:val="single" w:color="000000" w:sz="4" w:space="0"/>
              <w:left w:val="single" w:color="000000" w:sz="4" w:space="0"/>
              <w:bottom w:val="single" w:color="000000" w:sz="4" w:space="0"/>
              <w:right w:val="single" w:color="000000" w:sz="4" w:space="0"/>
            </w:tcBorders>
            <w:vAlign w:val="center"/>
          </w:tcPr>
          <w:p w14:paraId="64B23F0A">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影响类型</w:t>
            </w:r>
          </w:p>
        </w:tc>
        <w:tc>
          <w:tcPr>
            <w:tcW w:w="5962" w:type="dxa"/>
            <w:gridSpan w:val="7"/>
            <w:tcBorders>
              <w:top w:val="single" w:color="000000" w:sz="4" w:space="0"/>
              <w:left w:val="single" w:color="000000" w:sz="4" w:space="0"/>
              <w:bottom w:val="single" w:color="000000" w:sz="4" w:space="0"/>
              <w:right w:val="single" w:color="000000" w:sz="4" w:space="0"/>
            </w:tcBorders>
            <w:vAlign w:val="center"/>
          </w:tcPr>
          <w:p w14:paraId="05245743">
            <w:pPr>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污染影响型√；生态影响型□；两种兼有□</w:t>
            </w:r>
          </w:p>
        </w:tc>
        <w:tc>
          <w:tcPr>
            <w:tcW w:w="1133" w:type="dxa"/>
            <w:tcBorders>
              <w:top w:val="single" w:color="000000" w:sz="4" w:space="0"/>
              <w:left w:val="single" w:color="000000" w:sz="4" w:space="0"/>
              <w:bottom w:val="single" w:color="000000" w:sz="4" w:space="0"/>
              <w:right w:val="single" w:color="000000" w:sz="12" w:space="0"/>
            </w:tcBorders>
            <w:vAlign w:val="center"/>
          </w:tcPr>
          <w:p w14:paraId="16502370">
            <w:pPr>
              <w:autoSpaceDE w:val="0"/>
              <w:autoSpaceDN w:val="0"/>
              <w:jc w:val="center"/>
              <w:rPr>
                <w:rFonts w:hint="default" w:ascii="Times New Roman" w:hAnsi="Times New Roman" w:eastAsia="宋体" w:cs="Times New Roman"/>
                <w:color w:val="auto"/>
                <w:sz w:val="18"/>
                <w:szCs w:val="22"/>
                <w:highlight w:val="none"/>
                <w:lang w:bidi="en-US"/>
              </w:rPr>
            </w:pPr>
          </w:p>
        </w:tc>
      </w:tr>
      <w:tr w14:paraId="0B0C5EF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8" w:hRule="atLeast"/>
          <w:jc w:val="center"/>
        </w:trPr>
        <w:tc>
          <w:tcPr>
            <w:tcW w:w="413" w:type="dxa"/>
            <w:vMerge w:val="continue"/>
            <w:tcBorders>
              <w:top w:val="single" w:color="000000" w:sz="8" w:space="0"/>
              <w:left w:val="single" w:color="000000" w:sz="12" w:space="0"/>
              <w:bottom w:val="single" w:color="000000" w:sz="6" w:space="0"/>
              <w:right w:val="single" w:color="000000" w:sz="6" w:space="0"/>
            </w:tcBorders>
            <w:vAlign w:val="center"/>
          </w:tcPr>
          <w:p w14:paraId="56F133ED">
            <w:pPr>
              <w:widowControl/>
              <w:jc w:val="left"/>
              <w:rPr>
                <w:rFonts w:hint="default" w:ascii="Times New Roman" w:hAnsi="Times New Roman" w:eastAsia="宋体" w:cs="Times New Roman"/>
                <w:color w:val="auto"/>
                <w:sz w:val="18"/>
                <w:szCs w:val="22"/>
                <w:highlight w:val="none"/>
                <w:lang w:bidi="en-US"/>
              </w:rPr>
            </w:pPr>
          </w:p>
        </w:tc>
        <w:tc>
          <w:tcPr>
            <w:tcW w:w="1642" w:type="dxa"/>
            <w:tcBorders>
              <w:top w:val="single" w:color="000000" w:sz="4" w:space="0"/>
              <w:left w:val="single" w:color="000000" w:sz="6" w:space="0"/>
              <w:bottom w:val="single" w:color="000000" w:sz="4" w:space="0"/>
              <w:right w:val="single" w:color="000000" w:sz="6" w:space="0"/>
            </w:tcBorders>
            <w:vAlign w:val="center"/>
          </w:tcPr>
          <w:p w14:paraId="45ED1B69">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土地利用类型</w:t>
            </w:r>
          </w:p>
        </w:tc>
        <w:tc>
          <w:tcPr>
            <w:tcW w:w="5962" w:type="dxa"/>
            <w:gridSpan w:val="7"/>
            <w:tcBorders>
              <w:top w:val="single" w:color="000000" w:sz="4" w:space="0"/>
              <w:left w:val="single" w:color="000000" w:sz="6" w:space="0"/>
              <w:bottom w:val="single" w:color="000000" w:sz="6" w:space="0"/>
              <w:right w:val="single" w:color="000000" w:sz="6" w:space="0"/>
            </w:tcBorders>
            <w:vAlign w:val="center"/>
          </w:tcPr>
          <w:p w14:paraId="0453AFF6">
            <w:pPr>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建设用地□；农用地√；未利用地□</w:t>
            </w:r>
          </w:p>
        </w:tc>
        <w:tc>
          <w:tcPr>
            <w:tcW w:w="1133" w:type="dxa"/>
            <w:tcBorders>
              <w:top w:val="single" w:color="000000" w:sz="4" w:space="0"/>
              <w:left w:val="single" w:color="000000" w:sz="6" w:space="0"/>
              <w:bottom w:val="single" w:color="000000" w:sz="4" w:space="0"/>
              <w:right w:val="single" w:color="000000" w:sz="12" w:space="0"/>
            </w:tcBorders>
            <w:vAlign w:val="center"/>
          </w:tcPr>
          <w:p w14:paraId="797F1D2A">
            <w:pPr>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土地利用类</w:t>
            </w:r>
          </w:p>
          <w:p w14:paraId="7EF41D28">
            <w:pPr>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型图</w:t>
            </w:r>
          </w:p>
        </w:tc>
      </w:tr>
      <w:tr w14:paraId="1316AA4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8" w:space="0"/>
              <w:left w:val="single" w:color="000000" w:sz="12" w:space="0"/>
              <w:bottom w:val="single" w:color="000000" w:sz="6" w:space="0"/>
              <w:right w:val="single" w:color="000000" w:sz="6" w:space="0"/>
            </w:tcBorders>
            <w:vAlign w:val="center"/>
          </w:tcPr>
          <w:p w14:paraId="3034AF86">
            <w:pPr>
              <w:widowControl/>
              <w:jc w:val="left"/>
              <w:rPr>
                <w:rFonts w:hint="default" w:ascii="Times New Roman" w:hAnsi="Times New Roman" w:eastAsia="宋体" w:cs="Times New Roman"/>
                <w:color w:val="auto"/>
                <w:sz w:val="18"/>
                <w:szCs w:val="22"/>
                <w:highlight w:val="none"/>
                <w:lang w:bidi="en-US"/>
              </w:rPr>
            </w:pPr>
          </w:p>
        </w:tc>
        <w:tc>
          <w:tcPr>
            <w:tcW w:w="1642" w:type="dxa"/>
            <w:tcBorders>
              <w:top w:val="single" w:color="000000" w:sz="4" w:space="0"/>
              <w:left w:val="single" w:color="000000" w:sz="6" w:space="0"/>
              <w:bottom w:val="single" w:color="000000" w:sz="6" w:space="0"/>
              <w:right w:val="single" w:color="000000" w:sz="6" w:space="0"/>
            </w:tcBorders>
            <w:vAlign w:val="center"/>
          </w:tcPr>
          <w:p w14:paraId="56D6EC32">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占地规模</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142A038F">
            <w:pPr>
              <w:tabs>
                <w:tab w:val="left" w:pos="1370"/>
              </w:tabs>
              <w:autoSpaceDE w:val="0"/>
              <w:autoSpaceDN w:val="0"/>
              <w:jc w:val="left"/>
              <w:rPr>
                <w:rFonts w:hint="default" w:ascii="Times New Roman" w:hAnsi="Times New Roman" w:eastAsia="宋体" w:cs="Times New Roman"/>
                <w:color w:val="auto"/>
                <w:sz w:val="11"/>
                <w:szCs w:val="22"/>
                <w:highlight w:val="none"/>
                <w:lang w:eastAsia="en-US" w:bidi="en-US"/>
              </w:rPr>
            </w:pPr>
            <w:r>
              <w:rPr>
                <w:rFonts w:hint="default" w:ascii="Times New Roman" w:hAnsi="Times New Roman" w:eastAsia="宋体" w:cs="Times New Roman"/>
                <w:color w:val="auto"/>
                <w:sz w:val="18"/>
                <w:szCs w:val="22"/>
                <w:highlight w:val="none"/>
                <w:lang w:eastAsia="en-US" w:bidi="en-US"/>
              </w:rPr>
              <w:t>（</w:t>
            </w:r>
            <w:r>
              <w:rPr>
                <w:rFonts w:hint="default" w:ascii="Times New Roman" w:hAnsi="Times New Roman" w:cs="Times New Roman"/>
                <w:color w:val="auto"/>
                <w:sz w:val="18"/>
                <w:szCs w:val="22"/>
                <w:highlight w:val="none"/>
                <w:lang w:val="en-US" w:eastAsia="zh-CN" w:bidi="en-US"/>
              </w:rPr>
              <w:t>128037.95</w:t>
            </w:r>
            <w:r>
              <w:rPr>
                <w:rFonts w:hint="default" w:ascii="Times New Roman" w:hAnsi="Times New Roman" w:eastAsia="宋体" w:cs="Times New Roman"/>
                <w:color w:val="auto"/>
                <w:sz w:val="18"/>
                <w:szCs w:val="22"/>
                <w:highlight w:val="none"/>
                <w:lang w:eastAsia="en-US" w:bidi="en-US"/>
              </w:rPr>
              <w:t>）hm</w:t>
            </w:r>
            <w:r>
              <w:rPr>
                <w:rFonts w:hint="default" w:ascii="Times New Roman" w:hAnsi="Times New Roman" w:eastAsia="宋体" w:cs="Times New Roman"/>
                <w:color w:val="auto"/>
                <w:position w:val="6"/>
                <w:sz w:val="11"/>
                <w:szCs w:val="22"/>
                <w:highlight w:val="none"/>
                <w:lang w:eastAsia="en-US" w:bidi="en-US"/>
              </w:rPr>
              <w:t>2</w:t>
            </w:r>
          </w:p>
        </w:tc>
        <w:tc>
          <w:tcPr>
            <w:tcW w:w="1133" w:type="dxa"/>
            <w:tcBorders>
              <w:top w:val="single" w:color="000000" w:sz="4" w:space="0"/>
              <w:left w:val="single" w:color="000000" w:sz="6" w:space="0"/>
              <w:bottom w:val="single" w:color="000000" w:sz="6" w:space="0"/>
              <w:right w:val="single" w:color="000000" w:sz="12" w:space="0"/>
            </w:tcBorders>
            <w:vAlign w:val="center"/>
          </w:tcPr>
          <w:p w14:paraId="02A4E2BA">
            <w:pPr>
              <w:autoSpaceDE w:val="0"/>
              <w:autoSpaceDN w:val="0"/>
              <w:jc w:val="center"/>
              <w:rPr>
                <w:rFonts w:hint="default" w:ascii="Times New Roman" w:hAnsi="Times New Roman" w:eastAsia="宋体" w:cs="Times New Roman"/>
                <w:color w:val="auto"/>
                <w:sz w:val="18"/>
                <w:szCs w:val="22"/>
                <w:highlight w:val="none"/>
                <w:lang w:eastAsia="en-US" w:bidi="en-US"/>
              </w:rPr>
            </w:pPr>
          </w:p>
        </w:tc>
      </w:tr>
      <w:tr w14:paraId="73F77B4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8" w:space="0"/>
              <w:left w:val="single" w:color="000000" w:sz="12" w:space="0"/>
              <w:bottom w:val="single" w:color="000000" w:sz="6" w:space="0"/>
              <w:right w:val="single" w:color="000000" w:sz="6" w:space="0"/>
            </w:tcBorders>
            <w:vAlign w:val="center"/>
          </w:tcPr>
          <w:p w14:paraId="26996E4A">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322A3D5A">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敏感目标信息</w:t>
            </w:r>
          </w:p>
        </w:tc>
        <w:tc>
          <w:tcPr>
            <w:tcW w:w="4914" w:type="dxa"/>
            <w:gridSpan w:val="4"/>
            <w:tcBorders>
              <w:top w:val="single" w:color="000000" w:sz="6" w:space="0"/>
              <w:left w:val="single" w:color="000000" w:sz="6" w:space="0"/>
              <w:bottom w:val="single" w:color="000000" w:sz="6" w:space="0"/>
              <w:right w:val="nil"/>
            </w:tcBorders>
            <w:vAlign w:val="center"/>
          </w:tcPr>
          <w:p w14:paraId="2EBE269D">
            <w:pPr>
              <w:jc w:val="left"/>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敏感目标（</w:t>
            </w:r>
            <w:r>
              <w:rPr>
                <w:rFonts w:hint="default" w:ascii="Times New Roman" w:hAnsi="Times New Roman" w:cs="Times New Roman"/>
                <w:color w:val="auto"/>
                <w:sz w:val="18"/>
                <w:szCs w:val="18"/>
                <w:highlight w:val="none"/>
                <w:lang w:val="en-US" w:eastAsia="zh-CN"/>
              </w:rPr>
              <w:t>耕地</w:t>
            </w:r>
            <w:r>
              <w:rPr>
                <w:rFonts w:hint="default" w:ascii="Times New Roman" w:hAnsi="Times New Roman" w:eastAsia="宋体" w:cs="Times New Roman"/>
                <w:color w:val="auto"/>
                <w:sz w:val="18"/>
                <w:szCs w:val="18"/>
                <w:highlight w:val="none"/>
              </w:rPr>
              <w:t>）、方位（四周）、距离（紧邻）</w:t>
            </w:r>
          </w:p>
        </w:tc>
        <w:tc>
          <w:tcPr>
            <w:tcW w:w="462" w:type="dxa"/>
            <w:gridSpan w:val="2"/>
            <w:tcBorders>
              <w:top w:val="single" w:color="000000" w:sz="6" w:space="0"/>
              <w:left w:val="nil"/>
              <w:bottom w:val="single" w:color="000000" w:sz="6" w:space="0"/>
              <w:right w:val="nil"/>
            </w:tcBorders>
            <w:vAlign w:val="center"/>
          </w:tcPr>
          <w:p w14:paraId="59B3BE1C">
            <w:pPr>
              <w:jc w:val="left"/>
              <w:rPr>
                <w:rFonts w:hint="default" w:ascii="Times New Roman" w:hAnsi="Times New Roman" w:eastAsia="宋体" w:cs="Times New Roman"/>
                <w:color w:val="auto"/>
                <w:sz w:val="18"/>
                <w:szCs w:val="18"/>
                <w:highlight w:val="none"/>
              </w:rPr>
            </w:pPr>
          </w:p>
        </w:tc>
        <w:tc>
          <w:tcPr>
            <w:tcW w:w="586" w:type="dxa"/>
            <w:tcBorders>
              <w:top w:val="single" w:color="000000" w:sz="6" w:space="0"/>
              <w:left w:val="nil"/>
              <w:bottom w:val="single" w:color="000000" w:sz="6" w:space="0"/>
              <w:right w:val="single" w:color="000000" w:sz="6" w:space="0"/>
            </w:tcBorders>
            <w:vAlign w:val="center"/>
          </w:tcPr>
          <w:p w14:paraId="28D3E767">
            <w:pPr>
              <w:jc w:val="left"/>
              <w:rPr>
                <w:rFonts w:hint="default" w:ascii="Times New Roman" w:hAnsi="Times New Roman" w:eastAsia="宋体" w:cs="Times New Roman"/>
                <w:color w:val="auto"/>
                <w:sz w:val="18"/>
                <w:szCs w:val="18"/>
                <w:highlight w:val="none"/>
              </w:rPr>
            </w:pPr>
          </w:p>
        </w:tc>
        <w:tc>
          <w:tcPr>
            <w:tcW w:w="1133" w:type="dxa"/>
            <w:tcBorders>
              <w:top w:val="single" w:color="000000" w:sz="6" w:space="0"/>
              <w:left w:val="single" w:color="000000" w:sz="6" w:space="0"/>
              <w:bottom w:val="single" w:color="000000" w:sz="6" w:space="0"/>
              <w:right w:val="single" w:color="000000" w:sz="12" w:space="0"/>
            </w:tcBorders>
            <w:vAlign w:val="center"/>
          </w:tcPr>
          <w:p w14:paraId="41A47A2C">
            <w:pPr>
              <w:autoSpaceDE w:val="0"/>
              <w:autoSpaceDN w:val="0"/>
              <w:jc w:val="center"/>
              <w:rPr>
                <w:rFonts w:hint="default" w:ascii="Times New Roman" w:hAnsi="Times New Roman" w:eastAsia="宋体" w:cs="Times New Roman"/>
                <w:color w:val="auto"/>
                <w:sz w:val="18"/>
                <w:szCs w:val="22"/>
                <w:highlight w:val="none"/>
                <w:lang w:bidi="en-US"/>
              </w:rPr>
            </w:pPr>
          </w:p>
        </w:tc>
      </w:tr>
      <w:tr w14:paraId="77DD479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8" w:space="0"/>
              <w:left w:val="single" w:color="000000" w:sz="12" w:space="0"/>
              <w:bottom w:val="single" w:color="000000" w:sz="6" w:space="0"/>
              <w:right w:val="single" w:color="000000" w:sz="6" w:space="0"/>
            </w:tcBorders>
            <w:vAlign w:val="center"/>
          </w:tcPr>
          <w:p w14:paraId="4F91C597">
            <w:pPr>
              <w:widowControl/>
              <w:jc w:val="left"/>
              <w:rPr>
                <w:rFonts w:hint="default" w:ascii="Times New Roman" w:hAnsi="Times New Roman" w:eastAsia="宋体" w:cs="Times New Roman"/>
                <w:color w:val="auto"/>
                <w:sz w:val="18"/>
                <w:szCs w:val="22"/>
                <w:highlight w:val="none"/>
                <w:lang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3FE45F27">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影响途径</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688F9113">
            <w:pPr>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大气沉降□；地面漫流□；垂直入渗√；地下水位□；其他（</w:t>
            </w:r>
            <w:r>
              <w:rPr>
                <w:rFonts w:hint="default" w:ascii="Times New Roman" w:hAnsi="Times New Roman" w:eastAsia="宋体" w:cs="Times New Roman"/>
                <w:color w:val="auto"/>
                <w:sz w:val="18"/>
                <w:szCs w:val="22"/>
                <w:highlight w:val="none"/>
                <w:lang w:val="en-US" w:eastAsia="zh-CN" w:bidi="en-US"/>
              </w:rPr>
              <w:t xml:space="preserve">    </w:t>
            </w:r>
            <w:r>
              <w:rPr>
                <w:rFonts w:hint="default" w:ascii="Times New Roman" w:hAnsi="Times New Roman" w:eastAsia="宋体" w:cs="Times New Roman"/>
                <w:color w:val="auto"/>
                <w:sz w:val="18"/>
                <w:szCs w:val="22"/>
                <w:highlight w:val="none"/>
                <w:lang w:bidi="en-US"/>
              </w:rPr>
              <w:t>）</w:t>
            </w:r>
          </w:p>
        </w:tc>
        <w:tc>
          <w:tcPr>
            <w:tcW w:w="1133" w:type="dxa"/>
            <w:tcBorders>
              <w:top w:val="single" w:color="000000" w:sz="6" w:space="0"/>
              <w:left w:val="single" w:color="000000" w:sz="6" w:space="0"/>
              <w:bottom w:val="single" w:color="000000" w:sz="6" w:space="0"/>
              <w:right w:val="single" w:color="000000" w:sz="12" w:space="0"/>
            </w:tcBorders>
            <w:vAlign w:val="center"/>
          </w:tcPr>
          <w:p w14:paraId="10D0A0D3">
            <w:pPr>
              <w:autoSpaceDE w:val="0"/>
              <w:autoSpaceDN w:val="0"/>
              <w:jc w:val="center"/>
              <w:rPr>
                <w:rFonts w:hint="default" w:ascii="Times New Roman" w:hAnsi="Times New Roman" w:eastAsia="宋体" w:cs="Times New Roman"/>
                <w:color w:val="auto"/>
                <w:sz w:val="18"/>
                <w:szCs w:val="22"/>
                <w:highlight w:val="none"/>
                <w:lang w:bidi="en-US"/>
              </w:rPr>
            </w:pPr>
          </w:p>
        </w:tc>
      </w:tr>
      <w:tr w14:paraId="2E101AD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0" w:hRule="atLeast"/>
          <w:jc w:val="center"/>
        </w:trPr>
        <w:tc>
          <w:tcPr>
            <w:tcW w:w="413" w:type="dxa"/>
            <w:vMerge w:val="continue"/>
            <w:tcBorders>
              <w:top w:val="single" w:color="000000" w:sz="8" w:space="0"/>
              <w:left w:val="single" w:color="000000" w:sz="12" w:space="0"/>
              <w:bottom w:val="single" w:color="000000" w:sz="6" w:space="0"/>
              <w:right w:val="single" w:color="000000" w:sz="6" w:space="0"/>
            </w:tcBorders>
            <w:vAlign w:val="center"/>
          </w:tcPr>
          <w:p w14:paraId="0A1A1D15">
            <w:pPr>
              <w:widowControl/>
              <w:jc w:val="left"/>
              <w:rPr>
                <w:rFonts w:hint="default" w:ascii="Times New Roman" w:hAnsi="Times New Roman" w:eastAsia="宋体" w:cs="Times New Roman"/>
                <w:color w:val="auto"/>
                <w:sz w:val="18"/>
                <w:szCs w:val="22"/>
                <w:highlight w:val="none"/>
                <w:lang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0808EE2F">
            <w:pPr>
              <w:autoSpaceDE w:val="0"/>
              <w:autoSpaceDN w:val="0"/>
              <w:ind w:right="8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全部污染物</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08A2D5F0">
            <w:pPr>
              <w:autoSpaceDE w:val="0"/>
              <w:autoSpaceDN w:val="0"/>
              <w:jc w:val="center"/>
              <w:rPr>
                <w:rFonts w:hint="default" w:ascii="Times New Roman" w:hAnsi="Times New Roman" w:eastAsia="宋体" w:cs="Times New Roman"/>
                <w:color w:val="auto"/>
                <w:kern w:val="2"/>
                <w:sz w:val="18"/>
                <w:szCs w:val="18"/>
                <w:highlight w:val="none"/>
                <w:lang w:val="en-US" w:eastAsia="zh-CN" w:bidi="en-US"/>
              </w:rPr>
            </w:pPr>
            <w:r>
              <w:rPr>
                <w:rFonts w:hint="default" w:ascii="Times New Roman" w:hAnsi="Times New Roman" w:eastAsia="宋体" w:cs="Times New Roman"/>
                <w:color w:val="auto"/>
                <w:sz w:val="18"/>
                <w:szCs w:val="18"/>
                <w:highlight w:val="none"/>
                <w:lang w:bidi="en-US"/>
              </w:rPr>
              <w:t>COD、氨氮</w:t>
            </w:r>
          </w:p>
        </w:tc>
        <w:tc>
          <w:tcPr>
            <w:tcW w:w="1133" w:type="dxa"/>
            <w:tcBorders>
              <w:top w:val="single" w:color="000000" w:sz="6" w:space="0"/>
              <w:left w:val="single" w:color="000000" w:sz="6" w:space="0"/>
              <w:bottom w:val="single" w:color="000000" w:sz="6" w:space="0"/>
              <w:right w:val="single" w:color="000000" w:sz="12" w:space="0"/>
            </w:tcBorders>
            <w:vAlign w:val="center"/>
          </w:tcPr>
          <w:p w14:paraId="3B194ABB">
            <w:pPr>
              <w:autoSpaceDE w:val="0"/>
              <w:autoSpaceDN w:val="0"/>
              <w:jc w:val="center"/>
              <w:rPr>
                <w:rFonts w:hint="default" w:ascii="Times New Roman" w:hAnsi="Times New Roman" w:eastAsia="宋体" w:cs="Times New Roman"/>
                <w:color w:val="auto"/>
                <w:sz w:val="18"/>
                <w:szCs w:val="22"/>
                <w:highlight w:val="none"/>
                <w:lang w:eastAsia="en-US" w:bidi="en-US"/>
              </w:rPr>
            </w:pPr>
          </w:p>
        </w:tc>
      </w:tr>
      <w:tr w14:paraId="0A1C28B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8" w:space="0"/>
              <w:left w:val="single" w:color="000000" w:sz="12" w:space="0"/>
              <w:bottom w:val="single" w:color="000000" w:sz="6" w:space="0"/>
              <w:right w:val="single" w:color="000000" w:sz="6" w:space="0"/>
            </w:tcBorders>
            <w:vAlign w:val="center"/>
          </w:tcPr>
          <w:p w14:paraId="706C41EB">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54503B73">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特征因子</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7CF93768">
            <w:pPr>
              <w:autoSpaceDE w:val="0"/>
              <w:autoSpaceDN w:val="0"/>
              <w:jc w:val="center"/>
              <w:rPr>
                <w:rFonts w:hint="default" w:ascii="Times New Roman" w:hAnsi="Times New Roman" w:eastAsia="宋体" w:cs="Times New Roman"/>
                <w:color w:val="auto"/>
                <w:kern w:val="2"/>
                <w:sz w:val="18"/>
                <w:szCs w:val="22"/>
                <w:highlight w:val="none"/>
                <w:lang w:val="en-US" w:eastAsia="en-US" w:bidi="en-US"/>
              </w:rPr>
            </w:pPr>
            <w:r>
              <w:rPr>
                <w:rFonts w:hint="default" w:ascii="Times New Roman" w:hAnsi="Times New Roman" w:eastAsia="宋体" w:cs="Times New Roman"/>
                <w:color w:val="auto"/>
                <w:sz w:val="18"/>
                <w:szCs w:val="22"/>
                <w:highlight w:val="none"/>
                <w:lang w:eastAsia="en-US" w:bidi="en-US"/>
              </w:rPr>
              <w:t>COD、氨氮</w:t>
            </w:r>
          </w:p>
        </w:tc>
        <w:tc>
          <w:tcPr>
            <w:tcW w:w="1133" w:type="dxa"/>
            <w:tcBorders>
              <w:top w:val="single" w:color="000000" w:sz="6" w:space="0"/>
              <w:left w:val="single" w:color="000000" w:sz="6" w:space="0"/>
              <w:bottom w:val="single" w:color="000000" w:sz="6" w:space="0"/>
              <w:right w:val="single" w:color="000000" w:sz="12" w:space="0"/>
            </w:tcBorders>
            <w:vAlign w:val="center"/>
          </w:tcPr>
          <w:p w14:paraId="5756F09A">
            <w:pPr>
              <w:autoSpaceDE w:val="0"/>
              <w:autoSpaceDN w:val="0"/>
              <w:jc w:val="center"/>
              <w:rPr>
                <w:rFonts w:hint="default" w:ascii="Times New Roman" w:hAnsi="Times New Roman" w:eastAsia="宋体" w:cs="Times New Roman"/>
                <w:color w:val="auto"/>
                <w:sz w:val="18"/>
                <w:szCs w:val="22"/>
                <w:highlight w:val="none"/>
                <w:lang w:eastAsia="en-US" w:bidi="en-US"/>
              </w:rPr>
            </w:pPr>
          </w:p>
        </w:tc>
      </w:tr>
      <w:tr w14:paraId="42EF2F3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0" w:hRule="atLeast"/>
          <w:jc w:val="center"/>
        </w:trPr>
        <w:tc>
          <w:tcPr>
            <w:tcW w:w="413" w:type="dxa"/>
            <w:vMerge w:val="continue"/>
            <w:tcBorders>
              <w:top w:val="single" w:color="000000" w:sz="8" w:space="0"/>
              <w:left w:val="single" w:color="000000" w:sz="12" w:space="0"/>
              <w:bottom w:val="single" w:color="000000" w:sz="6" w:space="0"/>
              <w:right w:val="single" w:color="000000" w:sz="6" w:space="0"/>
            </w:tcBorders>
            <w:vAlign w:val="center"/>
          </w:tcPr>
          <w:p w14:paraId="34BCEACA">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02F27AAA">
            <w:pPr>
              <w:autoSpaceDE w:val="0"/>
              <w:autoSpaceDN w:val="0"/>
              <w:ind w:right="83"/>
              <w:jc w:val="center"/>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所属土壤环境影响评价项目类别</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6B560D31">
            <w:pPr>
              <w:autoSpaceDE w:val="0"/>
              <w:autoSpaceDN w:val="0"/>
              <w:ind w:left="11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Ⅰ类□；Ⅱ类□；Ⅲ类√；Ⅳ类□</w:t>
            </w:r>
          </w:p>
        </w:tc>
        <w:tc>
          <w:tcPr>
            <w:tcW w:w="1133" w:type="dxa"/>
            <w:tcBorders>
              <w:top w:val="single" w:color="000000" w:sz="6" w:space="0"/>
              <w:left w:val="single" w:color="000000" w:sz="6" w:space="0"/>
              <w:bottom w:val="single" w:color="000000" w:sz="6" w:space="0"/>
              <w:right w:val="single" w:color="000000" w:sz="12" w:space="0"/>
            </w:tcBorders>
            <w:vAlign w:val="center"/>
          </w:tcPr>
          <w:p w14:paraId="50003748">
            <w:pPr>
              <w:autoSpaceDE w:val="0"/>
              <w:autoSpaceDN w:val="0"/>
              <w:jc w:val="center"/>
              <w:rPr>
                <w:rFonts w:hint="default" w:ascii="Times New Roman" w:hAnsi="Times New Roman" w:eastAsia="宋体" w:cs="Times New Roman"/>
                <w:color w:val="auto"/>
                <w:sz w:val="18"/>
                <w:szCs w:val="22"/>
                <w:highlight w:val="none"/>
                <w:lang w:bidi="en-US"/>
              </w:rPr>
            </w:pPr>
          </w:p>
        </w:tc>
      </w:tr>
      <w:tr w14:paraId="5710680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8" w:space="0"/>
              <w:left w:val="single" w:color="000000" w:sz="12" w:space="0"/>
              <w:bottom w:val="single" w:color="000000" w:sz="6" w:space="0"/>
              <w:right w:val="single" w:color="000000" w:sz="6" w:space="0"/>
            </w:tcBorders>
            <w:vAlign w:val="center"/>
          </w:tcPr>
          <w:p w14:paraId="73BE7506">
            <w:pPr>
              <w:widowControl/>
              <w:jc w:val="left"/>
              <w:rPr>
                <w:rFonts w:hint="default" w:ascii="Times New Roman" w:hAnsi="Times New Roman" w:eastAsia="宋体" w:cs="Times New Roman"/>
                <w:color w:val="auto"/>
                <w:sz w:val="18"/>
                <w:szCs w:val="22"/>
                <w:highlight w:val="none"/>
                <w:lang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56804382">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敏感程度</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5B792565">
            <w:pPr>
              <w:autoSpaceDE w:val="0"/>
              <w:autoSpaceDN w:val="0"/>
              <w:ind w:left="11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敏感√；较敏感□；不敏感□</w:t>
            </w:r>
          </w:p>
        </w:tc>
        <w:tc>
          <w:tcPr>
            <w:tcW w:w="1133" w:type="dxa"/>
            <w:tcBorders>
              <w:top w:val="single" w:color="000000" w:sz="6" w:space="0"/>
              <w:left w:val="single" w:color="000000" w:sz="6" w:space="0"/>
              <w:bottom w:val="single" w:color="000000" w:sz="6" w:space="0"/>
              <w:right w:val="single" w:color="000000" w:sz="12" w:space="0"/>
            </w:tcBorders>
            <w:vAlign w:val="center"/>
          </w:tcPr>
          <w:p w14:paraId="2D81F424">
            <w:pPr>
              <w:autoSpaceDE w:val="0"/>
              <w:autoSpaceDN w:val="0"/>
              <w:jc w:val="center"/>
              <w:rPr>
                <w:rFonts w:hint="default" w:ascii="Times New Roman" w:hAnsi="Times New Roman" w:eastAsia="宋体" w:cs="Times New Roman"/>
                <w:color w:val="auto"/>
                <w:sz w:val="18"/>
                <w:szCs w:val="22"/>
                <w:highlight w:val="none"/>
                <w:lang w:bidi="en-US"/>
              </w:rPr>
            </w:pPr>
          </w:p>
        </w:tc>
      </w:tr>
      <w:tr w14:paraId="070F8C1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2055" w:type="dxa"/>
            <w:gridSpan w:val="2"/>
            <w:tcBorders>
              <w:top w:val="single" w:color="000000" w:sz="6" w:space="0"/>
              <w:left w:val="single" w:color="000000" w:sz="12" w:space="0"/>
              <w:bottom w:val="single" w:color="000000" w:sz="6" w:space="0"/>
              <w:right w:val="single" w:color="000000" w:sz="6" w:space="0"/>
            </w:tcBorders>
            <w:vAlign w:val="center"/>
          </w:tcPr>
          <w:p w14:paraId="2AF9D95F">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评价工作等级</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29DD2F26">
            <w:pPr>
              <w:autoSpaceDE w:val="0"/>
              <w:autoSpaceDN w:val="0"/>
              <w:ind w:left="11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一级□；二级□；三级√</w:t>
            </w:r>
          </w:p>
        </w:tc>
        <w:tc>
          <w:tcPr>
            <w:tcW w:w="1133" w:type="dxa"/>
            <w:tcBorders>
              <w:top w:val="single" w:color="000000" w:sz="6" w:space="0"/>
              <w:left w:val="single" w:color="000000" w:sz="6" w:space="0"/>
              <w:bottom w:val="single" w:color="000000" w:sz="6" w:space="0"/>
              <w:right w:val="single" w:color="000000" w:sz="12" w:space="0"/>
            </w:tcBorders>
            <w:vAlign w:val="center"/>
          </w:tcPr>
          <w:p w14:paraId="3275DACF">
            <w:pPr>
              <w:autoSpaceDE w:val="0"/>
              <w:autoSpaceDN w:val="0"/>
              <w:jc w:val="center"/>
              <w:rPr>
                <w:rFonts w:hint="default" w:ascii="Times New Roman" w:hAnsi="Times New Roman" w:eastAsia="宋体" w:cs="Times New Roman"/>
                <w:color w:val="auto"/>
                <w:sz w:val="18"/>
                <w:szCs w:val="22"/>
                <w:highlight w:val="none"/>
                <w:lang w:bidi="en-US"/>
              </w:rPr>
            </w:pPr>
          </w:p>
        </w:tc>
      </w:tr>
      <w:tr w14:paraId="3405EE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0" w:hRule="atLeast"/>
          <w:jc w:val="center"/>
        </w:trPr>
        <w:tc>
          <w:tcPr>
            <w:tcW w:w="413" w:type="dxa"/>
            <w:vMerge w:val="restart"/>
            <w:tcBorders>
              <w:top w:val="single" w:color="000000" w:sz="6" w:space="0"/>
              <w:left w:val="single" w:color="000000" w:sz="12" w:space="0"/>
              <w:bottom w:val="single" w:color="000000" w:sz="6" w:space="0"/>
              <w:right w:val="single" w:color="000000" w:sz="6" w:space="0"/>
            </w:tcBorders>
            <w:vAlign w:val="center"/>
          </w:tcPr>
          <w:p w14:paraId="1DDBD0E0">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现状调查内容</w:t>
            </w:r>
          </w:p>
        </w:tc>
        <w:tc>
          <w:tcPr>
            <w:tcW w:w="1642" w:type="dxa"/>
            <w:tcBorders>
              <w:top w:val="single" w:color="000000" w:sz="6" w:space="0"/>
              <w:left w:val="single" w:color="000000" w:sz="6" w:space="0"/>
              <w:bottom w:val="single" w:color="000000" w:sz="6" w:space="0"/>
              <w:right w:val="single" w:color="000000" w:sz="6" w:space="0"/>
            </w:tcBorders>
            <w:vAlign w:val="center"/>
          </w:tcPr>
          <w:p w14:paraId="65EADBE0">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资料收集</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6B2DCD15">
            <w:pPr>
              <w:autoSpaceDE w:val="0"/>
              <w:autoSpaceDN w:val="0"/>
              <w:ind w:left="110"/>
              <w:jc w:val="left"/>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a）</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color w:val="auto"/>
                <w:sz w:val="18"/>
                <w:szCs w:val="22"/>
                <w:highlight w:val="none"/>
                <w:lang w:eastAsia="en-US" w:bidi="en-US"/>
              </w:rPr>
              <w:t>；b）</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color w:val="auto"/>
                <w:sz w:val="18"/>
                <w:szCs w:val="22"/>
                <w:highlight w:val="none"/>
                <w:lang w:eastAsia="en-US" w:bidi="en-US"/>
              </w:rPr>
              <w:t>；c）</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color w:val="auto"/>
                <w:sz w:val="18"/>
                <w:szCs w:val="22"/>
                <w:highlight w:val="none"/>
                <w:lang w:eastAsia="en-US" w:bidi="en-US"/>
              </w:rPr>
              <w:t>；d）</w:t>
            </w:r>
            <w:r>
              <w:rPr>
                <w:rFonts w:hint="default" w:ascii="Times New Roman" w:hAnsi="Times New Roman" w:eastAsia="宋体" w:cs="Times New Roman"/>
                <w:color w:val="auto"/>
                <w:sz w:val="18"/>
                <w:szCs w:val="22"/>
                <w:highlight w:val="none"/>
                <w:lang w:bidi="en-US"/>
              </w:rPr>
              <w:t>√</w:t>
            </w:r>
          </w:p>
        </w:tc>
        <w:tc>
          <w:tcPr>
            <w:tcW w:w="1133" w:type="dxa"/>
            <w:tcBorders>
              <w:top w:val="single" w:color="000000" w:sz="6" w:space="0"/>
              <w:left w:val="single" w:color="000000" w:sz="6" w:space="0"/>
              <w:bottom w:val="single" w:color="000000" w:sz="6" w:space="0"/>
              <w:right w:val="single" w:color="000000" w:sz="12" w:space="0"/>
            </w:tcBorders>
            <w:vAlign w:val="center"/>
          </w:tcPr>
          <w:p w14:paraId="795EFFC3">
            <w:pPr>
              <w:autoSpaceDE w:val="0"/>
              <w:autoSpaceDN w:val="0"/>
              <w:jc w:val="center"/>
              <w:rPr>
                <w:rFonts w:hint="default" w:ascii="Times New Roman" w:hAnsi="Times New Roman" w:eastAsia="宋体" w:cs="Times New Roman"/>
                <w:color w:val="auto"/>
                <w:sz w:val="18"/>
                <w:szCs w:val="22"/>
                <w:highlight w:val="none"/>
                <w:lang w:eastAsia="en-US" w:bidi="en-US"/>
              </w:rPr>
            </w:pPr>
          </w:p>
        </w:tc>
      </w:tr>
      <w:tr w14:paraId="3BE4061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2B4CBAFC">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379BFCD7">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理化特性</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1A7F2214">
            <w:pPr>
              <w:autoSpaceDE w:val="0"/>
              <w:autoSpaceDN w:val="0"/>
              <w:jc w:val="center"/>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val="en-US" w:eastAsia="zh-CN" w:bidi="en-US"/>
              </w:rPr>
              <w:t>pH</w:t>
            </w:r>
          </w:p>
        </w:tc>
        <w:tc>
          <w:tcPr>
            <w:tcW w:w="1133" w:type="dxa"/>
            <w:tcBorders>
              <w:top w:val="single" w:color="000000" w:sz="6" w:space="0"/>
              <w:left w:val="single" w:color="000000" w:sz="6" w:space="0"/>
              <w:bottom w:val="single" w:color="000000" w:sz="6" w:space="0"/>
              <w:right w:val="single" w:color="000000" w:sz="12" w:space="0"/>
            </w:tcBorders>
            <w:vAlign w:val="center"/>
          </w:tcPr>
          <w:p w14:paraId="23121D78">
            <w:pPr>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同附录C</w:t>
            </w:r>
          </w:p>
        </w:tc>
      </w:tr>
      <w:tr w14:paraId="523EF69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8"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412C2F3E">
            <w:pPr>
              <w:widowControl/>
              <w:jc w:val="left"/>
              <w:rPr>
                <w:rFonts w:hint="default" w:ascii="Times New Roman" w:hAnsi="Times New Roman" w:eastAsia="宋体" w:cs="Times New Roman"/>
                <w:color w:val="auto"/>
                <w:sz w:val="18"/>
                <w:szCs w:val="22"/>
                <w:highlight w:val="none"/>
                <w:lang w:eastAsia="en-US" w:bidi="en-US"/>
              </w:rPr>
            </w:pPr>
          </w:p>
        </w:tc>
        <w:tc>
          <w:tcPr>
            <w:tcW w:w="1642" w:type="dxa"/>
            <w:vMerge w:val="restart"/>
            <w:tcBorders>
              <w:top w:val="single" w:color="000000" w:sz="6" w:space="0"/>
              <w:left w:val="single" w:color="000000" w:sz="6" w:space="0"/>
              <w:bottom w:val="single" w:color="000000" w:sz="6" w:space="0"/>
              <w:right w:val="single" w:color="000000" w:sz="6" w:space="0"/>
            </w:tcBorders>
            <w:vAlign w:val="center"/>
          </w:tcPr>
          <w:p w14:paraId="52515524">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现状监测点位</w:t>
            </w:r>
          </w:p>
        </w:tc>
        <w:tc>
          <w:tcPr>
            <w:tcW w:w="1384" w:type="dxa"/>
            <w:tcBorders>
              <w:top w:val="single" w:color="000000" w:sz="6" w:space="0"/>
              <w:left w:val="single" w:color="000000" w:sz="6" w:space="0"/>
              <w:bottom w:val="single" w:color="000000" w:sz="4" w:space="0"/>
              <w:right w:val="single" w:color="000000" w:sz="4" w:space="0"/>
            </w:tcBorders>
            <w:vAlign w:val="center"/>
          </w:tcPr>
          <w:p w14:paraId="776EDEB7">
            <w:pPr>
              <w:autoSpaceDE w:val="0"/>
              <w:autoSpaceDN w:val="0"/>
              <w:jc w:val="center"/>
              <w:rPr>
                <w:rFonts w:hint="default" w:ascii="Times New Roman" w:hAnsi="Times New Roman" w:eastAsia="宋体" w:cs="Times New Roman"/>
                <w:color w:val="auto"/>
                <w:sz w:val="18"/>
                <w:szCs w:val="22"/>
                <w:highlight w:val="none"/>
                <w:lang w:eastAsia="en-US" w:bidi="en-US"/>
              </w:rPr>
            </w:pPr>
          </w:p>
        </w:tc>
        <w:tc>
          <w:tcPr>
            <w:tcW w:w="1505" w:type="dxa"/>
            <w:tcBorders>
              <w:top w:val="single" w:color="000000" w:sz="6" w:space="0"/>
              <w:left w:val="single" w:color="000000" w:sz="4" w:space="0"/>
              <w:bottom w:val="single" w:color="000000" w:sz="4" w:space="0"/>
              <w:right w:val="single" w:color="000000" w:sz="4" w:space="0"/>
            </w:tcBorders>
            <w:vAlign w:val="center"/>
          </w:tcPr>
          <w:p w14:paraId="21DF72A4">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占地范围内</w:t>
            </w:r>
          </w:p>
        </w:tc>
        <w:tc>
          <w:tcPr>
            <w:tcW w:w="2243" w:type="dxa"/>
            <w:gridSpan w:val="3"/>
            <w:tcBorders>
              <w:top w:val="single" w:color="000000" w:sz="6" w:space="0"/>
              <w:left w:val="single" w:color="000000" w:sz="4" w:space="0"/>
              <w:bottom w:val="single" w:color="000000" w:sz="4" w:space="0"/>
              <w:right w:val="single" w:color="000000" w:sz="4" w:space="0"/>
            </w:tcBorders>
            <w:vAlign w:val="center"/>
          </w:tcPr>
          <w:p w14:paraId="2EB1D119">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占地范围外</w:t>
            </w:r>
          </w:p>
        </w:tc>
        <w:tc>
          <w:tcPr>
            <w:tcW w:w="830" w:type="dxa"/>
            <w:gridSpan w:val="2"/>
            <w:tcBorders>
              <w:top w:val="single" w:color="000000" w:sz="6" w:space="0"/>
              <w:left w:val="single" w:color="000000" w:sz="4" w:space="0"/>
              <w:bottom w:val="single" w:color="000000" w:sz="4" w:space="0"/>
              <w:right w:val="single" w:color="000000" w:sz="6" w:space="0"/>
            </w:tcBorders>
            <w:vAlign w:val="center"/>
          </w:tcPr>
          <w:p w14:paraId="77763294">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深度</w:t>
            </w:r>
          </w:p>
        </w:tc>
        <w:tc>
          <w:tcPr>
            <w:tcW w:w="1133" w:type="dxa"/>
            <w:vMerge w:val="restart"/>
            <w:tcBorders>
              <w:top w:val="single" w:color="000000" w:sz="6" w:space="0"/>
              <w:left w:val="single" w:color="000000" w:sz="6" w:space="0"/>
              <w:bottom w:val="single" w:color="000000" w:sz="6" w:space="0"/>
              <w:right w:val="single" w:color="000000" w:sz="12" w:space="0"/>
            </w:tcBorders>
            <w:vAlign w:val="center"/>
          </w:tcPr>
          <w:p w14:paraId="29C48927">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点位布置图</w:t>
            </w:r>
          </w:p>
        </w:tc>
      </w:tr>
      <w:tr w14:paraId="6FC245F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615130AD">
            <w:pPr>
              <w:widowControl/>
              <w:jc w:val="left"/>
              <w:rPr>
                <w:rFonts w:hint="default" w:ascii="Times New Roman" w:hAnsi="Times New Roman" w:eastAsia="宋体" w:cs="Times New Roman"/>
                <w:color w:val="auto"/>
                <w:sz w:val="18"/>
                <w:szCs w:val="22"/>
                <w:highlight w:val="none"/>
                <w:lang w:eastAsia="en-US" w:bidi="en-US"/>
              </w:rPr>
            </w:pPr>
          </w:p>
        </w:tc>
        <w:tc>
          <w:tcPr>
            <w:tcW w:w="1642" w:type="dxa"/>
            <w:vMerge w:val="continue"/>
            <w:tcBorders>
              <w:top w:val="single" w:color="000000" w:sz="6" w:space="0"/>
              <w:left w:val="single" w:color="000000" w:sz="6" w:space="0"/>
              <w:bottom w:val="single" w:color="000000" w:sz="6" w:space="0"/>
              <w:right w:val="single" w:color="000000" w:sz="6" w:space="0"/>
            </w:tcBorders>
            <w:vAlign w:val="center"/>
          </w:tcPr>
          <w:p w14:paraId="32603A55">
            <w:pPr>
              <w:widowControl/>
              <w:jc w:val="left"/>
              <w:rPr>
                <w:rFonts w:hint="default" w:ascii="Times New Roman" w:hAnsi="Times New Roman" w:eastAsia="宋体" w:cs="Times New Roman"/>
                <w:color w:val="auto"/>
                <w:sz w:val="18"/>
                <w:szCs w:val="22"/>
                <w:highlight w:val="none"/>
                <w:lang w:eastAsia="en-US" w:bidi="en-US"/>
              </w:rPr>
            </w:pPr>
          </w:p>
        </w:tc>
        <w:tc>
          <w:tcPr>
            <w:tcW w:w="1384" w:type="dxa"/>
            <w:tcBorders>
              <w:top w:val="single" w:color="000000" w:sz="4" w:space="0"/>
              <w:left w:val="single" w:color="000000" w:sz="6" w:space="0"/>
              <w:bottom w:val="single" w:color="000000" w:sz="4" w:space="0"/>
              <w:right w:val="single" w:color="000000" w:sz="4" w:space="0"/>
            </w:tcBorders>
            <w:vAlign w:val="center"/>
          </w:tcPr>
          <w:p w14:paraId="7A9CEC67">
            <w:pPr>
              <w:autoSpaceDE w:val="0"/>
              <w:autoSpaceDN w:val="0"/>
              <w:ind w:right="225"/>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表层样点数</w:t>
            </w:r>
          </w:p>
        </w:tc>
        <w:tc>
          <w:tcPr>
            <w:tcW w:w="1505" w:type="dxa"/>
            <w:tcBorders>
              <w:top w:val="single" w:color="000000" w:sz="4" w:space="0"/>
              <w:left w:val="single" w:color="000000" w:sz="4" w:space="0"/>
              <w:bottom w:val="single" w:color="000000" w:sz="4" w:space="0"/>
              <w:right w:val="single" w:color="000000" w:sz="4" w:space="0"/>
            </w:tcBorders>
            <w:vAlign w:val="center"/>
          </w:tcPr>
          <w:p w14:paraId="2048F562">
            <w:pPr>
              <w:autoSpaceDE w:val="0"/>
              <w:autoSpaceDN w:val="0"/>
              <w:jc w:val="center"/>
              <w:rPr>
                <w:rFonts w:hint="default" w:ascii="Times New Roman" w:hAnsi="Times New Roman" w:eastAsia="宋体" w:cs="Times New Roman"/>
                <w:color w:val="auto"/>
                <w:kern w:val="2"/>
                <w:sz w:val="18"/>
                <w:szCs w:val="22"/>
                <w:highlight w:val="none"/>
                <w:lang w:val="en-US" w:eastAsia="zh-CN" w:bidi="en-US"/>
              </w:rPr>
            </w:pPr>
            <w:r>
              <w:rPr>
                <w:rFonts w:hint="default" w:ascii="Times New Roman" w:hAnsi="Times New Roman" w:eastAsia="宋体" w:cs="Times New Roman"/>
                <w:color w:val="auto"/>
                <w:sz w:val="18"/>
                <w:szCs w:val="22"/>
                <w:highlight w:val="none"/>
                <w:lang w:val="en-US" w:eastAsia="zh-CN" w:bidi="en-US"/>
              </w:rPr>
              <w:t>3</w:t>
            </w:r>
          </w:p>
        </w:tc>
        <w:tc>
          <w:tcPr>
            <w:tcW w:w="2243" w:type="dxa"/>
            <w:gridSpan w:val="3"/>
            <w:tcBorders>
              <w:top w:val="single" w:color="000000" w:sz="4" w:space="0"/>
              <w:left w:val="single" w:color="000000" w:sz="4" w:space="0"/>
              <w:bottom w:val="single" w:color="000000" w:sz="4" w:space="0"/>
              <w:right w:val="single" w:color="000000" w:sz="4" w:space="0"/>
            </w:tcBorders>
            <w:vAlign w:val="center"/>
          </w:tcPr>
          <w:p w14:paraId="2FD82234">
            <w:pPr>
              <w:autoSpaceDE w:val="0"/>
              <w:autoSpaceDN w:val="0"/>
              <w:jc w:val="center"/>
              <w:rPr>
                <w:rFonts w:hint="default" w:ascii="Times New Roman" w:hAnsi="Times New Roman" w:eastAsia="宋体" w:cs="Times New Roman"/>
                <w:color w:val="auto"/>
                <w:kern w:val="2"/>
                <w:sz w:val="18"/>
                <w:szCs w:val="22"/>
                <w:highlight w:val="none"/>
                <w:lang w:val="en-US" w:eastAsia="zh-CN" w:bidi="en-US"/>
              </w:rPr>
            </w:pPr>
            <w:r>
              <w:rPr>
                <w:rFonts w:hint="default" w:ascii="Times New Roman" w:hAnsi="Times New Roman" w:eastAsia="宋体" w:cs="Times New Roman"/>
                <w:color w:val="auto"/>
                <w:sz w:val="18"/>
                <w:szCs w:val="22"/>
                <w:highlight w:val="none"/>
                <w:lang w:val="en-US" w:eastAsia="zh-CN" w:bidi="en-US"/>
              </w:rPr>
              <w:t>0</w:t>
            </w:r>
          </w:p>
        </w:tc>
        <w:tc>
          <w:tcPr>
            <w:tcW w:w="830" w:type="dxa"/>
            <w:gridSpan w:val="2"/>
            <w:tcBorders>
              <w:top w:val="single" w:color="000000" w:sz="4" w:space="0"/>
              <w:left w:val="single" w:color="000000" w:sz="4" w:space="0"/>
              <w:bottom w:val="single" w:color="000000" w:sz="4" w:space="0"/>
              <w:right w:val="single" w:color="000000" w:sz="6" w:space="0"/>
            </w:tcBorders>
            <w:vAlign w:val="center"/>
          </w:tcPr>
          <w:p w14:paraId="05A0CEFE">
            <w:pPr>
              <w:autoSpaceDE w:val="0"/>
              <w:autoSpaceDN w:val="0"/>
              <w:jc w:val="center"/>
              <w:rPr>
                <w:rFonts w:hint="default" w:ascii="Times New Roman" w:hAnsi="Times New Roman" w:eastAsia="宋体" w:cs="Times New Roman"/>
                <w:color w:val="auto"/>
                <w:kern w:val="2"/>
                <w:sz w:val="18"/>
                <w:szCs w:val="22"/>
                <w:highlight w:val="none"/>
                <w:lang w:val="en-US" w:eastAsia="zh-CN" w:bidi="en-US"/>
              </w:rPr>
            </w:pPr>
            <w:r>
              <w:rPr>
                <w:rFonts w:hint="default" w:ascii="Times New Roman" w:hAnsi="Times New Roman" w:eastAsia="宋体" w:cs="Times New Roman"/>
                <w:color w:val="auto"/>
                <w:sz w:val="18"/>
                <w:szCs w:val="22"/>
                <w:highlight w:val="none"/>
                <w:lang w:bidi="en-US"/>
              </w:rPr>
              <w:t>0~0.2m</w:t>
            </w:r>
          </w:p>
        </w:tc>
        <w:tc>
          <w:tcPr>
            <w:tcW w:w="1133" w:type="dxa"/>
            <w:vMerge w:val="continue"/>
            <w:tcBorders>
              <w:top w:val="single" w:color="000000" w:sz="6" w:space="0"/>
              <w:left w:val="single" w:color="000000" w:sz="6" w:space="0"/>
              <w:bottom w:val="single" w:color="000000" w:sz="6" w:space="0"/>
              <w:right w:val="single" w:color="000000" w:sz="12" w:space="0"/>
            </w:tcBorders>
            <w:vAlign w:val="center"/>
          </w:tcPr>
          <w:p w14:paraId="72518A80">
            <w:pPr>
              <w:widowControl/>
              <w:jc w:val="left"/>
              <w:rPr>
                <w:rFonts w:hint="default" w:ascii="Times New Roman" w:hAnsi="Times New Roman" w:eastAsia="宋体" w:cs="Times New Roman"/>
                <w:color w:val="auto"/>
                <w:sz w:val="18"/>
                <w:szCs w:val="22"/>
                <w:highlight w:val="none"/>
                <w:lang w:eastAsia="en-US" w:bidi="en-US"/>
              </w:rPr>
            </w:pPr>
          </w:p>
        </w:tc>
      </w:tr>
      <w:tr w14:paraId="320C6DC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2"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460D7938">
            <w:pPr>
              <w:widowControl/>
              <w:jc w:val="left"/>
              <w:rPr>
                <w:rFonts w:hint="default" w:ascii="Times New Roman" w:hAnsi="Times New Roman" w:eastAsia="宋体" w:cs="Times New Roman"/>
                <w:color w:val="auto"/>
                <w:sz w:val="18"/>
                <w:szCs w:val="22"/>
                <w:highlight w:val="none"/>
                <w:lang w:eastAsia="en-US" w:bidi="en-US"/>
              </w:rPr>
            </w:pPr>
          </w:p>
        </w:tc>
        <w:tc>
          <w:tcPr>
            <w:tcW w:w="1642" w:type="dxa"/>
            <w:vMerge w:val="continue"/>
            <w:tcBorders>
              <w:top w:val="single" w:color="000000" w:sz="6" w:space="0"/>
              <w:left w:val="single" w:color="000000" w:sz="6" w:space="0"/>
              <w:bottom w:val="single" w:color="000000" w:sz="6" w:space="0"/>
              <w:right w:val="single" w:color="000000" w:sz="6" w:space="0"/>
            </w:tcBorders>
            <w:vAlign w:val="center"/>
          </w:tcPr>
          <w:p w14:paraId="59826834">
            <w:pPr>
              <w:widowControl/>
              <w:jc w:val="left"/>
              <w:rPr>
                <w:rFonts w:hint="default" w:ascii="Times New Roman" w:hAnsi="Times New Roman" w:eastAsia="宋体" w:cs="Times New Roman"/>
                <w:color w:val="auto"/>
                <w:sz w:val="18"/>
                <w:szCs w:val="22"/>
                <w:highlight w:val="none"/>
                <w:lang w:eastAsia="en-US" w:bidi="en-US"/>
              </w:rPr>
            </w:pPr>
          </w:p>
        </w:tc>
        <w:tc>
          <w:tcPr>
            <w:tcW w:w="1384" w:type="dxa"/>
            <w:tcBorders>
              <w:top w:val="single" w:color="000000" w:sz="4" w:space="0"/>
              <w:left w:val="single" w:color="000000" w:sz="6" w:space="0"/>
              <w:bottom w:val="single" w:color="000000" w:sz="6" w:space="0"/>
              <w:right w:val="single" w:color="000000" w:sz="4" w:space="0"/>
            </w:tcBorders>
            <w:vAlign w:val="center"/>
          </w:tcPr>
          <w:p w14:paraId="18A63379">
            <w:pPr>
              <w:autoSpaceDE w:val="0"/>
              <w:autoSpaceDN w:val="0"/>
              <w:ind w:right="225"/>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柱状样点数</w:t>
            </w:r>
          </w:p>
        </w:tc>
        <w:tc>
          <w:tcPr>
            <w:tcW w:w="1505" w:type="dxa"/>
            <w:tcBorders>
              <w:top w:val="single" w:color="000000" w:sz="4" w:space="0"/>
              <w:left w:val="single" w:color="000000" w:sz="4" w:space="0"/>
              <w:bottom w:val="single" w:color="000000" w:sz="6" w:space="0"/>
              <w:right w:val="single" w:color="000000" w:sz="4" w:space="0"/>
            </w:tcBorders>
            <w:vAlign w:val="center"/>
          </w:tcPr>
          <w:p w14:paraId="4A70DE5A">
            <w:pPr>
              <w:autoSpaceDE w:val="0"/>
              <w:autoSpaceDN w:val="0"/>
              <w:jc w:val="center"/>
              <w:rPr>
                <w:rFonts w:hint="default" w:ascii="Times New Roman" w:hAnsi="Times New Roman" w:eastAsia="宋体" w:cs="Times New Roman"/>
                <w:color w:val="auto"/>
                <w:sz w:val="18"/>
                <w:szCs w:val="22"/>
                <w:highlight w:val="none"/>
                <w:lang w:bidi="en-US"/>
              </w:rPr>
            </w:pPr>
          </w:p>
        </w:tc>
        <w:tc>
          <w:tcPr>
            <w:tcW w:w="2243" w:type="dxa"/>
            <w:gridSpan w:val="3"/>
            <w:tcBorders>
              <w:top w:val="single" w:color="000000" w:sz="4" w:space="0"/>
              <w:left w:val="single" w:color="000000" w:sz="4" w:space="0"/>
              <w:bottom w:val="single" w:color="000000" w:sz="6" w:space="0"/>
              <w:right w:val="single" w:color="000000" w:sz="4" w:space="0"/>
            </w:tcBorders>
            <w:vAlign w:val="center"/>
          </w:tcPr>
          <w:p w14:paraId="2201445C">
            <w:pPr>
              <w:autoSpaceDE w:val="0"/>
              <w:autoSpaceDN w:val="0"/>
              <w:jc w:val="center"/>
              <w:rPr>
                <w:rFonts w:hint="default" w:ascii="Times New Roman" w:hAnsi="Times New Roman" w:eastAsia="宋体" w:cs="Times New Roman"/>
                <w:color w:val="auto"/>
                <w:sz w:val="18"/>
                <w:szCs w:val="22"/>
                <w:highlight w:val="none"/>
                <w:lang w:bidi="en-US"/>
              </w:rPr>
            </w:pPr>
          </w:p>
        </w:tc>
        <w:tc>
          <w:tcPr>
            <w:tcW w:w="830" w:type="dxa"/>
            <w:gridSpan w:val="2"/>
            <w:tcBorders>
              <w:top w:val="single" w:color="000000" w:sz="4" w:space="0"/>
              <w:left w:val="single" w:color="000000" w:sz="4" w:space="0"/>
              <w:bottom w:val="single" w:color="000000" w:sz="6" w:space="0"/>
              <w:right w:val="single" w:color="000000" w:sz="6" w:space="0"/>
            </w:tcBorders>
            <w:vAlign w:val="center"/>
          </w:tcPr>
          <w:p w14:paraId="1E654045">
            <w:pPr>
              <w:autoSpaceDE w:val="0"/>
              <w:autoSpaceDN w:val="0"/>
              <w:jc w:val="center"/>
              <w:rPr>
                <w:rFonts w:hint="default" w:ascii="Times New Roman" w:hAnsi="Times New Roman" w:eastAsia="宋体" w:cs="Times New Roman"/>
                <w:color w:val="auto"/>
                <w:sz w:val="18"/>
                <w:szCs w:val="18"/>
                <w:highlight w:val="none"/>
                <w:lang w:eastAsia="en-US" w:bidi="en-US"/>
              </w:rPr>
            </w:pPr>
          </w:p>
        </w:tc>
        <w:tc>
          <w:tcPr>
            <w:tcW w:w="1133" w:type="dxa"/>
            <w:vMerge w:val="continue"/>
            <w:tcBorders>
              <w:top w:val="single" w:color="000000" w:sz="6" w:space="0"/>
              <w:left w:val="single" w:color="000000" w:sz="6" w:space="0"/>
              <w:bottom w:val="single" w:color="000000" w:sz="6" w:space="0"/>
              <w:right w:val="single" w:color="000000" w:sz="12" w:space="0"/>
            </w:tcBorders>
            <w:vAlign w:val="center"/>
          </w:tcPr>
          <w:p w14:paraId="42749FD1">
            <w:pPr>
              <w:widowControl/>
              <w:jc w:val="left"/>
              <w:rPr>
                <w:rFonts w:hint="default" w:ascii="Times New Roman" w:hAnsi="Times New Roman" w:eastAsia="宋体" w:cs="Times New Roman"/>
                <w:color w:val="auto"/>
                <w:sz w:val="18"/>
                <w:szCs w:val="22"/>
                <w:highlight w:val="none"/>
                <w:lang w:eastAsia="en-US" w:bidi="en-US"/>
              </w:rPr>
            </w:pPr>
          </w:p>
        </w:tc>
      </w:tr>
      <w:tr w14:paraId="6F764A3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0"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041BB42A">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4271F882">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现状监测因子</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09F46972">
            <w:pPr>
              <w:autoSpaceDE w:val="0"/>
              <w:autoSpaceDN w:val="0"/>
              <w:jc w:val="center"/>
              <w:rPr>
                <w:rFonts w:hint="default" w:ascii="Times New Roman" w:hAnsi="Times New Roman" w:eastAsia="宋体" w:cs="Times New Roman"/>
                <w:color w:val="auto"/>
                <w:kern w:val="2"/>
                <w:sz w:val="18"/>
                <w:szCs w:val="22"/>
                <w:highlight w:val="none"/>
                <w:lang w:val="en-US" w:eastAsia="zh-CN" w:bidi="en-US"/>
              </w:rPr>
            </w:pPr>
            <w:r>
              <w:rPr>
                <w:rFonts w:hint="default" w:ascii="Times New Roman" w:hAnsi="Times New Roman" w:eastAsia="宋体" w:cs="Times New Roman"/>
                <w:color w:val="auto"/>
                <w:sz w:val="18"/>
                <w:szCs w:val="22"/>
                <w:highlight w:val="none"/>
                <w:lang w:bidi="en-US"/>
              </w:rPr>
              <w:t>pH、镉、汞、砷、铅、铬、铜、镍、锌</w:t>
            </w:r>
          </w:p>
        </w:tc>
        <w:tc>
          <w:tcPr>
            <w:tcW w:w="1133" w:type="dxa"/>
            <w:tcBorders>
              <w:top w:val="single" w:color="000000" w:sz="6" w:space="0"/>
              <w:left w:val="single" w:color="000000" w:sz="6" w:space="0"/>
              <w:bottom w:val="single" w:color="000000" w:sz="6" w:space="0"/>
              <w:right w:val="single" w:color="000000" w:sz="12" w:space="0"/>
            </w:tcBorders>
            <w:vAlign w:val="center"/>
          </w:tcPr>
          <w:p w14:paraId="506AC4F4">
            <w:pPr>
              <w:autoSpaceDE w:val="0"/>
              <w:autoSpaceDN w:val="0"/>
              <w:jc w:val="center"/>
              <w:rPr>
                <w:rFonts w:hint="default" w:ascii="Times New Roman" w:hAnsi="Times New Roman" w:eastAsia="宋体" w:cs="Times New Roman"/>
                <w:color w:val="auto"/>
                <w:sz w:val="18"/>
                <w:szCs w:val="22"/>
                <w:highlight w:val="none"/>
                <w:lang w:bidi="en-US"/>
              </w:rPr>
            </w:pPr>
          </w:p>
        </w:tc>
      </w:tr>
      <w:tr w14:paraId="245C19A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11" w:hRule="atLeast"/>
          <w:jc w:val="center"/>
        </w:trPr>
        <w:tc>
          <w:tcPr>
            <w:tcW w:w="413" w:type="dxa"/>
            <w:vMerge w:val="restart"/>
            <w:tcBorders>
              <w:top w:val="single" w:color="000000" w:sz="6" w:space="0"/>
              <w:left w:val="single" w:color="000000" w:sz="12" w:space="0"/>
              <w:bottom w:val="single" w:color="000000" w:sz="6" w:space="0"/>
              <w:right w:val="single" w:color="000000" w:sz="6" w:space="0"/>
            </w:tcBorders>
            <w:vAlign w:val="center"/>
          </w:tcPr>
          <w:p w14:paraId="688A2241">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现状评价</w:t>
            </w:r>
          </w:p>
        </w:tc>
        <w:tc>
          <w:tcPr>
            <w:tcW w:w="1642" w:type="dxa"/>
            <w:tcBorders>
              <w:top w:val="single" w:color="000000" w:sz="6" w:space="0"/>
              <w:left w:val="single" w:color="000000" w:sz="6" w:space="0"/>
              <w:bottom w:val="single" w:color="000000" w:sz="6" w:space="0"/>
              <w:right w:val="single" w:color="000000" w:sz="6" w:space="0"/>
            </w:tcBorders>
            <w:vAlign w:val="center"/>
          </w:tcPr>
          <w:p w14:paraId="36258EF7">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评价因子</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3FEB1F69">
            <w:pPr>
              <w:autoSpaceDE w:val="0"/>
              <w:autoSpaceDN w:val="0"/>
              <w:jc w:val="center"/>
              <w:rPr>
                <w:rFonts w:hint="default" w:ascii="Times New Roman" w:hAnsi="Times New Roman" w:eastAsia="宋体" w:cs="Times New Roman"/>
                <w:color w:val="auto"/>
                <w:kern w:val="2"/>
                <w:sz w:val="18"/>
                <w:szCs w:val="22"/>
                <w:highlight w:val="none"/>
                <w:lang w:val="en-US" w:eastAsia="en-US" w:bidi="en-US"/>
              </w:rPr>
            </w:pPr>
            <w:r>
              <w:rPr>
                <w:rFonts w:hint="default" w:ascii="Times New Roman" w:hAnsi="Times New Roman" w:eastAsia="宋体" w:cs="Times New Roman"/>
                <w:color w:val="auto"/>
                <w:sz w:val="18"/>
                <w:szCs w:val="22"/>
                <w:highlight w:val="none"/>
                <w:lang w:eastAsia="en-US" w:bidi="en-US"/>
              </w:rPr>
              <w:t>pH、镉、汞、砷、铅、铬、铜、镍、锌</w:t>
            </w:r>
          </w:p>
        </w:tc>
        <w:tc>
          <w:tcPr>
            <w:tcW w:w="1133" w:type="dxa"/>
            <w:tcBorders>
              <w:top w:val="single" w:color="000000" w:sz="6" w:space="0"/>
              <w:left w:val="single" w:color="000000" w:sz="6" w:space="0"/>
              <w:bottom w:val="single" w:color="000000" w:sz="6" w:space="0"/>
              <w:right w:val="single" w:color="000000" w:sz="12" w:space="0"/>
            </w:tcBorders>
            <w:vAlign w:val="center"/>
          </w:tcPr>
          <w:p w14:paraId="5A125F1C">
            <w:pPr>
              <w:autoSpaceDE w:val="0"/>
              <w:autoSpaceDN w:val="0"/>
              <w:jc w:val="center"/>
              <w:rPr>
                <w:rFonts w:hint="default" w:ascii="Times New Roman" w:hAnsi="Times New Roman" w:eastAsia="宋体" w:cs="Times New Roman"/>
                <w:color w:val="auto"/>
                <w:sz w:val="18"/>
                <w:szCs w:val="22"/>
                <w:highlight w:val="none"/>
                <w:lang w:eastAsia="en-US" w:bidi="en-US"/>
              </w:rPr>
            </w:pPr>
          </w:p>
        </w:tc>
      </w:tr>
      <w:tr w14:paraId="045605A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0"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563C2BD9">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6413F4B8">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评价标准</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22F7AF2B">
            <w:pPr>
              <w:jc w:val="left"/>
              <w:rPr>
                <w:rFonts w:hint="default" w:ascii="Times New Roman" w:hAnsi="Times New Roman" w:eastAsia="宋体" w:cs="Times New Roman"/>
                <w:color w:val="auto"/>
                <w:kern w:val="2"/>
                <w:sz w:val="18"/>
                <w:szCs w:val="22"/>
                <w:highlight w:val="none"/>
                <w:lang w:val="en-US" w:eastAsia="zh-CN" w:bidi="en-US"/>
              </w:rPr>
            </w:pPr>
            <w:r>
              <w:rPr>
                <w:rFonts w:hint="default" w:ascii="Times New Roman" w:hAnsi="Times New Roman" w:eastAsia="宋体" w:cs="Times New Roman"/>
                <w:snapToGrid w:val="0"/>
                <w:color w:val="auto"/>
                <w:sz w:val="18"/>
                <w:szCs w:val="18"/>
                <w:highlight w:val="none"/>
              </w:rPr>
              <w:t>GB 15618</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snapToGrid w:val="0"/>
                <w:color w:val="auto"/>
                <w:sz w:val="18"/>
                <w:szCs w:val="18"/>
                <w:highlight w:val="none"/>
              </w:rPr>
              <w:t>；GB 36600</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snapToGrid w:val="0"/>
                <w:color w:val="auto"/>
                <w:sz w:val="18"/>
                <w:szCs w:val="18"/>
                <w:highlight w:val="none"/>
              </w:rPr>
              <w:t>；表D.1</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snapToGrid w:val="0"/>
                <w:color w:val="auto"/>
                <w:sz w:val="18"/>
                <w:szCs w:val="18"/>
                <w:highlight w:val="none"/>
              </w:rPr>
              <w:t>；表 D.2</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snapToGrid w:val="0"/>
                <w:color w:val="auto"/>
                <w:sz w:val="18"/>
                <w:szCs w:val="18"/>
                <w:highlight w:val="none"/>
              </w:rPr>
              <w:t>；其他（</w:t>
            </w:r>
            <w:r>
              <w:rPr>
                <w:rFonts w:hint="default" w:ascii="Times New Roman" w:hAnsi="Times New Roman" w:eastAsia="宋体" w:cs="Times New Roman"/>
                <w:color w:val="auto"/>
                <w:sz w:val="18"/>
                <w:szCs w:val="22"/>
                <w:highlight w:val="none"/>
                <w:lang w:val="en-US" w:eastAsia="zh-CN" w:bidi="en-US"/>
              </w:rPr>
              <w:t xml:space="preserve">        </w:t>
            </w:r>
            <w:r>
              <w:rPr>
                <w:rFonts w:hint="default" w:ascii="Times New Roman" w:hAnsi="Times New Roman" w:eastAsia="宋体" w:cs="Times New Roman"/>
                <w:snapToGrid w:val="0"/>
                <w:color w:val="auto"/>
                <w:sz w:val="18"/>
                <w:szCs w:val="18"/>
                <w:highlight w:val="none"/>
              </w:rPr>
              <w:t>）</w:t>
            </w:r>
          </w:p>
        </w:tc>
        <w:tc>
          <w:tcPr>
            <w:tcW w:w="1133" w:type="dxa"/>
            <w:tcBorders>
              <w:top w:val="single" w:color="000000" w:sz="6" w:space="0"/>
              <w:left w:val="single" w:color="000000" w:sz="6" w:space="0"/>
              <w:bottom w:val="single" w:color="000000" w:sz="6" w:space="0"/>
              <w:right w:val="single" w:color="000000" w:sz="12" w:space="0"/>
            </w:tcBorders>
            <w:vAlign w:val="center"/>
          </w:tcPr>
          <w:p w14:paraId="37BA0E60">
            <w:pPr>
              <w:autoSpaceDE w:val="0"/>
              <w:autoSpaceDN w:val="0"/>
              <w:jc w:val="center"/>
              <w:rPr>
                <w:rFonts w:hint="default" w:ascii="Times New Roman" w:hAnsi="Times New Roman" w:eastAsia="宋体" w:cs="Times New Roman"/>
                <w:color w:val="auto"/>
                <w:sz w:val="18"/>
                <w:szCs w:val="22"/>
                <w:highlight w:val="none"/>
                <w:lang w:bidi="en-US"/>
              </w:rPr>
            </w:pPr>
          </w:p>
        </w:tc>
      </w:tr>
      <w:tr w14:paraId="3D4DE16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1"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53E17B04">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38733BF7">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现状评价结论</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5478EDF1">
            <w:pPr>
              <w:autoSpaceDE w:val="0"/>
              <w:autoSpaceDN w:val="0"/>
              <w:jc w:val="left"/>
              <w:rPr>
                <w:rFonts w:hint="default" w:ascii="Times New Roman" w:hAnsi="Times New Roman" w:eastAsia="宋体" w:cs="Times New Roman"/>
                <w:color w:val="auto"/>
                <w:kern w:val="2"/>
                <w:sz w:val="18"/>
                <w:szCs w:val="22"/>
                <w:highlight w:val="none"/>
                <w:lang w:val="en-US" w:eastAsia="zh-CN" w:bidi="en-US"/>
              </w:rPr>
            </w:pPr>
            <w:r>
              <w:rPr>
                <w:rFonts w:hint="default" w:ascii="Times New Roman" w:hAnsi="Times New Roman" w:eastAsia="宋体" w:cs="Times New Roman"/>
                <w:color w:val="auto"/>
                <w:sz w:val="18"/>
                <w:szCs w:val="22"/>
                <w:highlight w:val="none"/>
                <w:lang w:bidi="en-US"/>
              </w:rPr>
              <w:t>满足《土壤环境质量 农用地土壤污染风险管控标准（试行）》（GB15618-2018）表1农用地土壤污染风险筛选值要求。项目厂址内土壤环境质量现状较好。</w:t>
            </w:r>
          </w:p>
        </w:tc>
        <w:tc>
          <w:tcPr>
            <w:tcW w:w="1133" w:type="dxa"/>
            <w:tcBorders>
              <w:top w:val="single" w:color="000000" w:sz="6" w:space="0"/>
              <w:left w:val="single" w:color="000000" w:sz="6" w:space="0"/>
              <w:bottom w:val="single" w:color="000000" w:sz="6" w:space="0"/>
              <w:right w:val="single" w:color="000000" w:sz="12" w:space="0"/>
            </w:tcBorders>
            <w:vAlign w:val="center"/>
          </w:tcPr>
          <w:p w14:paraId="2A8F0815">
            <w:pPr>
              <w:autoSpaceDE w:val="0"/>
              <w:autoSpaceDN w:val="0"/>
              <w:jc w:val="center"/>
              <w:rPr>
                <w:rFonts w:hint="default" w:ascii="Times New Roman" w:hAnsi="Times New Roman" w:eastAsia="宋体" w:cs="Times New Roman"/>
                <w:color w:val="auto"/>
                <w:sz w:val="18"/>
                <w:szCs w:val="22"/>
                <w:highlight w:val="none"/>
                <w:lang w:bidi="en-US"/>
              </w:rPr>
            </w:pPr>
          </w:p>
        </w:tc>
      </w:tr>
      <w:tr w14:paraId="0E65080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0" w:hRule="atLeast"/>
          <w:jc w:val="center"/>
        </w:trPr>
        <w:tc>
          <w:tcPr>
            <w:tcW w:w="413" w:type="dxa"/>
            <w:vMerge w:val="restart"/>
            <w:tcBorders>
              <w:top w:val="single" w:color="000000" w:sz="6" w:space="0"/>
              <w:left w:val="single" w:color="000000" w:sz="12" w:space="0"/>
              <w:bottom w:val="single" w:color="000000" w:sz="6" w:space="0"/>
              <w:right w:val="single" w:color="000000" w:sz="6" w:space="0"/>
            </w:tcBorders>
            <w:vAlign w:val="center"/>
          </w:tcPr>
          <w:p w14:paraId="65D02815">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影响预测</w:t>
            </w:r>
          </w:p>
        </w:tc>
        <w:tc>
          <w:tcPr>
            <w:tcW w:w="1642" w:type="dxa"/>
            <w:tcBorders>
              <w:top w:val="single" w:color="000000" w:sz="6" w:space="0"/>
              <w:left w:val="single" w:color="000000" w:sz="6" w:space="0"/>
              <w:bottom w:val="single" w:color="000000" w:sz="6" w:space="0"/>
              <w:right w:val="single" w:color="000000" w:sz="6" w:space="0"/>
            </w:tcBorders>
            <w:vAlign w:val="center"/>
          </w:tcPr>
          <w:p w14:paraId="2E70890B">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预测因子</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7041ED1A">
            <w:pPr>
              <w:autoSpaceDE w:val="0"/>
              <w:autoSpaceDN w:val="0"/>
              <w:jc w:val="left"/>
              <w:rPr>
                <w:rFonts w:hint="default" w:ascii="Times New Roman" w:hAnsi="Times New Roman" w:eastAsia="宋体" w:cs="Times New Roman"/>
                <w:color w:val="auto"/>
                <w:sz w:val="18"/>
                <w:szCs w:val="22"/>
                <w:highlight w:val="none"/>
                <w:lang w:bidi="en-US"/>
              </w:rPr>
            </w:pPr>
          </w:p>
        </w:tc>
        <w:tc>
          <w:tcPr>
            <w:tcW w:w="1133" w:type="dxa"/>
            <w:tcBorders>
              <w:top w:val="single" w:color="000000" w:sz="6" w:space="0"/>
              <w:left w:val="single" w:color="000000" w:sz="6" w:space="0"/>
              <w:bottom w:val="single" w:color="000000" w:sz="6" w:space="0"/>
              <w:right w:val="single" w:color="000000" w:sz="12" w:space="0"/>
            </w:tcBorders>
            <w:vAlign w:val="center"/>
          </w:tcPr>
          <w:p w14:paraId="17BEE265">
            <w:pPr>
              <w:autoSpaceDE w:val="0"/>
              <w:autoSpaceDN w:val="0"/>
              <w:jc w:val="center"/>
              <w:rPr>
                <w:rFonts w:hint="default" w:ascii="Times New Roman" w:hAnsi="Times New Roman" w:eastAsia="宋体" w:cs="Times New Roman"/>
                <w:color w:val="auto"/>
                <w:sz w:val="18"/>
                <w:szCs w:val="22"/>
                <w:highlight w:val="none"/>
                <w:lang w:eastAsia="en-US" w:bidi="en-US"/>
              </w:rPr>
            </w:pPr>
          </w:p>
        </w:tc>
      </w:tr>
      <w:tr w14:paraId="7E51ABA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661CB1DB">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22B26994">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预测方法</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33509383">
            <w:pPr>
              <w:tabs>
                <w:tab w:val="left" w:pos="2930"/>
              </w:tabs>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附录</w:t>
            </w:r>
            <w:r>
              <w:rPr>
                <w:rFonts w:hint="default" w:ascii="Times New Roman" w:hAnsi="Times New Roman" w:eastAsia="宋体" w:cs="Times New Roman"/>
                <w:color w:val="auto"/>
                <w:spacing w:val="-46"/>
                <w:sz w:val="18"/>
                <w:szCs w:val="22"/>
                <w:highlight w:val="none"/>
                <w:lang w:bidi="en-US"/>
              </w:rPr>
              <w:t xml:space="preserve"> </w:t>
            </w:r>
            <w:r>
              <w:rPr>
                <w:rFonts w:hint="default" w:ascii="Times New Roman" w:hAnsi="Times New Roman" w:eastAsia="宋体" w:cs="Times New Roman"/>
                <w:color w:val="auto"/>
                <w:sz w:val="18"/>
                <w:szCs w:val="22"/>
                <w:highlight w:val="none"/>
                <w:lang w:bidi="en-US"/>
              </w:rPr>
              <w:t>E□；附录</w:t>
            </w:r>
            <w:r>
              <w:rPr>
                <w:rFonts w:hint="default" w:ascii="Times New Roman" w:hAnsi="Times New Roman" w:eastAsia="宋体" w:cs="Times New Roman"/>
                <w:color w:val="auto"/>
                <w:spacing w:val="-45"/>
                <w:sz w:val="18"/>
                <w:szCs w:val="22"/>
                <w:highlight w:val="none"/>
                <w:lang w:bidi="en-US"/>
              </w:rPr>
              <w:t xml:space="preserve"> </w:t>
            </w:r>
            <w:r>
              <w:rPr>
                <w:rFonts w:hint="default" w:ascii="Times New Roman" w:hAnsi="Times New Roman" w:eastAsia="宋体" w:cs="Times New Roman"/>
                <w:color w:val="auto"/>
                <w:sz w:val="18"/>
                <w:szCs w:val="22"/>
                <w:highlight w:val="none"/>
                <w:lang w:bidi="en-US"/>
              </w:rPr>
              <w:t>F□；其他（</w:t>
            </w:r>
            <w:r>
              <w:rPr>
                <w:rFonts w:hint="default" w:ascii="Times New Roman" w:hAnsi="Times New Roman" w:eastAsia="宋体" w:cs="Times New Roman"/>
                <w:color w:val="auto"/>
                <w:sz w:val="18"/>
                <w:szCs w:val="22"/>
                <w:highlight w:val="none"/>
                <w:lang w:val="en-US" w:eastAsia="zh-CN" w:bidi="en-US"/>
              </w:rPr>
              <w:t xml:space="preserve">        </w:t>
            </w:r>
            <w:r>
              <w:rPr>
                <w:rFonts w:hint="default" w:ascii="Times New Roman" w:hAnsi="Times New Roman" w:eastAsia="宋体" w:cs="Times New Roman"/>
                <w:color w:val="auto"/>
                <w:sz w:val="18"/>
                <w:szCs w:val="22"/>
                <w:highlight w:val="none"/>
                <w:lang w:bidi="en-US"/>
              </w:rPr>
              <w:t>）</w:t>
            </w:r>
          </w:p>
        </w:tc>
        <w:tc>
          <w:tcPr>
            <w:tcW w:w="1133" w:type="dxa"/>
            <w:tcBorders>
              <w:top w:val="single" w:color="000000" w:sz="6" w:space="0"/>
              <w:left w:val="single" w:color="000000" w:sz="6" w:space="0"/>
              <w:bottom w:val="single" w:color="000000" w:sz="6" w:space="0"/>
              <w:right w:val="single" w:color="000000" w:sz="12" w:space="0"/>
            </w:tcBorders>
            <w:vAlign w:val="center"/>
          </w:tcPr>
          <w:p w14:paraId="371B9FE1">
            <w:pPr>
              <w:autoSpaceDE w:val="0"/>
              <w:autoSpaceDN w:val="0"/>
              <w:jc w:val="center"/>
              <w:rPr>
                <w:rFonts w:hint="default" w:ascii="Times New Roman" w:hAnsi="Times New Roman" w:eastAsia="宋体" w:cs="Times New Roman"/>
                <w:color w:val="auto"/>
                <w:sz w:val="18"/>
                <w:szCs w:val="22"/>
                <w:highlight w:val="none"/>
                <w:lang w:bidi="en-US"/>
              </w:rPr>
            </w:pPr>
          </w:p>
        </w:tc>
      </w:tr>
      <w:tr w14:paraId="4B528B8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0"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768C3812">
            <w:pPr>
              <w:widowControl/>
              <w:jc w:val="left"/>
              <w:rPr>
                <w:rFonts w:hint="default" w:ascii="Times New Roman" w:hAnsi="Times New Roman" w:eastAsia="宋体" w:cs="Times New Roman"/>
                <w:color w:val="auto"/>
                <w:sz w:val="18"/>
                <w:szCs w:val="22"/>
                <w:highlight w:val="none"/>
                <w:lang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79FB6471">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预测分析内容</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1DAADEBC">
            <w:pPr>
              <w:tabs>
                <w:tab w:val="left" w:pos="1639"/>
              </w:tabs>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影响范围（</w:t>
            </w:r>
            <w:r>
              <w:rPr>
                <w:rFonts w:hint="default" w:ascii="Times New Roman" w:hAnsi="Times New Roman" w:eastAsia="宋体" w:cs="Times New Roman"/>
                <w:color w:val="auto"/>
                <w:sz w:val="18"/>
                <w:szCs w:val="22"/>
                <w:highlight w:val="none"/>
                <w:lang w:val="en-US" w:eastAsia="zh-CN" w:bidi="en-US"/>
              </w:rPr>
              <w:t xml:space="preserve">        </w:t>
            </w:r>
            <w:r>
              <w:rPr>
                <w:rFonts w:hint="default" w:ascii="Times New Roman" w:hAnsi="Times New Roman" w:eastAsia="宋体" w:cs="Times New Roman"/>
                <w:color w:val="auto"/>
                <w:sz w:val="18"/>
                <w:szCs w:val="22"/>
                <w:highlight w:val="none"/>
                <w:lang w:bidi="en-US"/>
              </w:rPr>
              <w:t>）</w:t>
            </w:r>
          </w:p>
          <w:p w14:paraId="64854E6A">
            <w:pPr>
              <w:tabs>
                <w:tab w:val="left" w:pos="1639"/>
              </w:tabs>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影响程度（</w:t>
            </w:r>
            <w:r>
              <w:rPr>
                <w:rFonts w:hint="default" w:ascii="Times New Roman" w:hAnsi="Times New Roman" w:eastAsia="宋体" w:cs="Times New Roman"/>
                <w:color w:val="auto"/>
                <w:sz w:val="18"/>
                <w:szCs w:val="18"/>
                <w:highlight w:val="none"/>
              </w:rPr>
              <w:t xml:space="preserve">        </w:t>
            </w:r>
            <w:r>
              <w:rPr>
                <w:rFonts w:hint="default" w:ascii="Times New Roman" w:hAnsi="Times New Roman" w:eastAsia="宋体" w:cs="Times New Roman"/>
                <w:color w:val="auto"/>
                <w:sz w:val="18"/>
                <w:szCs w:val="22"/>
                <w:highlight w:val="none"/>
                <w:lang w:bidi="en-US"/>
              </w:rPr>
              <w:t>）</w:t>
            </w:r>
          </w:p>
        </w:tc>
        <w:tc>
          <w:tcPr>
            <w:tcW w:w="1133" w:type="dxa"/>
            <w:tcBorders>
              <w:top w:val="single" w:color="000000" w:sz="6" w:space="0"/>
              <w:left w:val="single" w:color="000000" w:sz="6" w:space="0"/>
              <w:bottom w:val="single" w:color="000000" w:sz="6" w:space="0"/>
              <w:right w:val="single" w:color="000000" w:sz="12" w:space="0"/>
            </w:tcBorders>
            <w:vAlign w:val="center"/>
          </w:tcPr>
          <w:p w14:paraId="52D97E38">
            <w:pPr>
              <w:autoSpaceDE w:val="0"/>
              <w:autoSpaceDN w:val="0"/>
              <w:jc w:val="center"/>
              <w:rPr>
                <w:rFonts w:hint="default" w:ascii="Times New Roman" w:hAnsi="Times New Roman" w:eastAsia="宋体" w:cs="Times New Roman"/>
                <w:color w:val="auto"/>
                <w:sz w:val="18"/>
                <w:szCs w:val="22"/>
                <w:highlight w:val="none"/>
                <w:lang w:bidi="en-US"/>
              </w:rPr>
            </w:pPr>
          </w:p>
        </w:tc>
      </w:tr>
      <w:tr w14:paraId="7DB18A1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1"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15247CF9">
            <w:pPr>
              <w:widowControl/>
              <w:jc w:val="left"/>
              <w:rPr>
                <w:rFonts w:hint="default" w:ascii="Times New Roman" w:hAnsi="Times New Roman" w:eastAsia="宋体" w:cs="Times New Roman"/>
                <w:color w:val="auto"/>
                <w:sz w:val="18"/>
                <w:szCs w:val="22"/>
                <w:highlight w:val="none"/>
                <w:lang w:bidi="en-US"/>
              </w:rPr>
            </w:pPr>
          </w:p>
        </w:tc>
        <w:tc>
          <w:tcPr>
            <w:tcW w:w="1642" w:type="dxa"/>
            <w:tcBorders>
              <w:top w:val="single" w:color="000000" w:sz="6" w:space="0"/>
              <w:left w:val="single" w:color="000000" w:sz="6" w:space="0"/>
              <w:bottom w:val="single" w:color="000000" w:sz="6" w:space="0"/>
              <w:right w:val="single" w:color="000000" w:sz="6" w:space="0"/>
            </w:tcBorders>
            <w:vAlign w:val="center"/>
          </w:tcPr>
          <w:p w14:paraId="6CBA296F">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预测结论</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41C3721E">
            <w:pPr>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达标结论：a）□；b）□；c）□</w:t>
            </w:r>
          </w:p>
          <w:p w14:paraId="0D68DA93">
            <w:pPr>
              <w:autoSpaceDE w:val="0"/>
              <w:autoSpaceDN w:val="0"/>
              <w:jc w:val="left"/>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不达标结论：a）□；b）□</w:t>
            </w:r>
          </w:p>
        </w:tc>
        <w:tc>
          <w:tcPr>
            <w:tcW w:w="1133" w:type="dxa"/>
            <w:tcBorders>
              <w:top w:val="single" w:color="000000" w:sz="6" w:space="0"/>
              <w:left w:val="single" w:color="000000" w:sz="6" w:space="0"/>
              <w:bottom w:val="single" w:color="000000" w:sz="6" w:space="0"/>
              <w:right w:val="single" w:color="000000" w:sz="12" w:space="0"/>
            </w:tcBorders>
            <w:vAlign w:val="center"/>
          </w:tcPr>
          <w:p w14:paraId="40034108">
            <w:pPr>
              <w:autoSpaceDE w:val="0"/>
              <w:autoSpaceDN w:val="0"/>
              <w:jc w:val="center"/>
              <w:rPr>
                <w:rFonts w:hint="default" w:ascii="Times New Roman" w:hAnsi="Times New Roman" w:eastAsia="宋体" w:cs="Times New Roman"/>
                <w:color w:val="auto"/>
                <w:sz w:val="18"/>
                <w:szCs w:val="22"/>
                <w:highlight w:val="none"/>
                <w:lang w:bidi="en-US"/>
              </w:rPr>
            </w:pPr>
          </w:p>
        </w:tc>
      </w:tr>
      <w:tr w14:paraId="6A6B5BC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restart"/>
            <w:tcBorders>
              <w:top w:val="single" w:color="000000" w:sz="6" w:space="0"/>
              <w:left w:val="single" w:color="000000" w:sz="12" w:space="0"/>
              <w:bottom w:val="single" w:color="000000" w:sz="6" w:space="0"/>
              <w:right w:val="single" w:color="000000" w:sz="6" w:space="0"/>
            </w:tcBorders>
            <w:vAlign w:val="center"/>
          </w:tcPr>
          <w:p w14:paraId="783E948B">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防治措施</w:t>
            </w:r>
          </w:p>
        </w:tc>
        <w:tc>
          <w:tcPr>
            <w:tcW w:w="1642" w:type="dxa"/>
            <w:tcBorders>
              <w:top w:val="single" w:color="000000" w:sz="6" w:space="0"/>
              <w:left w:val="single" w:color="000000" w:sz="6" w:space="0"/>
              <w:bottom w:val="single" w:color="000000" w:sz="6" w:space="0"/>
              <w:right w:val="single" w:color="000000" w:sz="6" w:space="0"/>
            </w:tcBorders>
            <w:vAlign w:val="center"/>
          </w:tcPr>
          <w:p w14:paraId="45B82306">
            <w:pPr>
              <w:autoSpaceDE w:val="0"/>
              <w:autoSpaceDN w:val="0"/>
              <w:ind w:right="83" w:rightChars="0"/>
              <w:jc w:val="center"/>
              <w:rPr>
                <w:rFonts w:hint="default" w:ascii="Times New Roman" w:hAnsi="Times New Roman" w:eastAsia="宋体" w:cs="Times New Roman"/>
                <w:color w:val="auto"/>
                <w:kern w:val="2"/>
                <w:sz w:val="18"/>
                <w:szCs w:val="22"/>
                <w:highlight w:val="none"/>
                <w:lang w:val="en-US" w:eastAsia="en-US" w:bidi="en-US"/>
              </w:rPr>
            </w:pPr>
            <w:r>
              <w:rPr>
                <w:rFonts w:hint="default" w:ascii="Times New Roman" w:hAnsi="Times New Roman" w:eastAsia="宋体" w:cs="Times New Roman"/>
                <w:color w:val="auto"/>
                <w:sz w:val="18"/>
                <w:szCs w:val="22"/>
                <w:highlight w:val="none"/>
                <w:lang w:eastAsia="en-US" w:bidi="en-US"/>
              </w:rPr>
              <w:t>防控措施</w:t>
            </w:r>
          </w:p>
        </w:tc>
        <w:tc>
          <w:tcPr>
            <w:tcW w:w="5962" w:type="dxa"/>
            <w:gridSpan w:val="7"/>
            <w:tcBorders>
              <w:top w:val="single" w:color="000000" w:sz="6" w:space="0"/>
              <w:left w:val="single" w:color="000000" w:sz="6" w:space="0"/>
              <w:bottom w:val="single" w:color="000000" w:sz="6" w:space="0"/>
              <w:right w:val="single" w:color="000000" w:sz="6" w:space="0"/>
            </w:tcBorders>
            <w:vAlign w:val="center"/>
          </w:tcPr>
          <w:p w14:paraId="65236FA3">
            <w:pPr>
              <w:ind w:left="54" w:leftChars="0"/>
              <w:jc w:val="both"/>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sz w:val="18"/>
                <w:szCs w:val="18"/>
                <w:highlight w:val="none"/>
              </w:rPr>
              <w:t>土壤环境质量现状保障</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color w:val="auto"/>
                <w:sz w:val="18"/>
                <w:szCs w:val="18"/>
                <w:highlight w:val="none"/>
              </w:rPr>
              <w:t>；源头控制</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color w:val="auto"/>
                <w:sz w:val="18"/>
                <w:szCs w:val="18"/>
                <w:highlight w:val="none"/>
              </w:rPr>
              <w:t>；过程防控</w:t>
            </w:r>
            <w:r>
              <w:rPr>
                <w:rFonts w:hint="default" w:ascii="Times New Roman" w:hAnsi="Times New Roman" w:eastAsia="宋体" w:cs="Times New Roman"/>
                <w:color w:val="auto"/>
                <w:sz w:val="18"/>
                <w:szCs w:val="22"/>
                <w:highlight w:val="none"/>
                <w:lang w:bidi="en-US"/>
              </w:rPr>
              <w:t>√</w:t>
            </w:r>
            <w:r>
              <w:rPr>
                <w:rFonts w:hint="default" w:ascii="Times New Roman" w:hAnsi="Times New Roman" w:eastAsia="宋体" w:cs="Times New Roman"/>
                <w:color w:val="auto"/>
                <w:sz w:val="18"/>
                <w:szCs w:val="18"/>
                <w:highlight w:val="none"/>
              </w:rPr>
              <w:t>；其它（</w:t>
            </w:r>
            <w:r>
              <w:rPr>
                <w:rFonts w:hint="default" w:ascii="Times New Roman" w:hAnsi="Times New Roman" w:eastAsia="宋体" w:cs="Times New Roman"/>
                <w:color w:val="auto"/>
                <w:sz w:val="18"/>
                <w:szCs w:val="22"/>
                <w:highlight w:val="none"/>
                <w:lang w:val="en-US" w:eastAsia="zh-CN" w:bidi="en-US"/>
              </w:rPr>
              <w:t xml:space="preserve">        </w:t>
            </w:r>
            <w:r>
              <w:rPr>
                <w:rFonts w:hint="default" w:ascii="Times New Roman" w:hAnsi="Times New Roman" w:eastAsia="宋体" w:cs="Times New Roman"/>
                <w:color w:val="auto"/>
                <w:sz w:val="18"/>
                <w:szCs w:val="18"/>
                <w:highlight w:val="none"/>
              </w:rPr>
              <w:t>）</w:t>
            </w:r>
          </w:p>
        </w:tc>
        <w:tc>
          <w:tcPr>
            <w:tcW w:w="1133" w:type="dxa"/>
            <w:tcBorders>
              <w:top w:val="single" w:color="000000" w:sz="6" w:space="0"/>
              <w:left w:val="single" w:color="000000" w:sz="6" w:space="0"/>
              <w:bottom w:val="single" w:color="000000" w:sz="6" w:space="0"/>
              <w:right w:val="single" w:color="000000" w:sz="12" w:space="0"/>
            </w:tcBorders>
            <w:vAlign w:val="center"/>
          </w:tcPr>
          <w:p w14:paraId="205DCE69">
            <w:pPr>
              <w:autoSpaceDE w:val="0"/>
              <w:autoSpaceDN w:val="0"/>
              <w:jc w:val="center"/>
              <w:rPr>
                <w:rFonts w:hint="default" w:ascii="Times New Roman" w:hAnsi="Times New Roman" w:eastAsia="宋体" w:cs="Times New Roman"/>
                <w:color w:val="auto"/>
                <w:sz w:val="18"/>
                <w:szCs w:val="22"/>
                <w:highlight w:val="none"/>
                <w:lang w:bidi="en-US"/>
              </w:rPr>
            </w:pPr>
          </w:p>
        </w:tc>
      </w:tr>
      <w:tr w14:paraId="4CF2178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1"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3518F8E6">
            <w:pPr>
              <w:widowControl/>
              <w:jc w:val="left"/>
              <w:rPr>
                <w:rFonts w:hint="default" w:ascii="Times New Roman" w:hAnsi="Times New Roman" w:eastAsia="宋体" w:cs="Times New Roman"/>
                <w:color w:val="auto"/>
                <w:sz w:val="18"/>
                <w:szCs w:val="22"/>
                <w:highlight w:val="none"/>
                <w:lang w:bidi="en-US"/>
              </w:rPr>
            </w:pPr>
          </w:p>
        </w:tc>
        <w:tc>
          <w:tcPr>
            <w:tcW w:w="1642" w:type="dxa"/>
            <w:vMerge w:val="restart"/>
            <w:tcBorders>
              <w:top w:val="single" w:color="000000" w:sz="6" w:space="0"/>
              <w:left w:val="single" w:color="000000" w:sz="6" w:space="0"/>
              <w:bottom w:val="single" w:color="000000" w:sz="4" w:space="0"/>
              <w:right w:val="single" w:color="000000" w:sz="6" w:space="0"/>
            </w:tcBorders>
            <w:vAlign w:val="center"/>
          </w:tcPr>
          <w:p w14:paraId="08C485A6">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跟踪监测</w:t>
            </w:r>
          </w:p>
        </w:tc>
        <w:tc>
          <w:tcPr>
            <w:tcW w:w="2889" w:type="dxa"/>
            <w:gridSpan w:val="2"/>
            <w:tcBorders>
              <w:top w:val="single" w:color="000000" w:sz="6" w:space="0"/>
              <w:left w:val="single" w:color="000000" w:sz="6" w:space="0"/>
              <w:bottom w:val="single" w:color="000000" w:sz="6" w:space="0"/>
              <w:right w:val="single" w:color="000000" w:sz="4" w:space="0"/>
            </w:tcBorders>
            <w:vAlign w:val="center"/>
          </w:tcPr>
          <w:p w14:paraId="619E0B1A">
            <w:pPr>
              <w:jc w:val="center"/>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监测点数</w:t>
            </w:r>
          </w:p>
        </w:tc>
        <w:tc>
          <w:tcPr>
            <w:tcW w:w="1588" w:type="dxa"/>
            <w:tcBorders>
              <w:top w:val="single" w:color="000000" w:sz="6" w:space="0"/>
              <w:left w:val="single" w:color="000000" w:sz="4" w:space="0"/>
              <w:bottom w:val="single" w:color="000000" w:sz="6" w:space="0"/>
              <w:right w:val="single" w:color="000000" w:sz="4" w:space="0"/>
            </w:tcBorders>
            <w:vAlign w:val="center"/>
          </w:tcPr>
          <w:p w14:paraId="20C0CBB9">
            <w:pPr>
              <w:autoSpaceDE w:val="0"/>
              <w:autoSpaceDN w:val="0"/>
              <w:jc w:val="center"/>
              <w:rPr>
                <w:rFonts w:hint="default" w:ascii="Times New Roman" w:hAnsi="Times New Roman" w:eastAsia="宋体" w:cs="Times New Roman"/>
                <w:color w:val="auto"/>
                <w:sz w:val="18"/>
                <w:szCs w:val="18"/>
                <w:highlight w:val="none"/>
                <w:lang w:eastAsia="en-US" w:bidi="en-US"/>
              </w:rPr>
            </w:pPr>
            <w:r>
              <w:rPr>
                <w:rFonts w:hint="default" w:ascii="Times New Roman" w:hAnsi="Times New Roman" w:eastAsia="宋体" w:cs="Times New Roman"/>
                <w:color w:val="auto"/>
                <w:sz w:val="18"/>
                <w:szCs w:val="18"/>
                <w:highlight w:val="none"/>
                <w:lang w:eastAsia="en-US" w:bidi="en-US"/>
              </w:rPr>
              <w:t>监测指标</w:t>
            </w:r>
          </w:p>
        </w:tc>
        <w:tc>
          <w:tcPr>
            <w:tcW w:w="1485" w:type="dxa"/>
            <w:gridSpan w:val="4"/>
            <w:tcBorders>
              <w:top w:val="single" w:color="000000" w:sz="6" w:space="0"/>
              <w:left w:val="single" w:color="000000" w:sz="4" w:space="0"/>
              <w:bottom w:val="single" w:color="000000" w:sz="6" w:space="0"/>
              <w:right w:val="single" w:color="000000" w:sz="6" w:space="0"/>
            </w:tcBorders>
            <w:vAlign w:val="center"/>
          </w:tcPr>
          <w:p w14:paraId="05665746">
            <w:pPr>
              <w:autoSpaceDE w:val="0"/>
              <w:autoSpaceDN w:val="0"/>
              <w:jc w:val="center"/>
              <w:rPr>
                <w:rFonts w:hint="default" w:ascii="Times New Roman" w:hAnsi="Times New Roman" w:eastAsia="宋体" w:cs="Times New Roman"/>
                <w:color w:val="auto"/>
                <w:sz w:val="18"/>
                <w:szCs w:val="18"/>
                <w:highlight w:val="none"/>
                <w:lang w:eastAsia="en-US" w:bidi="en-US"/>
              </w:rPr>
            </w:pPr>
            <w:r>
              <w:rPr>
                <w:rFonts w:hint="default" w:ascii="Times New Roman" w:hAnsi="Times New Roman" w:eastAsia="宋体" w:cs="Times New Roman"/>
                <w:color w:val="auto"/>
                <w:sz w:val="18"/>
                <w:szCs w:val="18"/>
                <w:highlight w:val="none"/>
                <w:lang w:eastAsia="en-US" w:bidi="en-US"/>
              </w:rPr>
              <w:t>监测频次</w:t>
            </w:r>
          </w:p>
        </w:tc>
        <w:tc>
          <w:tcPr>
            <w:tcW w:w="1133" w:type="dxa"/>
            <w:vMerge w:val="restart"/>
            <w:tcBorders>
              <w:top w:val="single" w:color="000000" w:sz="6" w:space="0"/>
              <w:left w:val="single" w:color="000000" w:sz="6" w:space="0"/>
              <w:bottom w:val="single" w:color="000000" w:sz="6" w:space="0"/>
              <w:right w:val="single" w:color="000000" w:sz="12" w:space="0"/>
            </w:tcBorders>
            <w:vAlign w:val="center"/>
          </w:tcPr>
          <w:p w14:paraId="51F22AB7">
            <w:pPr>
              <w:autoSpaceDE w:val="0"/>
              <w:autoSpaceDN w:val="0"/>
              <w:jc w:val="center"/>
              <w:rPr>
                <w:rFonts w:hint="default" w:ascii="Times New Roman" w:hAnsi="Times New Roman" w:eastAsia="宋体" w:cs="Times New Roman"/>
                <w:color w:val="auto"/>
                <w:sz w:val="18"/>
                <w:szCs w:val="22"/>
                <w:highlight w:val="none"/>
                <w:lang w:eastAsia="en-US" w:bidi="en-US"/>
              </w:rPr>
            </w:pPr>
          </w:p>
        </w:tc>
      </w:tr>
      <w:tr w14:paraId="2419140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8"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384BE828">
            <w:pPr>
              <w:widowControl/>
              <w:jc w:val="left"/>
              <w:rPr>
                <w:rFonts w:hint="default" w:ascii="Times New Roman" w:hAnsi="Times New Roman" w:eastAsia="宋体" w:cs="Times New Roman"/>
                <w:color w:val="auto"/>
                <w:sz w:val="18"/>
                <w:szCs w:val="22"/>
                <w:highlight w:val="none"/>
                <w:lang w:eastAsia="en-US" w:bidi="en-US"/>
              </w:rPr>
            </w:pPr>
          </w:p>
        </w:tc>
        <w:tc>
          <w:tcPr>
            <w:tcW w:w="1642" w:type="dxa"/>
            <w:vMerge w:val="continue"/>
            <w:tcBorders>
              <w:top w:val="single" w:color="000000" w:sz="6" w:space="0"/>
              <w:left w:val="single" w:color="000000" w:sz="6" w:space="0"/>
              <w:bottom w:val="single" w:color="000000" w:sz="4" w:space="0"/>
              <w:right w:val="single" w:color="000000" w:sz="6" w:space="0"/>
            </w:tcBorders>
            <w:vAlign w:val="center"/>
          </w:tcPr>
          <w:p w14:paraId="22A26409">
            <w:pPr>
              <w:widowControl/>
              <w:jc w:val="left"/>
              <w:rPr>
                <w:rFonts w:hint="default" w:ascii="Times New Roman" w:hAnsi="Times New Roman" w:eastAsia="宋体" w:cs="Times New Roman"/>
                <w:color w:val="auto"/>
                <w:sz w:val="18"/>
                <w:szCs w:val="22"/>
                <w:highlight w:val="none"/>
                <w:lang w:eastAsia="en-US" w:bidi="en-US"/>
              </w:rPr>
            </w:pPr>
          </w:p>
        </w:tc>
        <w:tc>
          <w:tcPr>
            <w:tcW w:w="2889" w:type="dxa"/>
            <w:gridSpan w:val="2"/>
            <w:tcBorders>
              <w:top w:val="single" w:color="000000" w:sz="6" w:space="0"/>
              <w:left w:val="single" w:color="000000" w:sz="6" w:space="0"/>
              <w:bottom w:val="single" w:color="000000" w:sz="4" w:space="0"/>
              <w:right w:val="single" w:color="000000" w:sz="4" w:space="0"/>
            </w:tcBorders>
            <w:vAlign w:val="center"/>
          </w:tcPr>
          <w:p w14:paraId="5C4B623A">
            <w:pPr>
              <w:autoSpaceDE w:val="0"/>
              <w:autoSpaceDN w:val="0"/>
              <w:jc w:val="center"/>
              <w:rPr>
                <w:rFonts w:hint="default" w:ascii="Times New Roman" w:hAnsi="Times New Roman" w:eastAsia="宋体" w:cs="Times New Roman"/>
                <w:color w:val="auto"/>
                <w:sz w:val="18"/>
                <w:szCs w:val="18"/>
                <w:highlight w:val="none"/>
                <w:lang w:bidi="en-US"/>
              </w:rPr>
            </w:pPr>
          </w:p>
        </w:tc>
        <w:tc>
          <w:tcPr>
            <w:tcW w:w="1588" w:type="dxa"/>
            <w:tcBorders>
              <w:top w:val="single" w:color="000000" w:sz="6" w:space="0"/>
              <w:left w:val="single" w:color="000000" w:sz="4" w:space="0"/>
              <w:bottom w:val="single" w:color="000000" w:sz="4" w:space="0"/>
              <w:right w:val="single" w:color="000000" w:sz="4" w:space="0"/>
            </w:tcBorders>
            <w:vAlign w:val="center"/>
          </w:tcPr>
          <w:p w14:paraId="0164EEE3">
            <w:pPr>
              <w:autoSpaceDE w:val="0"/>
              <w:autoSpaceDN w:val="0"/>
              <w:jc w:val="center"/>
              <w:rPr>
                <w:rFonts w:hint="default" w:ascii="Times New Roman" w:hAnsi="Times New Roman" w:eastAsia="宋体" w:cs="Times New Roman"/>
                <w:color w:val="auto"/>
                <w:sz w:val="18"/>
                <w:szCs w:val="18"/>
                <w:highlight w:val="none"/>
                <w:lang w:bidi="en-US"/>
              </w:rPr>
            </w:pPr>
          </w:p>
        </w:tc>
        <w:tc>
          <w:tcPr>
            <w:tcW w:w="1485" w:type="dxa"/>
            <w:gridSpan w:val="4"/>
            <w:tcBorders>
              <w:top w:val="single" w:color="000000" w:sz="6" w:space="0"/>
              <w:left w:val="single" w:color="000000" w:sz="4" w:space="0"/>
              <w:bottom w:val="single" w:color="000000" w:sz="4" w:space="0"/>
              <w:right w:val="single" w:color="000000" w:sz="6" w:space="0"/>
            </w:tcBorders>
            <w:vAlign w:val="center"/>
          </w:tcPr>
          <w:p w14:paraId="0963345E">
            <w:pPr>
              <w:autoSpaceDE w:val="0"/>
              <w:autoSpaceDN w:val="0"/>
              <w:jc w:val="center"/>
              <w:rPr>
                <w:rFonts w:hint="default" w:ascii="Times New Roman" w:hAnsi="Times New Roman" w:eastAsia="宋体" w:cs="Times New Roman"/>
                <w:color w:val="auto"/>
                <w:sz w:val="18"/>
                <w:szCs w:val="18"/>
                <w:highlight w:val="none"/>
                <w:lang w:eastAsia="en-US" w:bidi="en-US"/>
              </w:rPr>
            </w:pPr>
          </w:p>
        </w:tc>
        <w:tc>
          <w:tcPr>
            <w:tcW w:w="1133" w:type="dxa"/>
            <w:vMerge w:val="continue"/>
            <w:tcBorders>
              <w:top w:val="single" w:color="000000" w:sz="6" w:space="0"/>
              <w:left w:val="single" w:color="000000" w:sz="6" w:space="0"/>
              <w:bottom w:val="single" w:color="000000" w:sz="6" w:space="0"/>
              <w:right w:val="single" w:color="000000" w:sz="12" w:space="0"/>
            </w:tcBorders>
            <w:vAlign w:val="center"/>
          </w:tcPr>
          <w:p w14:paraId="539B568C">
            <w:pPr>
              <w:widowControl/>
              <w:jc w:val="left"/>
              <w:rPr>
                <w:rFonts w:hint="default" w:ascii="Times New Roman" w:hAnsi="Times New Roman" w:eastAsia="宋体" w:cs="Times New Roman"/>
                <w:color w:val="auto"/>
                <w:sz w:val="18"/>
                <w:szCs w:val="22"/>
                <w:highlight w:val="none"/>
                <w:lang w:eastAsia="en-US" w:bidi="en-US"/>
              </w:rPr>
            </w:pPr>
          </w:p>
        </w:tc>
      </w:tr>
      <w:tr w14:paraId="68F7E12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1" w:hRule="atLeast"/>
          <w:jc w:val="center"/>
        </w:trPr>
        <w:tc>
          <w:tcPr>
            <w:tcW w:w="413" w:type="dxa"/>
            <w:vMerge w:val="continue"/>
            <w:tcBorders>
              <w:top w:val="single" w:color="000000" w:sz="6" w:space="0"/>
              <w:left w:val="single" w:color="000000" w:sz="12" w:space="0"/>
              <w:bottom w:val="single" w:color="000000" w:sz="6" w:space="0"/>
              <w:right w:val="single" w:color="000000" w:sz="6" w:space="0"/>
            </w:tcBorders>
            <w:vAlign w:val="center"/>
          </w:tcPr>
          <w:p w14:paraId="494608F7">
            <w:pPr>
              <w:widowControl/>
              <w:jc w:val="left"/>
              <w:rPr>
                <w:rFonts w:hint="default" w:ascii="Times New Roman" w:hAnsi="Times New Roman" w:eastAsia="宋体" w:cs="Times New Roman"/>
                <w:color w:val="auto"/>
                <w:sz w:val="18"/>
                <w:szCs w:val="22"/>
                <w:highlight w:val="none"/>
                <w:lang w:eastAsia="en-US" w:bidi="en-US"/>
              </w:rPr>
            </w:pPr>
          </w:p>
        </w:tc>
        <w:tc>
          <w:tcPr>
            <w:tcW w:w="1642" w:type="dxa"/>
            <w:tcBorders>
              <w:top w:val="single" w:color="000000" w:sz="4" w:space="0"/>
              <w:left w:val="single" w:color="000000" w:sz="6" w:space="0"/>
              <w:bottom w:val="single" w:color="000000" w:sz="6" w:space="0"/>
              <w:right w:val="single" w:color="000000" w:sz="6" w:space="0"/>
            </w:tcBorders>
            <w:vAlign w:val="center"/>
          </w:tcPr>
          <w:p w14:paraId="7798C54A">
            <w:pPr>
              <w:autoSpaceDE w:val="0"/>
              <w:autoSpaceDN w:val="0"/>
              <w:ind w:right="83"/>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信息公开指标</w:t>
            </w:r>
          </w:p>
        </w:tc>
        <w:tc>
          <w:tcPr>
            <w:tcW w:w="5962" w:type="dxa"/>
            <w:gridSpan w:val="7"/>
            <w:tcBorders>
              <w:top w:val="single" w:color="000000" w:sz="4" w:space="0"/>
              <w:left w:val="single" w:color="000000" w:sz="6" w:space="0"/>
              <w:bottom w:val="single" w:color="000000" w:sz="6" w:space="0"/>
              <w:right w:val="single" w:color="000000" w:sz="6" w:space="0"/>
            </w:tcBorders>
            <w:vAlign w:val="center"/>
          </w:tcPr>
          <w:p w14:paraId="14F41BB1">
            <w:pPr>
              <w:jc w:val="center"/>
              <w:rPr>
                <w:rFonts w:hint="default" w:ascii="Times New Roman" w:hAnsi="Times New Roman" w:eastAsia="宋体" w:cs="Times New Roman"/>
                <w:color w:val="auto"/>
                <w:sz w:val="18"/>
                <w:szCs w:val="18"/>
                <w:highlight w:val="none"/>
              </w:rPr>
            </w:pPr>
          </w:p>
        </w:tc>
        <w:tc>
          <w:tcPr>
            <w:tcW w:w="1133" w:type="dxa"/>
            <w:vMerge w:val="continue"/>
            <w:tcBorders>
              <w:top w:val="single" w:color="000000" w:sz="6" w:space="0"/>
              <w:left w:val="single" w:color="000000" w:sz="6" w:space="0"/>
              <w:bottom w:val="single" w:color="000000" w:sz="6" w:space="0"/>
              <w:right w:val="single" w:color="000000" w:sz="12" w:space="0"/>
            </w:tcBorders>
            <w:vAlign w:val="center"/>
          </w:tcPr>
          <w:p w14:paraId="6AE06ABF">
            <w:pPr>
              <w:widowControl/>
              <w:jc w:val="left"/>
              <w:rPr>
                <w:rFonts w:hint="default" w:ascii="Times New Roman" w:hAnsi="Times New Roman" w:eastAsia="宋体" w:cs="Times New Roman"/>
                <w:color w:val="auto"/>
                <w:sz w:val="18"/>
                <w:szCs w:val="22"/>
                <w:highlight w:val="none"/>
                <w:lang w:bidi="en-US"/>
              </w:rPr>
            </w:pPr>
          </w:p>
        </w:tc>
      </w:tr>
      <w:tr w14:paraId="0AD42A0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10" w:hRule="atLeast"/>
          <w:jc w:val="center"/>
        </w:trPr>
        <w:tc>
          <w:tcPr>
            <w:tcW w:w="2055" w:type="dxa"/>
            <w:gridSpan w:val="2"/>
            <w:tcBorders>
              <w:top w:val="single" w:color="000000" w:sz="6" w:space="0"/>
              <w:left w:val="single" w:color="000000" w:sz="12" w:space="0"/>
              <w:bottom w:val="single" w:color="000000" w:sz="8" w:space="0"/>
              <w:right w:val="single" w:color="000000" w:sz="6" w:space="0"/>
            </w:tcBorders>
            <w:vAlign w:val="center"/>
          </w:tcPr>
          <w:p w14:paraId="269D5B32">
            <w:pPr>
              <w:autoSpaceDE w:val="0"/>
              <w:autoSpaceDN w:val="0"/>
              <w:jc w:val="center"/>
              <w:rPr>
                <w:rFonts w:hint="default" w:ascii="Times New Roman" w:hAnsi="Times New Roman" w:eastAsia="宋体" w:cs="Times New Roman"/>
                <w:color w:val="auto"/>
                <w:sz w:val="18"/>
                <w:szCs w:val="22"/>
                <w:highlight w:val="none"/>
                <w:lang w:eastAsia="en-US" w:bidi="en-US"/>
              </w:rPr>
            </w:pPr>
            <w:r>
              <w:rPr>
                <w:rFonts w:hint="default" w:ascii="Times New Roman" w:hAnsi="Times New Roman" w:eastAsia="宋体" w:cs="Times New Roman"/>
                <w:color w:val="auto"/>
                <w:sz w:val="18"/>
                <w:szCs w:val="22"/>
                <w:highlight w:val="none"/>
                <w:lang w:eastAsia="en-US" w:bidi="en-US"/>
              </w:rPr>
              <w:t>评价结论</w:t>
            </w:r>
          </w:p>
        </w:tc>
        <w:tc>
          <w:tcPr>
            <w:tcW w:w="5962" w:type="dxa"/>
            <w:gridSpan w:val="7"/>
            <w:tcBorders>
              <w:top w:val="single" w:color="000000" w:sz="6" w:space="0"/>
              <w:left w:val="single" w:color="000000" w:sz="6" w:space="0"/>
              <w:bottom w:val="single" w:color="000000" w:sz="8" w:space="0"/>
              <w:right w:val="single" w:color="000000" w:sz="6" w:space="0"/>
            </w:tcBorders>
            <w:vAlign w:val="center"/>
          </w:tcPr>
          <w:p w14:paraId="4995E054">
            <w:pPr>
              <w:autoSpaceDE w:val="0"/>
              <w:autoSpaceDN w:val="0"/>
              <w:jc w:val="center"/>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highlight w:val="none"/>
                <w:lang w:bidi="en-US"/>
              </w:rPr>
              <w:t>土壤环境影响可接受</w:t>
            </w:r>
          </w:p>
        </w:tc>
        <w:tc>
          <w:tcPr>
            <w:tcW w:w="1133" w:type="dxa"/>
            <w:tcBorders>
              <w:top w:val="single" w:color="000000" w:sz="6" w:space="0"/>
              <w:left w:val="single" w:color="000000" w:sz="6" w:space="0"/>
              <w:bottom w:val="single" w:color="000000" w:sz="8" w:space="0"/>
              <w:right w:val="single" w:color="000000" w:sz="12" w:space="0"/>
            </w:tcBorders>
            <w:vAlign w:val="center"/>
          </w:tcPr>
          <w:p w14:paraId="1135F820">
            <w:pPr>
              <w:autoSpaceDE w:val="0"/>
              <w:autoSpaceDN w:val="0"/>
              <w:jc w:val="center"/>
              <w:rPr>
                <w:rFonts w:hint="default" w:ascii="Times New Roman" w:hAnsi="Times New Roman" w:eastAsia="宋体" w:cs="Times New Roman"/>
                <w:color w:val="auto"/>
                <w:sz w:val="18"/>
                <w:szCs w:val="22"/>
                <w:highlight w:val="none"/>
                <w:lang w:eastAsia="en-US" w:bidi="en-US"/>
              </w:rPr>
            </w:pPr>
          </w:p>
        </w:tc>
      </w:tr>
      <w:tr w14:paraId="1BAF4F0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0" w:hRule="atLeast"/>
          <w:jc w:val="center"/>
        </w:trPr>
        <w:tc>
          <w:tcPr>
            <w:tcW w:w="9150" w:type="dxa"/>
            <w:gridSpan w:val="10"/>
            <w:tcBorders>
              <w:top w:val="single" w:color="000000" w:sz="8" w:space="0"/>
              <w:left w:val="single" w:color="000000" w:sz="12" w:space="0"/>
              <w:bottom w:val="single" w:color="000000" w:sz="12" w:space="0"/>
              <w:right w:val="single" w:color="000000" w:sz="12" w:space="0"/>
            </w:tcBorders>
            <w:vAlign w:val="center"/>
          </w:tcPr>
          <w:p w14:paraId="16B997E7">
            <w:pPr>
              <w:autoSpaceDE w:val="0"/>
              <w:autoSpaceDN w:val="0"/>
              <w:ind w:left="468"/>
              <w:jc w:val="both"/>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注 1：“□”为勾选项，可√；“（ ）”为内容填写项；“备注”为其他补充内容。</w:t>
            </w:r>
          </w:p>
          <w:p w14:paraId="2C249F5F">
            <w:pPr>
              <w:autoSpaceDE w:val="0"/>
              <w:autoSpaceDN w:val="0"/>
              <w:ind w:left="468"/>
              <w:jc w:val="both"/>
              <w:rPr>
                <w:rFonts w:hint="default" w:ascii="Times New Roman" w:hAnsi="Times New Roman" w:eastAsia="宋体" w:cs="Times New Roman"/>
                <w:color w:val="auto"/>
                <w:sz w:val="18"/>
                <w:szCs w:val="22"/>
                <w:highlight w:val="none"/>
                <w:lang w:bidi="en-US"/>
              </w:rPr>
            </w:pPr>
            <w:r>
              <w:rPr>
                <w:rFonts w:hint="default" w:ascii="Times New Roman" w:hAnsi="Times New Roman" w:eastAsia="宋体" w:cs="Times New Roman"/>
                <w:color w:val="auto"/>
                <w:sz w:val="18"/>
                <w:szCs w:val="22"/>
                <w:highlight w:val="none"/>
                <w:lang w:bidi="en-US"/>
              </w:rPr>
              <w:t>注 2：需要分别开展土壤环境影响评级工作的，分别填写自查表。</w:t>
            </w:r>
          </w:p>
        </w:tc>
      </w:tr>
    </w:tbl>
    <w:p w14:paraId="7585F25F">
      <w:pPr>
        <w:pStyle w:val="23"/>
        <w:ind w:left="0" w:leftChars="0" w:firstLine="0" w:firstLineChars="0"/>
        <w:outlineLvl w:val="9"/>
        <w:rPr>
          <w:rFonts w:hint="default" w:ascii="Times New Roman" w:hAnsi="Times New Roman" w:eastAsia="宋体" w:cs="Times New Roman"/>
          <w:b/>
          <w:color w:val="auto"/>
          <w:spacing w:val="0"/>
          <w:kern w:val="2"/>
          <w:sz w:val="24"/>
          <w:szCs w:val="24"/>
          <w:highlight w:val="none"/>
          <w:lang w:val="en-US" w:eastAsia="zh-CN" w:bidi="ar-SA"/>
        </w:rPr>
      </w:pPr>
    </w:p>
    <w:p w14:paraId="1F5A09E5">
      <w:pPr>
        <w:pStyle w:val="23"/>
        <w:ind w:left="0" w:leftChars="0" w:firstLine="0" w:firstLineChars="0"/>
        <w:outlineLvl w:val="9"/>
        <w:rPr>
          <w:rFonts w:hint="default" w:ascii="Times New Roman" w:hAnsi="Times New Roman" w:eastAsia="宋体" w:cs="Times New Roman"/>
          <w:b/>
          <w:color w:val="auto"/>
          <w:spacing w:val="0"/>
          <w:kern w:val="2"/>
          <w:sz w:val="24"/>
          <w:szCs w:val="24"/>
          <w:highlight w:val="none"/>
          <w:lang w:val="en-US" w:eastAsia="zh-CN" w:bidi="ar-SA"/>
        </w:rPr>
      </w:pPr>
    </w:p>
    <w:p w14:paraId="2C8C139C">
      <w:pPr>
        <w:pStyle w:val="23"/>
        <w:ind w:left="0" w:leftChars="0" w:firstLine="0" w:firstLineChars="0"/>
        <w:outlineLvl w:val="9"/>
        <w:rPr>
          <w:rFonts w:hint="default" w:ascii="Times New Roman" w:hAnsi="Times New Roman" w:eastAsia="宋体" w:cs="Times New Roman"/>
          <w:b/>
          <w:color w:val="auto"/>
          <w:spacing w:val="0"/>
          <w:kern w:val="2"/>
          <w:sz w:val="24"/>
          <w:szCs w:val="24"/>
          <w:highlight w:val="none"/>
          <w:lang w:val="en-US" w:eastAsia="zh-CN" w:bidi="ar-SA"/>
        </w:rPr>
      </w:pPr>
    </w:p>
    <w:p w14:paraId="643395EF">
      <w:pPr>
        <w:pStyle w:val="23"/>
        <w:keepNext w:val="0"/>
        <w:keepLines w:val="0"/>
        <w:pageBreakBefore w:val="0"/>
        <w:widowControl/>
        <w:kinsoku w:val="0"/>
        <w:wordWrap/>
        <w:overflowPunct/>
        <w:topLinePunct w:val="0"/>
        <w:autoSpaceDE w:val="0"/>
        <w:autoSpaceDN w:val="0"/>
        <w:bidi w:val="0"/>
        <w:adjustRightInd w:val="0"/>
        <w:snapToGrid w:val="0"/>
        <w:spacing w:line="240" w:lineRule="auto"/>
        <w:ind w:left="0" w:leftChars="0" w:firstLine="0" w:firstLineChars="0"/>
        <w:textAlignment w:val="baseline"/>
        <w:outlineLvl w:val="1"/>
        <w:rPr>
          <w:rFonts w:hint="default" w:ascii="Times New Roman" w:hAnsi="Times New Roman" w:eastAsia="宋体" w:cs="Times New Roman"/>
          <w:b/>
          <w:color w:val="auto"/>
          <w:spacing w:val="0"/>
          <w:kern w:val="2"/>
          <w:sz w:val="24"/>
          <w:szCs w:val="24"/>
          <w:highlight w:val="none"/>
          <w:lang w:val="en-US" w:eastAsia="zh-CN" w:bidi="ar-SA"/>
        </w:rPr>
      </w:pPr>
      <w:bookmarkStart w:id="303" w:name="_Toc32545"/>
      <w:r>
        <w:rPr>
          <w:rFonts w:hint="default" w:ascii="Times New Roman" w:hAnsi="Times New Roman" w:eastAsia="宋体" w:cs="Times New Roman"/>
          <w:b/>
          <w:color w:val="auto"/>
          <w:spacing w:val="0"/>
          <w:kern w:val="2"/>
          <w:sz w:val="24"/>
          <w:szCs w:val="24"/>
          <w:highlight w:val="none"/>
          <w:lang w:val="en-US" w:eastAsia="zh-CN" w:bidi="ar-SA"/>
        </w:rPr>
        <w:t>附表6：</w:t>
      </w:r>
      <w:r>
        <w:rPr>
          <w:rFonts w:hint="default" w:ascii="Times New Roman" w:hAnsi="Times New Roman" w:eastAsia="宋体" w:cs="Times New Roman"/>
          <w:b/>
          <w:color w:val="auto"/>
          <w:sz w:val="24"/>
          <w:highlight w:val="none"/>
          <w:lang w:val="en-US" w:eastAsia="zh-CN"/>
        </w:rPr>
        <w:t>建设项目</w:t>
      </w:r>
      <w:r>
        <w:rPr>
          <w:rFonts w:hint="default" w:ascii="Times New Roman" w:hAnsi="Times New Roman" w:eastAsia="宋体" w:cs="Times New Roman"/>
          <w:b/>
          <w:color w:val="auto"/>
          <w:spacing w:val="0"/>
          <w:kern w:val="2"/>
          <w:sz w:val="24"/>
          <w:szCs w:val="24"/>
          <w:highlight w:val="none"/>
          <w:lang w:val="en-US" w:eastAsia="zh-CN" w:bidi="ar-SA"/>
        </w:rPr>
        <w:t>生态影响评价自查表</w:t>
      </w:r>
      <w:bookmarkEnd w:id="303"/>
    </w:p>
    <w:tbl>
      <w:tblPr>
        <w:tblStyle w:val="26"/>
        <w:tblW w:w="5000" w:type="pct"/>
        <w:tblInd w:w="0" w:type="dxa"/>
        <w:tblLayout w:type="autofit"/>
        <w:tblCellMar>
          <w:top w:w="0" w:type="dxa"/>
          <w:left w:w="108" w:type="dxa"/>
          <w:bottom w:w="0" w:type="dxa"/>
          <w:right w:w="108" w:type="dxa"/>
        </w:tblCellMar>
      </w:tblPr>
      <w:tblGrid>
        <w:gridCol w:w="953"/>
        <w:gridCol w:w="1342"/>
        <w:gridCol w:w="6232"/>
      </w:tblGrid>
      <w:tr w14:paraId="57A588EA">
        <w:tblPrEx>
          <w:tblCellMar>
            <w:top w:w="0" w:type="dxa"/>
            <w:left w:w="108" w:type="dxa"/>
            <w:bottom w:w="0" w:type="dxa"/>
            <w:right w:w="108" w:type="dxa"/>
          </w:tblCellMar>
        </w:tblPrEx>
        <w:trPr>
          <w:trHeight w:val="241" w:hRule="atLeast"/>
        </w:trPr>
        <w:tc>
          <w:tcPr>
            <w:tcW w:w="559"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4A54AC5">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生态影响</w:t>
            </w:r>
          </w:p>
        </w:tc>
        <w:tc>
          <w:tcPr>
            <w:tcW w:w="787"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00AE257">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生态保护目标</w:t>
            </w:r>
          </w:p>
        </w:tc>
        <w:tc>
          <w:tcPr>
            <w:tcW w:w="3654"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0135C8D">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重要物种</w:t>
            </w:r>
            <w:r>
              <w:rPr>
                <w:rFonts w:hint="default" w:ascii="Times New Roman" w:hAnsi="Times New Roman" w:cs="Times New Roman"/>
                <w:color w:val="auto"/>
                <w:highlight w:val="none"/>
              </w:rPr>
              <w:sym w:font="Wingdings 2" w:char="00A3"/>
            </w:r>
            <w:r>
              <w:rPr>
                <w:rFonts w:hint="default" w:ascii="Times New Roman" w:hAnsi="Times New Roman" w:cs="Times New Roman"/>
                <w:color w:val="auto"/>
                <w:highlight w:val="none"/>
              </w:rPr>
              <w:t>；国家公园□；自然保护区□；自然公园□；世界自然遗产□；生态保护红线</w:t>
            </w:r>
            <w:r>
              <w:rPr>
                <w:rFonts w:hint="default" w:ascii="Times New Roman" w:hAnsi="Times New Roman" w:cs="Times New Roman"/>
                <w:color w:val="auto"/>
                <w:highlight w:val="none"/>
              </w:rPr>
              <w:sym w:font="Wingdings 2" w:char="00A3"/>
            </w:r>
            <w:r>
              <w:rPr>
                <w:rFonts w:hint="default" w:ascii="Times New Roman" w:hAnsi="Times New Roman" w:cs="Times New Roman"/>
                <w:color w:val="auto"/>
                <w:highlight w:val="none"/>
              </w:rPr>
              <w:t>；重要生境</w:t>
            </w:r>
            <w:r>
              <w:rPr>
                <w:rFonts w:hint="default" w:ascii="Times New Roman" w:hAnsi="Times New Roman" w:cs="Times New Roman"/>
                <w:color w:val="auto"/>
                <w:highlight w:val="none"/>
              </w:rPr>
              <w:sym w:font="Wingdings 2" w:char="00A3"/>
            </w:r>
            <w:r>
              <w:rPr>
                <w:rFonts w:hint="default" w:ascii="Times New Roman" w:hAnsi="Times New Roman" w:cs="Times New Roman"/>
                <w:color w:val="auto"/>
                <w:highlight w:val="none"/>
              </w:rPr>
              <w:t>；其他具有重要生态功能、对保护生物多样性具有重要意义的区域□；其他□</w:t>
            </w:r>
          </w:p>
        </w:tc>
      </w:tr>
      <w:tr w14:paraId="2EFE77FC">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653E179">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1CB3671">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AA0C3C5">
            <w:pPr>
              <w:pStyle w:val="49"/>
              <w:rPr>
                <w:rFonts w:hint="default" w:ascii="Times New Roman" w:hAnsi="Times New Roman" w:cs="Times New Roman"/>
                <w:color w:val="auto"/>
                <w:highlight w:val="none"/>
              </w:rPr>
            </w:pPr>
          </w:p>
        </w:tc>
      </w:tr>
      <w:tr w14:paraId="1FBD6D98">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23C7545">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C685B29">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225B9D1">
            <w:pPr>
              <w:pStyle w:val="49"/>
              <w:rPr>
                <w:rFonts w:hint="default" w:ascii="Times New Roman" w:hAnsi="Times New Roman" w:cs="Times New Roman"/>
                <w:color w:val="auto"/>
                <w:highlight w:val="none"/>
              </w:rPr>
            </w:pPr>
          </w:p>
        </w:tc>
      </w:tr>
      <w:tr w14:paraId="41951A7C">
        <w:tblPrEx>
          <w:tblCellMar>
            <w:top w:w="0" w:type="dxa"/>
            <w:left w:w="108" w:type="dxa"/>
            <w:bottom w:w="0" w:type="dxa"/>
            <w:right w:w="108" w:type="dxa"/>
          </w:tblCellMar>
        </w:tblPrEx>
        <w:trPr>
          <w:trHeight w:val="20"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85396EA">
            <w:pPr>
              <w:pStyle w:val="49"/>
              <w:rPr>
                <w:rFonts w:hint="default" w:ascii="Times New Roman" w:hAnsi="Times New Roman" w:cs="Times New Roman"/>
                <w:color w:val="auto"/>
                <w:highlight w:val="none"/>
              </w:rPr>
            </w:pPr>
          </w:p>
        </w:tc>
        <w:tc>
          <w:tcPr>
            <w:tcW w:w="787"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448349B">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影响方式</w:t>
            </w: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08C5492">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工程占用</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；施工活动干扰□；改变环境条件□；其他□</w:t>
            </w:r>
          </w:p>
        </w:tc>
      </w:tr>
      <w:tr w14:paraId="7A1F8D30">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EC54415">
            <w:pPr>
              <w:pStyle w:val="49"/>
              <w:rPr>
                <w:rFonts w:hint="default" w:ascii="Times New Roman" w:hAnsi="Times New Roman" w:cs="Times New Roman"/>
                <w:color w:val="auto"/>
                <w:highlight w:val="none"/>
              </w:rPr>
            </w:pPr>
          </w:p>
        </w:tc>
        <w:tc>
          <w:tcPr>
            <w:tcW w:w="787"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1554F04">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评价因子</w:t>
            </w:r>
          </w:p>
        </w:tc>
        <w:tc>
          <w:tcPr>
            <w:tcW w:w="3654"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C30DA29">
            <w:pPr>
              <w:pStyle w:val="49"/>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物种</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w:t>
            </w:r>
            <w:r>
              <w:rPr>
                <w:rFonts w:hint="default" w:ascii="Times New Roman" w:hAnsi="Times New Roman" w:cs="Times New Roman"/>
                <w:color w:val="auto"/>
                <w:highlight w:val="none"/>
              </w:rPr>
              <w:br w:type="textWrapping"/>
            </w:r>
            <w:r>
              <w:rPr>
                <w:rFonts w:hint="default" w:ascii="Times New Roman" w:hAnsi="Times New Roman" w:cs="Times New Roman"/>
                <w:color w:val="auto"/>
                <w:highlight w:val="none"/>
              </w:rPr>
              <w:t>生境</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w:t>
            </w:r>
            <w:r>
              <w:rPr>
                <w:rFonts w:hint="default" w:ascii="Times New Roman" w:hAnsi="Times New Roman" w:cs="Times New Roman"/>
                <w:color w:val="auto"/>
                <w:highlight w:val="none"/>
              </w:rPr>
              <w:br w:type="textWrapping"/>
            </w:r>
            <w:r>
              <w:rPr>
                <w:rFonts w:hint="default" w:ascii="Times New Roman" w:hAnsi="Times New Roman" w:cs="Times New Roman"/>
                <w:color w:val="auto"/>
                <w:highlight w:val="none"/>
              </w:rPr>
              <w:t>生物群落</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w:t>
            </w:r>
            <w:r>
              <w:rPr>
                <w:rFonts w:hint="default" w:ascii="Times New Roman" w:hAnsi="Times New Roman" w:cs="Times New Roman"/>
                <w:color w:val="auto"/>
                <w:highlight w:val="none"/>
              </w:rPr>
              <w:br w:type="textWrapping"/>
            </w:r>
            <w:r>
              <w:rPr>
                <w:rFonts w:hint="default" w:ascii="Times New Roman" w:hAnsi="Times New Roman" w:cs="Times New Roman"/>
                <w:color w:val="auto"/>
                <w:highlight w:val="none"/>
              </w:rPr>
              <w:t>生态系统</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w:t>
            </w:r>
            <w:r>
              <w:rPr>
                <w:rFonts w:hint="default" w:ascii="Times New Roman" w:hAnsi="Times New Roman" w:cs="Times New Roman"/>
                <w:color w:val="auto"/>
                <w:highlight w:val="none"/>
              </w:rPr>
              <w:br w:type="textWrapping"/>
            </w:r>
            <w:r>
              <w:rPr>
                <w:rFonts w:hint="default" w:ascii="Times New Roman" w:hAnsi="Times New Roman" w:cs="Times New Roman"/>
                <w:color w:val="auto"/>
                <w:highlight w:val="none"/>
              </w:rPr>
              <w:t>生物多样性</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w:t>
            </w:r>
            <w:r>
              <w:rPr>
                <w:rFonts w:hint="default" w:ascii="Times New Roman" w:hAnsi="Times New Roman" w:cs="Times New Roman"/>
                <w:color w:val="auto"/>
                <w:highlight w:val="none"/>
              </w:rPr>
              <w:br w:type="textWrapping"/>
            </w:r>
            <w:r>
              <w:rPr>
                <w:rFonts w:hint="default" w:ascii="Times New Roman" w:hAnsi="Times New Roman" w:cs="Times New Roman"/>
                <w:color w:val="auto"/>
                <w:highlight w:val="none"/>
              </w:rPr>
              <w:t>生态敏感区</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w:t>
            </w:r>
            <w:r>
              <w:rPr>
                <w:rFonts w:hint="default" w:ascii="Times New Roman" w:hAnsi="Times New Roman" w:cs="Times New Roman"/>
                <w:color w:val="auto"/>
                <w:highlight w:val="none"/>
              </w:rPr>
              <w:br w:type="textWrapping"/>
            </w:r>
            <w:r>
              <w:rPr>
                <w:rFonts w:hint="default" w:ascii="Times New Roman" w:hAnsi="Times New Roman" w:cs="Times New Roman"/>
                <w:color w:val="auto"/>
                <w:highlight w:val="none"/>
              </w:rPr>
              <w:t>自然景观□（）</w:t>
            </w:r>
            <w:r>
              <w:rPr>
                <w:rFonts w:hint="default" w:ascii="Times New Roman" w:hAnsi="Times New Roman" w:cs="Times New Roman"/>
                <w:color w:val="auto"/>
                <w:highlight w:val="none"/>
              </w:rPr>
              <w:br w:type="textWrapping"/>
            </w:r>
            <w:r>
              <w:rPr>
                <w:rFonts w:hint="default" w:ascii="Times New Roman" w:hAnsi="Times New Roman" w:cs="Times New Roman"/>
                <w:color w:val="auto"/>
                <w:highlight w:val="none"/>
              </w:rPr>
              <w:t>自然遗迹□（）</w:t>
            </w:r>
            <w:r>
              <w:rPr>
                <w:rFonts w:hint="default" w:ascii="Times New Roman" w:hAnsi="Times New Roman" w:cs="Times New Roman"/>
                <w:color w:val="auto"/>
                <w:highlight w:val="none"/>
              </w:rPr>
              <w:br w:type="textWrapping"/>
            </w:r>
            <w:r>
              <w:rPr>
                <w:rFonts w:hint="default" w:ascii="Times New Roman" w:hAnsi="Times New Roman" w:cs="Times New Roman"/>
                <w:color w:val="auto"/>
                <w:highlight w:val="none"/>
              </w:rPr>
              <w:t>其他□（）</w:t>
            </w:r>
          </w:p>
        </w:tc>
      </w:tr>
      <w:tr w14:paraId="599A4233">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C5F282C">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91C2BD0">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F0D6808">
            <w:pPr>
              <w:pStyle w:val="49"/>
              <w:rPr>
                <w:rFonts w:hint="default" w:ascii="Times New Roman" w:hAnsi="Times New Roman" w:cs="Times New Roman"/>
                <w:color w:val="auto"/>
                <w:highlight w:val="none"/>
              </w:rPr>
            </w:pPr>
          </w:p>
        </w:tc>
      </w:tr>
      <w:tr w14:paraId="6B9B76C9">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157022A">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F817460">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DF4318C">
            <w:pPr>
              <w:pStyle w:val="49"/>
              <w:rPr>
                <w:rFonts w:hint="default" w:ascii="Times New Roman" w:hAnsi="Times New Roman" w:cs="Times New Roman"/>
                <w:color w:val="auto"/>
                <w:highlight w:val="none"/>
              </w:rPr>
            </w:pPr>
          </w:p>
        </w:tc>
      </w:tr>
      <w:tr w14:paraId="461BA843">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7704850">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0895C49">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167B5E4">
            <w:pPr>
              <w:pStyle w:val="49"/>
              <w:rPr>
                <w:rFonts w:hint="default" w:ascii="Times New Roman" w:hAnsi="Times New Roman" w:cs="Times New Roman"/>
                <w:color w:val="auto"/>
                <w:highlight w:val="none"/>
              </w:rPr>
            </w:pPr>
          </w:p>
        </w:tc>
      </w:tr>
      <w:tr w14:paraId="76295263">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8796FC7">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E2647D7">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5BDFD98">
            <w:pPr>
              <w:pStyle w:val="49"/>
              <w:rPr>
                <w:rFonts w:hint="default" w:ascii="Times New Roman" w:hAnsi="Times New Roman" w:cs="Times New Roman"/>
                <w:color w:val="auto"/>
                <w:highlight w:val="none"/>
              </w:rPr>
            </w:pPr>
          </w:p>
        </w:tc>
      </w:tr>
      <w:tr w14:paraId="6DF16657">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0CC82B0">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28A5E04">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4111673">
            <w:pPr>
              <w:pStyle w:val="49"/>
              <w:rPr>
                <w:rFonts w:hint="default" w:ascii="Times New Roman" w:hAnsi="Times New Roman" w:cs="Times New Roman"/>
                <w:color w:val="auto"/>
                <w:highlight w:val="none"/>
              </w:rPr>
            </w:pPr>
          </w:p>
        </w:tc>
      </w:tr>
      <w:tr w14:paraId="0B507D91">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899ADE6">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288E5E3">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78E7C51">
            <w:pPr>
              <w:pStyle w:val="49"/>
              <w:rPr>
                <w:rFonts w:hint="default" w:ascii="Times New Roman" w:hAnsi="Times New Roman" w:cs="Times New Roman"/>
                <w:color w:val="auto"/>
                <w:highlight w:val="none"/>
              </w:rPr>
            </w:pPr>
          </w:p>
        </w:tc>
      </w:tr>
      <w:tr w14:paraId="3E6E7383">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DC37AE8">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B2A3B40">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096A6E0">
            <w:pPr>
              <w:pStyle w:val="49"/>
              <w:rPr>
                <w:rFonts w:hint="default" w:ascii="Times New Roman" w:hAnsi="Times New Roman" w:cs="Times New Roman"/>
                <w:color w:val="auto"/>
                <w:highlight w:val="none"/>
              </w:rPr>
            </w:pPr>
          </w:p>
        </w:tc>
      </w:tr>
      <w:tr w14:paraId="657002AD">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6D16348">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82719CD">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5FFF6C5">
            <w:pPr>
              <w:pStyle w:val="49"/>
              <w:rPr>
                <w:rFonts w:hint="default" w:ascii="Times New Roman" w:hAnsi="Times New Roman" w:cs="Times New Roman"/>
                <w:color w:val="auto"/>
                <w:highlight w:val="none"/>
              </w:rPr>
            </w:pPr>
          </w:p>
        </w:tc>
      </w:tr>
      <w:tr w14:paraId="483CCB45">
        <w:tblPrEx>
          <w:tblCellMar>
            <w:top w:w="0" w:type="dxa"/>
            <w:left w:w="108" w:type="dxa"/>
            <w:bottom w:w="0" w:type="dxa"/>
            <w:right w:w="108" w:type="dxa"/>
          </w:tblCellMar>
        </w:tblPrEx>
        <w:trPr>
          <w:trHeight w:val="20" w:hRule="atLeast"/>
        </w:trPr>
        <w:tc>
          <w:tcPr>
            <w:tcW w:w="1346" w:type="pct"/>
            <w:gridSpan w:val="2"/>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144B208">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评价等级</w:t>
            </w: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4E4E857">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一级□二级□三级</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生态影响简单分析□</w:t>
            </w:r>
          </w:p>
        </w:tc>
      </w:tr>
      <w:tr w14:paraId="66FD9B8D">
        <w:tblPrEx>
          <w:tblCellMar>
            <w:top w:w="0" w:type="dxa"/>
            <w:left w:w="108" w:type="dxa"/>
            <w:bottom w:w="0" w:type="dxa"/>
            <w:right w:w="108" w:type="dxa"/>
          </w:tblCellMar>
        </w:tblPrEx>
        <w:trPr>
          <w:trHeight w:val="20" w:hRule="atLeast"/>
        </w:trPr>
        <w:tc>
          <w:tcPr>
            <w:tcW w:w="1346" w:type="pct"/>
            <w:gridSpan w:val="2"/>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D3C6D2F">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评价范围</w:t>
            </w: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2FE61EA">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陆域面积：（0.009）km</w:t>
            </w:r>
            <w:r>
              <w:rPr>
                <w:rFonts w:hint="default" w:ascii="Times New Roman" w:hAnsi="Times New Roman" w:cs="Times New Roman"/>
                <w:color w:val="auto"/>
                <w:highlight w:val="none"/>
                <w:vertAlign w:val="superscript"/>
              </w:rPr>
              <w:t>2</w:t>
            </w:r>
            <w:r>
              <w:rPr>
                <w:rFonts w:hint="default" w:ascii="Times New Roman" w:hAnsi="Times New Roman" w:cs="Times New Roman"/>
                <w:color w:val="auto"/>
                <w:highlight w:val="none"/>
              </w:rPr>
              <w:t>；水域面积：（）km</w:t>
            </w:r>
            <w:r>
              <w:rPr>
                <w:rFonts w:hint="default" w:ascii="Times New Roman" w:hAnsi="Times New Roman" w:cs="Times New Roman"/>
                <w:color w:val="auto"/>
                <w:highlight w:val="none"/>
                <w:vertAlign w:val="superscript"/>
              </w:rPr>
              <w:t>2</w:t>
            </w:r>
          </w:p>
        </w:tc>
      </w:tr>
      <w:tr w14:paraId="368379B9">
        <w:tblPrEx>
          <w:tblCellMar>
            <w:top w:w="0" w:type="dxa"/>
            <w:left w:w="108" w:type="dxa"/>
            <w:bottom w:w="0" w:type="dxa"/>
            <w:right w:w="108" w:type="dxa"/>
          </w:tblCellMar>
        </w:tblPrEx>
        <w:trPr>
          <w:trHeight w:val="241" w:hRule="atLeast"/>
        </w:trPr>
        <w:tc>
          <w:tcPr>
            <w:tcW w:w="559"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BB9958A">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生态现状</w:t>
            </w:r>
          </w:p>
        </w:tc>
        <w:tc>
          <w:tcPr>
            <w:tcW w:w="787"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6B6A00C">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调查方法</w:t>
            </w:r>
          </w:p>
        </w:tc>
        <w:tc>
          <w:tcPr>
            <w:tcW w:w="3654"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BD45EB5">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资料收集</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；遥感调查</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；调查样方、样线□；调查点位、断面□；专家和公众咨询法□；其他□</w:t>
            </w:r>
          </w:p>
        </w:tc>
      </w:tr>
      <w:tr w14:paraId="07253AB1">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9F2175E">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1C05AF0">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004A4E7">
            <w:pPr>
              <w:pStyle w:val="49"/>
              <w:rPr>
                <w:rFonts w:hint="default" w:ascii="Times New Roman" w:hAnsi="Times New Roman" w:cs="Times New Roman"/>
                <w:color w:val="auto"/>
                <w:highlight w:val="none"/>
              </w:rPr>
            </w:pPr>
          </w:p>
        </w:tc>
      </w:tr>
      <w:tr w14:paraId="28002DF5">
        <w:tblPrEx>
          <w:tblCellMar>
            <w:top w:w="0" w:type="dxa"/>
            <w:left w:w="108" w:type="dxa"/>
            <w:bottom w:w="0" w:type="dxa"/>
            <w:right w:w="108" w:type="dxa"/>
          </w:tblCellMar>
        </w:tblPrEx>
        <w:trPr>
          <w:trHeight w:val="20"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57E73A1">
            <w:pPr>
              <w:pStyle w:val="49"/>
              <w:rPr>
                <w:rFonts w:hint="default" w:ascii="Times New Roman" w:hAnsi="Times New Roman" w:cs="Times New Roman"/>
                <w:color w:val="auto"/>
                <w:highlight w:val="none"/>
              </w:rPr>
            </w:pPr>
          </w:p>
        </w:tc>
        <w:tc>
          <w:tcPr>
            <w:tcW w:w="787"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E3A1C9F">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调查时间</w:t>
            </w: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F1E16AD">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春季□；夏季</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；秋季□；冬季□</w:t>
            </w:r>
          </w:p>
        </w:tc>
      </w:tr>
      <w:tr w14:paraId="79FBF227">
        <w:tblPrEx>
          <w:tblCellMar>
            <w:top w:w="0" w:type="dxa"/>
            <w:left w:w="108" w:type="dxa"/>
            <w:bottom w:w="0" w:type="dxa"/>
            <w:right w:w="108" w:type="dxa"/>
          </w:tblCellMar>
        </w:tblPrEx>
        <w:trPr>
          <w:trHeight w:val="20"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3E5A894">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E27A9D3">
            <w:pPr>
              <w:pStyle w:val="49"/>
              <w:rPr>
                <w:rFonts w:hint="default" w:ascii="Times New Roman" w:hAnsi="Times New Roman" w:cs="Times New Roman"/>
                <w:color w:val="auto"/>
                <w:highlight w:val="none"/>
              </w:rPr>
            </w:pP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C67DA5F">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丰水期□；枯水期□；平水期□</w:t>
            </w:r>
          </w:p>
        </w:tc>
      </w:tr>
      <w:tr w14:paraId="139A3598">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AD240FA">
            <w:pPr>
              <w:pStyle w:val="49"/>
              <w:rPr>
                <w:rFonts w:hint="default" w:ascii="Times New Roman" w:hAnsi="Times New Roman" w:cs="Times New Roman"/>
                <w:color w:val="auto"/>
                <w:highlight w:val="none"/>
              </w:rPr>
            </w:pPr>
          </w:p>
        </w:tc>
        <w:tc>
          <w:tcPr>
            <w:tcW w:w="787"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E39C1BE">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所在区域的生态问题</w:t>
            </w:r>
          </w:p>
        </w:tc>
        <w:tc>
          <w:tcPr>
            <w:tcW w:w="3654"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D3DEE31">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水土流失□；沙漠化□；石漠化□；盐渍化□；生物入侵□；污染危害□；其他□</w:t>
            </w:r>
          </w:p>
        </w:tc>
      </w:tr>
      <w:tr w14:paraId="1CBA67AC">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BA135CD">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E4D4EAC">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C499E34">
            <w:pPr>
              <w:pStyle w:val="49"/>
              <w:rPr>
                <w:rFonts w:hint="default" w:ascii="Times New Roman" w:hAnsi="Times New Roman" w:cs="Times New Roman"/>
                <w:color w:val="auto"/>
                <w:highlight w:val="none"/>
              </w:rPr>
            </w:pPr>
          </w:p>
        </w:tc>
      </w:tr>
      <w:tr w14:paraId="4A42566F">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B5F73F7">
            <w:pPr>
              <w:pStyle w:val="49"/>
              <w:rPr>
                <w:rFonts w:hint="default" w:ascii="Times New Roman" w:hAnsi="Times New Roman" w:cs="Times New Roman"/>
                <w:color w:val="auto"/>
                <w:highlight w:val="none"/>
              </w:rPr>
            </w:pPr>
          </w:p>
        </w:tc>
        <w:tc>
          <w:tcPr>
            <w:tcW w:w="787"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B2C4FC3">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评价内容</w:t>
            </w:r>
          </w:p>
        </w:tc>
        <w:tc>
          <w:tcPr>
            <w:tcW w:w="3654"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96B77E3">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植被/植物群落</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；土地利用</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；生态系统□；生物多样性□；重要物种□；生态敏感区□；其他□</w:t>
            </w:r>
          </w:p>
        </w:tc>
      </w:tr>
      <w:tr w14:paraId="6CC08C6A">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4AEEF85">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513DD35">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A6382C8">
            <w:pPr>
              <w:pStyle w:val="49"/>
              <w:rPr>
                <w:rFonts w:hint="default" w:ascii="Times New Roman" w:hAnsi="Times New Roman" w:cs="Times New Roman"/>
                <w:color w:val="auto"/>
                <w:highlight w:val="none"/>
              </w:rPr>
            </w:pPr>
          </w:p>
        </w:tc>
      </w:tr>
      <w:tr w14:paraId="6747CC37">
        <w:tblPrEx>
          <w:tblCellMar>
            <w:top w:w="0" w:type="dxa"/>
            <w:left w:w="108" w:type="dxa"/>
            <w:bottom w:w="0" w:type="dxa"/>
            <w:right w:w="108" w:type="dxa"/>
          </w:tblCellMar>
        </w:tblPrEx>
        <w:trPr>
          <w:trHeight w:val="241" w:hRule="atLeast"/>
        </w:trPr>
        <w:tc>
          <w:tcPr>
            <w:tcW w:w="559"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2124D26">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生态影响预测与评价</w:t>
            </w:r>
          </w:p>
        </w:tc>
        <w:tc>
          <w:tcPr>
            <w:tcW w:w="787"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3A936A0">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评价方法</w:t>
            </w:r>
          </w:p>
        </w:tc>
        <w:tc>
          <w:tcPr>
            <w:tcW w:w="3654"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3D7BA7B">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定性□；定性和定量</w:t>
            </w:r>
            <w:r>
              <w:rPr>
                <w:rFonts w:hint="default" w:ascii="Times New Roman" w:hAnsi="Times New Roman" w:cs="Times New Roman"/>
                <w:color w:val="auto"/>
                <w:highlight w:val="none"/>
              </w:rPr>
              <w:sym w:font="Wingdings 2" w:char="0052"/>
            </w:r>
          </w:p>
        </w:tc>
      </w:tr>
      <w:tr w14:paraId="2010C65D">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4D2D9D5">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4B9B174">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A6D1211">
            <w:pPr>
              <w:pStyle w:val="49"/>
              <w:rPr>
                <w:rFonts w:hint="default" w:ascii="Times New Roman" w:hAnsi="Times New Roman" w:cs="Times New Roman"/>
                <w:color w:val="auto"/>
                <w:highlight w:val="none"/>
              </w:rPr>
            </w:pPr>
          </w:p>
        </w:tc>
      </w:tr>
      <w:tr w14:paraId="4E8065EF">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7BC6499">
            <w:pPr>
              <w:pStyle w:val="49"/>
              <w:rPr>
                <w:rFonts w:hint="default" w:ascii="Times New Roman" w:hAnsi="Times New Roman" w:cs="Times New Roman"/>
                <w:color w:val="auto"/>
                <w:highlight w:val="none"/>
              </w:rPr>
            </w:pPr>
          </w:p>
        </w:tc>
        <w:tc>
          <w:tcPr>
            <w:tcW w:w="787"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877E533">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评价内容</w:t>
            </w:r>
          </w:p>
        </w:tc>
        <w:tc>
          <w:tcPr>
            <w:tcW w:w="3654"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CF1C9F1">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植被/植物群落</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；土地利用</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；生态系统□；生物多样性□；重要物种□；生态敏感区□；生物入侵风险□；其他□</w:t>
            </w:r>
          </w:p>
        </w:tc>
      </w:tr>
      <w:tr w14:paraId="16D45B2F">
        <w:tblPrEx>
          <w:tblCellMar>
            <w:top w:w="0" w:type="dxa"/>
            <w:left w:w="108" w:type="dxa"/>
            <w:bottom w:w="0" w:type="dxa"/>
            <w:right w:w="108" w:type="dxa"/>
          </w:tblCellMar>
        </w:tblPrEx>
        <w:trPr>
          <w:trHeight w:val="241"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6D4BE6C">
            <w:pPr>
              <w:pStyle w:val="49"/>
              <w:rPr>
                <w:rFonts w:hint="default" w:ascii="Times New Roman" w:hAnsi="Times New Roman" w:cs="Times New Roman"/>
                <w:color w:val="auto"/>
                <w:highlight w:val="none"/>
              </w:rPr>
            </w:pPr>
          </w:p>
        </w:tc>
        <w:tc>
          <w:tcPr>
            <w:tcW w:w="787"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420437F">
            <w:pPr>
              <w:pStyle w:val="49"/>
              <w:rPr>
                <w:rFonts w:hint="default" w:ascii="Times New Roman" w:hAnsi="Times New Roman" w:cs="Times New Roman"/>
                <w:color w:val="auto"/>
                <w:highlight w:val="none"/>
              </w:rPr>
            </w:pPr>
          </w:p>
        </w:tc>
        <w:tc>
          <w:tcPr>
            <w:tcW w:w="3654"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B3F8B52">
            <w:pPr>
              <w:pStyle w:val="49"/>
              <w:rPr>
                <w:rFonts w:hint="default" w:ascii="Times New Roman" w:hAnsi="Times New Roman" w:cs="Times New Roman"/>
                <w:color w:val="auto"/>
                <w:highlight w:val="none"/>
              </w:rPr>
            </w:pPr>
          </w:p>
        </w:tc>
      </w:tr>
      <w:tr w14:paraId="09AEFF2A">
        <w:tblPrEx>
          <w:tblCellMar>
            <w:top w:w="0" w:type="dxa"/>
            <w:left w:w="108" w:type="dxa"/>
            <w:bottom w:w="0" w:type="dxa"/>
            <w:right w:w="108" w:type="dxa"/>
          </w:tblCellMar>
        </w:tblPrEx>
        <w:trPr>
          <w:trHeight w:val="20" w:hRule="atLeast"/>
        </w:trPr>
        <w:tc>
          <w:tcPr>
            <w:tcW w:w="559" w:type="pct"/>
            <w:vMerge w:val="restar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EC549C9">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生态保护对策措施</w:t>
            </w:r>
          </w:p>
        </w:tc>
        <w:tc>
          <w:tcPr>
            <w:tcW w:w="787"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D2AF3CA">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对策措施</w:t>
            </w: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5E84CE3">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避让□；减缓□；生态修复□；生态补偿</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；科研□；其他</w:t>
            </w:r>
            <w:r>
              <w:rPr>
                <w:rFonts w:hint="default" w:ascii="Times New Roman" w:hAnsi="Times New Roman" w:cs="Times New Roman"/>
                <w:color w:val="auto"/>
                <w:highlight w:val="none"/>
              </w:rPr>
              <w:sym w:font="Wingdings 2" w:char="0052"/>
            </w:r>
          </w:p>
        </w:tc>
      </w:tr>
      <w:tr w14:paraId="70E8481B">
        <w:tblPrEx>
          <w:tblCellMar>
            <w:top w:w="0" w:type="dxa"/>
            <w:left w:w="108" w:type="dxa"/>
            <w:bottom w:w="0" w:type="dxa"/>
            <w:right w:w="108" w:type="dxa"/>
          </w:tblCellMar>
        </w:tblPrEx>
        <w:trPr>
          <w:trHeight w:val="20"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7AB4293">
            <w:pPr>
              <w:pStyle w:val="49"/>
              <w:rPr>
                <w:rFonts w:hint="default" w:ascii="Times New Roman" w:hAnsi="Times New Roman" w:cs="Times New Roman"/>
                <w:color w:val="auto"/>
                <w:highlight w:val="none"/>
              </w:rPr>
            </w:pPr>
          </w:p>
        </w:tc>
        <w:tc>
          <w:tcPr>
            <w:tcW w:w="787"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E8D23BE">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生态监测计划</w:t>
            </w: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07B0688">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全生命周期□；长期跟踪□；常规□；无</w:t>
            </w:r>
            <w:r>
              <w:rPr>
                <w:rFonts w:hint="default" w:ascii="Times New Roman" w:hAnsi="Times New Roman" w:cs="Times New Roman"/>
                <w:color w:val="auto"/>
                <w:highlight w:val="none"/>
              </w:rPr>
              <w:sym w:font="Wingdings 2" w:char="0052"/>
            </w:r>
          </w:p>
        </w:tc>
      </w:tr>
      <w:tr w14:paraId="32B93B8D">
        <w:tblPrEx>
          <w:tblCellMar>
            <w:top w:w="0" w:type="dxa"/>
            <w:left w:w="108" w:type="dxa"/>
            <w:bottom w:w="0" w:type="dxa"/>
            <w:right w:w="108" w:type="dxa"/>
          </w:tblCellMar>
        </w:tblPrEx>
        <w:trPr>
          <w:trHeight w:val="20" w:hRule="atLeast"/>
        </w:trPr>
        <w:tc>
          <w:tcPr>
            <w:tcW w:w="559" w:type="pct"/>
            <w:vMerge w:val="continue"/>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BA50D55">
            <w:pPr>
              <w:pStyle w:val="49"/>
              <w:rPr>
                <w:rFonts w:hint="default" w:ascii="Times New Roman" w:hAnsi="Times New Roman" w:cs="Times New Roman"/>
                <w:color w:val="auto"/>
                <w:highlight w:val="none"/>
              </w:rPr>
            </w:pPr>
          </w:p>
        </w:tc>
        <w:tc>
          <w:tcPr>
            <w:tcW w:w="787"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FFBEC69">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环境管理</w:t>
            </w: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8D3AD8A">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环境监理□；环境影响后评价□；其他□</w:t>
            </w:r>
          </w:p>
        </w:tc>
      </w:tr>
      <w:tr w14:paraId="1514E7A0">
        <w:tblPrEx>
          <w:tblCellMar>
            <w:top w:w="0" w:type="dxa"/>
            <w:left w:w="108" w:type="dxa"/>
            <w:bottom w:w="0" w:type="dxa"/>
            <w:right w:w="108" w:type="dxa"/>
          </w:tblCellMar>
        </w:tblPrEx>
        <w:trPr>
          <w:trHeight w:val="20" w:hRule="atLeast"/>
        </w:trPr>
        <w:tc>
          <w:tcPr>
            <w:tcW w:w="559"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86660DB">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评价结论</w:t>
            </w:r>
          </w:p>
        </w:tc>
        <w:tc>
          <w:tcPr>
            <w:tcW w:w="787"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AA45697">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生态影响</w:t>
            </w:r>
          </w:p>
        </w:tc>
        <w:tc>
          <w:tcPr>
            <w:tcW w:w="3654" w:type="pct"/>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95D0BD3">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可行</w:t>
            </w:r>
            <w:r>
              <w:rPr>
                <w:rFonts w:hint="default" w:ascii="Times New Roman" w:hAnsi="Times New Roman" w:cs="Times New Roman"/>
                <w:color w:val="auto"/>
                <w:highlight w:val="none"/>
              </w:rPr>
              <w:sym w:font="Wingdings 2" w:char="0052"/>
            </w:r>
            <w:r>
              <w:rPr>
                <w:rFonts w:hint="default" w:ascii="Times New Roman" w:hAnsi="Times New Roman" w:cs="Times New Roman"/>
                <w:color w:val="auto"/>
                <w:highlight w:val="none"/>
              </w:rPr>
              <w:t>；不可行□</w:t>
            </w:r>
          </w:p>
        </w:tc>
      </w:tr>
      <w:tr w14:paraId="444E7297">
        <w:tblPrEx>
          <w:tblCellMar>
            <w:top w:w="0" w:type="dxa"/>
            <w:left w:w="108" w:type="dxa"/>
            <w:bottom w:w="0" w:type="dxa"/>
            <w:right w:w="108" w:type="dxa"/>
          </w:tblCellMar>
        </w:tblPrEx>
        <w:trPr>
          <w:trHeight w:val="20" w:hRule="atLeast"/>
        </w:trPr>
        <w:tc>
          <w:tcPr>
            <w:tcW w:w="5000" w:type="pct"/>
            <w:gridSpan w:val="3"/>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F99049B">
            <w:pPr>
              <w:pStyle w:val="49"/>
              <w:rPr>
                <w:rFonts w:hint="default" w:ascii="Times New Roman" w:hAnsi="Times New Roman" w:cs="Times New Roman"/>
                <w:color w:val="auto"/>
                <w:highlight w:val="none"/>
              </w:rPr>
            </w:pPr>
            <w:r>
              <w:rPr>
                <w:rFonts w:hint="default" w:ascii="Times New Roman" w:hAnsi="Times New Roman" w:cs="Times New Roman"/>
                <w:color w:val="auto"/>
                <w:highlight w:val="none"/>
              </w:rPr>
              <w:t>注：“□”为勾选项，可√；“（）”为内容填写项。</w:t>
            </w:r>
          </w:p>
        </w:tc>
      </w:tr>
      <w:tr w14:paraId="43FF0F5E">
        <w:tblPrEx>
          <w:tblCellMar>
            <w:top w:w="0" w:type="dxa"/>
            <w:left w:w="108" w:type="dxa"/>
            <w:bottom w:w="0" w:type="dxa"/>
            <w:right w:w="108" w:type="dxa"/>
          </w:tblCellMar>
        </w:tblPrEx>
        <w:trPr>
          <w:trHeight w:val="20" w:hRule="atLeast"/>
        </w:trPr>
        <w:tc>
          <w:tcPr>
            <w:tcW w:w="5000" w:type="pct"/>
            <w:gridSpan w:val="3"/>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3344E0B">
            <w:pPr>
              <w:pStyle w:val="49"/>
              <w:rPr>
                <w:rFonts w:hint="default" w:ascii="Times New Roman" w:hAnsi="Times New Roman" w:cs="Times New Roman"/>
                <w:color w:val="auto"/>
                <w:highlight w:val="none"/>
              </w:rPr>
            </w:pPr>
          </w:p>
        </w:tc>
      </w:tr>
    </w:tbl>
    <w:p w14:paraId="1E29A60F">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0"/>
        <w:rPr>
          <w:rFonts w:hint="default" w:ascii="Times New Roman" w:hAnsi="Times New Roman" w:eastAsia="Times New Roman" w:cs="Times New Roman"/>
          <w:b/>
          <w:bCs/>
          <w:color w:val="auto"/>
          <w:spacing w:val="5"/>
          <w:sz w:val="31"/>
          <w:szCs w:val="31"/>
          <w:highlight w:val="none"/>
        </w:rPr>
        <w:sectPr>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2020386B">
      <w:pPr>
        <w:keepNext w:val="0"/>
        <w:keepLines w:val="0"/>
        <w:pageBreakBefore w:val="0"/>
        <w:widowControl/>
        <w:kinsoku/>
        <w:wordWrap w:val="0"/>
        <w:overflowPunct/>
        <w:topLinePunct/>
        <w:autoSpaceDE/>
        <w:autoSpaceDN/>
        <w:bidi w:val="0"/>
        <w:adjustRightInd w:val="0"/>
        <w:snapToGrid w:val="0"/>
        <w:spacing w:line="240" w:lineRule="auto"/>
        <w:ind w:left="0" w:right="0"/>
        <w:textAlignment w:val="baseline"/>
        <w:outlineLvl w:val="0"/>
        <w:rPr>
          <w:rFonts w:hint="default" w:ascii="Times New Roman" w:hAnsi="Times New Roman" w:eastAsia="Times New Roman" w:cs="Times New Roman"/>
          <w:b/>
          <w:bCs/>
          <w:color w:val="auto"/>
          <w:spacing w:val="5"/>
          <w:sz w:val="31"/>
          <w:szCs w:val="31"/>
          <w:highlight w:val="none"/>
          <w:lang w:val="en-US" w:eastAsia="zh-CN"/>
        </w:rPr>
      </w:pPr>
      <w:bookmarkStart w:id="304" w:name="_Toc24633"/>
      <w:r>
        <w:rPr>
          <w:rFonts w:hint="default" w:ascii="Times New Roman" w:hAnsi="Times New Roman" w:eastAsia="Times New Roman" w:cs="Times New Roman"/>
          <w:b/>
          <w:bCs/>
          <w:color w:val="auto"/>
          <w:spacing w:val="5"/>
          <w:sz w:val="31"/>
          <w:szCs w:val="31"/>
          <w:highlight w:val="none"/>
          <w:lang w:val="en-US" w:eastAsia="zh-CN"/>
        </w:rPr>
        <w:t>附件</w:t>
      </w:r>
      <w:bookmarkEnd w:id="304"/>
    </w:p>
    <w:p w14:paraId="30B0FAED">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eastAsia="Times New Roman" w:cs="Times New Roman"/>
          <w:b/>
          <w:bCs/>
          <w:color w:val="auto"/>
          <w:spacing w:val="5"/>
          <w:sz w:val="24"/>
          <w:szCs w:val="24"/>
          <w:highlight w:val="none"/>
        </w:rPr>
      </w:pPr>
      <w:bookmarkStart w:id="305" w:name="_Toc23115"/>
      <w:r>
        <w:rPr>
          <w:rFonts w:hint="default" w:ascii="Times New Roman" w:hAnsi="Times New Roman" w:eastAsia="Times New Roman" w:cs="Times New Roman"/>
          <w:b/>
          <w:bCs/>
          <w:color w:val="auto"/>
          <w:spacing w:val="5"/>
          <w:sz w:val="24"/>
          <w:szCs w:val="24"/>
          <w:highlight w:val="none"/>
        </w:rPr>
        <w:t>附件1营业执照</w:t>
      </w:r>
      <w:bookmarkEnd w:id="294"/>
      <w:bookmarkEnd w:id="295"/>
      <w:bookmarkEnd w:id="305"/>
    </w:p>
    <w:p w14:paraId="09E24A3F">
      <w:pPr>
        <w:keepNext w:val="0"/>
        <w:keepLines w:val="0"/>
        <w:pageBreakBefore w:val="0"/>
        <w:kinsoku/>
        <w:wordWrap w:val="0"/>
        <w:overflowPunct/>
        <w:topLinePunct/>
        <w:autoSpaceDE/>
        <w:autoSpaceDN/>
        <w:bidi w:val="0"/>
        <w:adjustRightInd w:val="0"/>
        <w:snapToGrid w:val="0"/>
        <w:spacing w:before="91" w:line="233" w:lineRule="auto"/>
        <w:ind w:left="61"/>
        <w:textAlignment w:val="baseline"/>
        <w:rPr>
          <w:rFonts w:hint="default" w:ascii="Times New Roman" w:hAnsi="Times New Roman" w:eastAsia="宋体" w:cs="Times New Roman"/>
          <w:b/>
          <w:bCs/>
          <w:color w:val="auto"/>
          <w:spacing w:val="-12"/>
          <w:sz w:val="28"/>
          <w:szCs w:val="28"/>
          <w:highlight w:val="none"/>
          <w:lang w:eastAsia="zh-CN"/>
        </w:rPr>
      </w:pPr>
      <w:r>
        <w:rPr>
          <w:rFonts w:hint="default" w:ascii="Times New Roman" w:hAnsi="Times New Roman" w:eastAsia="宋体" w:cs="Times New Roman"/>
          <w:b/>
          <w:bCs/>
          <w:color w:val="auto"/>
          <w:spacing w:val="-12"/>
          <w:sz w:val="28"/>
          <w:szCs w:val="28"/>
          <w:highlight w:val="none"/>
          <w:lang w:eastAsia="zh-CN"/>
        </w:rPr>
        <w:drawing>
          <wp:inline distT="0" distB="0" distL="114300" distR="114300">
            <wp:extent cx="4958715" cy="7402830"/>
            <wp:effectExtent l="0" t="0" r="0" b="0"/>
            <wp:docPr id="21" name="图片 21" descr="a0dfab7cd311dee45bdade099fe0de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0dfab7cd311dee45bdade099fe0deb2"/>
                    <pic:cNvPicPr>
                      <a:picLocks noChangeAspect="1"/>
                    </pic:cNvPicPr>
                  </pic:nvPicPr>
                  <pic:blipFill>
                    <a:blip r:embed="rId115"/>
                    <a:srcRect l="2169" t="8346" r="1041" b="10368"/>
                    <a:stretch>
                      <a:fillRect/>
                    </a:stretch>
                  </pic:blipFill>
                  <pic:spPr>
                    <a:xfrm>
                      <a:off x="0" y="0"/>
                      <a:ext cx="4958715" cy="7402830"/>
                    </a:xfrm>
                    <a:prstGeom prst="rect">
                      <a:avLst/>
                    </a:prstGeom>
                  </pic:spPr>
                </pic:pic>
              </a:graphicData>
            </a:graphic>
          </wp:inline>
        </w:drawing>
      </w:r>
    </w:p>
    <w:p w14:paraId="26A6150B">
      <w:pPr>
        <w:keepNext w:val="0"/>
        <w:keepLines w:val="0"/>
        <w:pageBreakBefore w:val="0"/>
        <w:kinsoku/>
        <w:wordWrap w:val="0"/>
        <w:overflowPunct/>
        <w:topLinePunct/>
        <w:autoSpaceDE/>
        <w:autoSpaceDN/>
        <w:bidi w:val="0"/>
        <w:adjustRightInd w:val="0"/>
        <w:snapToGrid w:val="0"/>
        <w:spacing w:line="12241" w:lineRule="exact"/>
        <w:textAlignment w:val="baseline"/>
        <w:rPr>
          <w:rFonts w:hint="default" w:ascii="Times New Roman" w:hAnsi="Times New Roman" w:eastAsia="宋体" w:cs="Times New Roman"/>
          <w:color w:val="auto"/>
          <w:highlight w:val="none"/>
          <w:lang w:eastAsia="zh-CN"/>
        </w:rPr>
        <w:sectPr>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07B980DC">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eastAsia="Times New Roman" w:cs="Times New Roman"/>
          <w:b/>
          <w:bCs/>
          <w:color w:val="auto"/>
          <w:spacing w:val="5"/>
          <w:sz w:val="24"/>
          <w:szCs w:val="24"/>
          <w:highlight w:val="none"/>
        </w:rPr>
      </w:pPr>
      <w:bookmarkStart w:id="306" w:name="_Toc10984"/>
      <w:bookmarkStart w:id="307" w:name="_Toc14969"/>
      <w:bookmarkStart w:id="308" w:name="_Toc11057"/>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2</w:t>
      </w:r>
      <w:r>
        <w:rPr>
          <w:rFonts w:hint="default" w:ascii="Times New Roman" w:hAnsi="Times New Roman" w:eastAsia="Times New Roman" w:cs="Times New Roman"/>
          <w:b/>
          <w:bCs/>
          <w:color w:val="auto"/>
          <w:spacing w:val="5"/>
          <w:sz w:val="24"/>
          <w:szCs w:val="24"/>
          <w:highlight w:val="none"/>
        </w:rPr>
        <w:t>用地手续</w:t>
      </w:r>
      <w:bookmarkEnd w:id="306"/>
      <w:bookmarkEnd w:id="307"/>
      <w:bookmarkEnd w:id="308"/>
    </w:p>
    <w:p w14:paraId="14218C5E">
      <w:pPr>
        <w:pStyle w:val="11"/>
        <w:keepNext w:val="0"/>
        <w:keepLines w:val="0"/>
        <w:pageBreakBefore w:val="0"/>
        <w:kinsoku/>
        <w:wordWrap w:val="0"/>
        <w:overflowPunct/>
        <w:topLinePunct/>
        <w:autoSpaceDE/>
        <w:autoSpaceDN/>
        <w:bidi w:val="0"/>
        <w:adjustRightInd w:val="0"/>
        <w:snapToGrid w:val="0"/>
        <w:spacing w:line="269" w:lineRule="auto"/>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388610" cy="7528560"/>
            <wp:effectExtent l="0" t="0" r="0" b="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16"/>
                    <a:srcRect t="1585" r="6449"/>
                    <a:stretch>
                      <a:fillRect/>
                    </a:stretch>
                  </pic:blipFill>
                  <pic:spPr>
                    <a:xfrm>
                      <a:off x="0" y="0"/>
                      <a:ext cx="5388610" cy="7528560"/>
                    </a:xfrm>
                    <a:prstGeom prst="rect">
                      <a:avLst/>
                    </a:prstGeom>
                    <a:noFill/>
                    <a:ln>
                      <a:noFill/>
                    </a:ln>
                  </pic:spPr>
                </pic:pic>
              </a:graphicData>
            </a:graphic>
          </wp:inline>
        </w:drawing>
      </w:r>
    </w:p>
    <w:p w14:paraId="72F8EF57">
      <w:pPr>
        <w:pStyle w:val="11"/>
        <w:keepNext w:val="0"/>
        <w:keepLines w:val="0"/>
        <w:pageBreakBefore w:val="0"/>
        <w:kinsoku/>
        <w:wordWrap w:val="0"/>
        <w:overflowPunct/>
        <w:topLinePunct/>
        <w:autoSpaceDE/>
        <w:autoSpaceDN/>
        <w:bidi w:val="0"/>
        <w:adjustRightInd w:val="0"/>
        <w:snapToGrid w:val="0"/>
        <w:spacing w:line="269" w:lineRule="auto"/>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631815" cy="7686675"/>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17"/>
                    <a:srcRect r="2227"/>
                    <a:stretch>
                      <a:fillRect/>
                    </a:stretch>
                  </pic:blipFill>
                  <pic:spPr>
                    <a:xfrm>
                      <a:off x="0" y="0"/>
                      <a:ext cx="5631815" cy="7686675"/>
                    </a:xfrm>
                    <a:prstGeom prst="rect">
                      <a:avLst/>
                    </a:prstGeom>
                    <a:noFill/>
                    <a:ln>
                      <a:noFill/>
                    </a:ln>
                  </pic:spPr>
                </pic:pic>
              </a:graphicData>
            </a:graphic>
          </wp:inline>
        </w:drawing>
      </w:r>
      <w:r>
        <w:rPr>
          <w:rFonts w:hint="default" w:ascii="Times New Roman" w:hAnsi="Times New Roman" w:cs="Times New Roman"/>
          <w:color w:val="auto"/>
          <w:highlight w:val="none"/>
        </w:rPr>
        <w:drawing>
          <wp:inline distT="0" distB="0" distL="114300" distR="114300">
            <wp:extent cx="5579110" cy="7296150"/>
            <wp:effectExtent l="0" t="0" r="0" b="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118"/>
                    <a:srcRect t="4290" r="3099"/>
                    <a:stretch>
                      <a:fillRect/>
                    </a:stretch>
                  </pic:blipFill>
                  <pic:spPr>
                    <a:xfrm>
                      <a:off x="0" y="0"/>
                      <a:ext cx="5579110" cy="7296150"/>
                    </a:xfrm>
                    <a:prstGeom prst="rect">
                      <a:avLst/>
                    </a:prstGeom>
                    <a:noFill/>
                    <a:ln>
                      <a:noFill/>
                    </a:ln>
                  </pic:spPr>
                </pic:pic>
              </a:graphicData>
            </a:graphic>
          </wp:inline>
        </w:drawing>
      </w:r>
    </w:p>
    <w:p w14:paraId="2362A3C8">
      <w:pPr>
        <w:pStyle w:val="11"/>
        <w:keepNext w:val="0"/>
        <w:keepLines w:val="0"/>
        <w:pageBreakBefore w:val="0"/>
        <w:kinsoku/>
        <w:wordWrap w:val="0"/>
        <w:overflowPunct/>
        <w:topLinePunct/>
        <w:autoSpaceDE/>
        <w:autoSpaceDN/>
        <w:bidi w:val="0"/>
        <w:adjustRightInd w:val="0"/>
        <w:snapToGrid w:val="0"/>
        <w:spacing w:line="270" w:lineRule="auto"/>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754370" cy="4204335"/>
            <wp:effectExtent l="0" t="0" r="17780" b="571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119"/>
                    <a:stretch>
                      <a:fillRect/>
                    </a:stretch>
                  </pic:blipFill>
                  <pic:spPr>
                    <a:xfrm>
                      <a:off x="0" y="0"/>
                      <a:ext cx="5754370" cy="4204335"/>
                    </a:xfrm>
                    <a:prstGeom prst="rect">
                      <a:avLst/>
                    </a:prstGeom>
                    <a:noFill/>
                    <a:ln>
                      <a:noFill/>
                    </a:ln>
                  </pic:spPr>
                </pic:pic>
              </a:graphicData>
            </a:graphic>
          </wp:inline>
        </w:drawing>
      </w:r>
    </w:p>
    <w:p w14:paraId="1EBFE4A6">
      <w:pPr>
        <w:pStyle w:val="32"/>
        <w:pageBreakBefore w:val="0"/>
        <w:kinsoku/>
        <w:wordWrap w:val="0"/>
        <w:overflowPunct/>
        <w:topLinePunct/>
        <w:autoSpaceDE/>
        <w:autoSpaceDN/>
        <w:bidi w:val="0"/>
        <w:rPr>
          <w:rFonts w:hint="default" w:ascii="Times New Roman" w:hAnsi="Times New Roman" w:cs="Times New Roman"/>
          <w:color w:val="auto"/>
          <w:highlight w:val="none"/>
        </w:rPr>
      </w:pPr>
    </w:p>
    <w:p w14:paraId="7545A255">
      <w:pPr>
        <w:pStyle w:val="33"/>
        <w:pageBreakBefore w:val="0"/>
        <w:kinsoku/>
        <w:wordWrap w:val="0"/>
        <w:overflowPunct/>
        <w:topLinePunct/>
        <w:autoSpaceDE/>
        <w:autoSpaceDN/>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038725" cy="7124700"/>
            <wp:effectExtent l="0" t="0" r="9525"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20"/>
                    <a:stretch>
                      <a:fillRect/>
                    </a:stretch>
                  </pic:blipFill>
                  <pic:spPr>
                    <a:xfrm>
                      <a:off x="0" y="0"/>
                      <a:ext cx="5038725" cy="7124700"/>
                    </a:xfrm>
                    <a:prstGeom prst="rect">
                      <a:avLst/>
                    </a:prstGeom>
                    <a:noFill/>
                    <a:ln>
                      <a:noFill/>
                    </a:ln>
                  </pic:spPr>
                </pic:pic>
              </a:graphicData>
            </a:graphic>
          </wp:inline>
        </w:drawing>
      </w:r>
      <w:r>
        <w:rPr>
          <w:rFonts w:hint="default" w:ascii="Times New Roman" w:hAnsi="Times New Roman" w:cs="Times New Roman"/>
          <w:color w:val="auto"/>
          <w:highlight w:val="none"/>
        </w:rPr>
        <w:drawing>
          <wp:inline distT="0" distB="0" distL="114300" distR="114300">
            <wp:extent cx="4981575" cy="6962775"/>
            <wp:effectExtent l="0" t="0" r="9525" b="9525"/>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121"/>
                    <a:stretch>
                      <a:fillRect/>
                    </a:stretch>
                  </pic:blipFill>
                  <pic:spPr>
                    <a:xfrm>
                      <a:off x="0" y="0"/>
                      <a:ext cx="4981575" cy="6962775"/>
                    </a:xfrm>
                    <a:prstGeom prst="rect">
                      <a:avLst/>
                    </a:prstGeom>
                    <a:noFill/>
                    <a:ln>
                      <a:noFill/>
                    </a:ln>
                  </pic:spPr>
                </pic:pic>
              </a:graphicData>
            </a:graphic>
          </wp:inline>
        </w:drawing>
      </w:r>
    </w:p>
    <w:p w14:paraId="79A57A5E">
      <w:pPr>
        <w:pageBreakBefore w:val="0"/>
        <w:kinsoku/>
        <w:wordWrap w:val="0"/>
        <w:overflowPunct/>
        <w:topLinePunct/>
        <w:autoSpaceDE/>
        <w:autoSpaceDN/>
        <w:bidi w:val="0"/>
        <w:rPr>
          <w:rFonts w:hint="default" w:ascii="Times New Roman" w:hAnsi="Times New Roman" w:eastAsia="宋体" w:cs="Times New Roman"/>
          <w:b/>
          <w:bCs/>
          <w:color w:val="auto"/>
          <w:spacing w:val="-5"/>
          <w:sz w:val="28"/>
          <w:szCs w:val="28"/>
          <w:highlight w:val="none"/>
        </w:rPr>
      </w:pPr>
      <w:r>
        <w:rPr>
          <w:rFonts w:hint="default" w:ascii="Times New Roman" w:hAnsi="Times New Roman" w:eastAsia="宋体" w:cs="Times New Roman"/>
          <w:b/>
          <w:bCs/>
          <w:color w:val="auto"/>
          <w:spacing w:val="-5"/>
          <w:sz w:val="28"/>
          <w:szCs w:val="28"/>
          <w:highlight w:val="none"/>
        </w:rPr>
        <w:br w:type="page"/>
      </w:r>
    </w:p>
    <w:p w14:paraId="73183D4E">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eastAsia="Times New Roman" w:cs="Times New Roman"/>
          <w:b/>
          <w:bCs/>
          <w:color w:val="auto"/>
          <w:spacing w:val="5"/>
          <w:sz w:val="24"/>
          <w:szCs w:val="24"/>
          <w:highlight w:val="none"/>
        </w:rPr>
      </w:pPr>
      <w:bookmarkStart w:id="309" w:name="_Toc12030"/>
      <w:bookmarkStart w:id="310" w:name="_Toc9087"/>
      <w:bookmarkStart w:id="311" w:name="_Toc30108"/>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3</w:t>
      </w:r>
      <w:r>
        <w:rPr>
          <w:rFonts w:hint="default" w:ascii="Times New Roman" w:hAnsi="Times New Roman" w:eastAsia="Times New Roman" w:cs="Times New Roman"/>
          <w:b/>
          <w:bCs/>
          <w:color w:val="auto"/>
          <w:spacing w:val="5"/>
          <w:sz w:val="24"/>
          <w:szCs w:val="24"/>
          <w:highlight w:val="none"/>
        </w:rPr>
        <w:t>无害化处置协议</w:t>
      </w:r>
      <w:bookmarkEnd w:id="309"/>
      <w:bookmarkEnd w:id="310"/>
      <w:bookmarkEnd w:id="311"/>
    </w:p>
    <w:p w14:paraId="37042E73">
      <w:pPr>
        <w:keepNext w:val="0"/>
        <w:keepLines w:val="0"/>
        <w:pageBreakBefore w:val="0"/>
        <w:kinsoku/>
        <w:wordWrap w:val="0"/>
        <w:overflowPunct/>
        <w:topLinePunct/>
        <w:autoSpaceDE/>
        <w:autoSpaceDN/>
        <w:bidi w:val="0"/>
        <w:adjustRightInd w:val="0"/>
        <w:snapToGrid w:val="0"/>
        <w:spacing w:before="91" w:line="233" w:lineRule="auto"/>
        <w:ind w:left="61"/>
        <w:textAlignment w:val="baseline"/>
        <w:rPr>
          <w:rFonts w:hint="default" w:ascii="Times New Roman" w:hAnsi="Times New Roman" w:cs="Times New Roman"/>
          <w:color w:val="auto"/>
          <w:highlight w:val="none"/>
        </w:rPr>
      </w:pPr>
      <w:r>
        <w:drawing>
          <wp:inline distT="0" distB="0" distL="114300" distR="114300">
            <wp:extent cx="5274945" cy="7470775"/>
            <wp:effectExtent l="0" t="0" r="1905" b="15875"/>
            <wp:docPr id="1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8"/>
                    <pic:cNvPicPr>
                      <a:picLocks noChangeAspect="1"/>
                    </pic:cNvPicPr>
                  </pic:nvPicPr>
                  <pic:blipFill>
                    <a:blip r:embed="rId122"/>
                    <a:stretch>
                      <a:fillRect/>
                    </a:stretch>
                  </pic:blipFill>
                  <pic:spPr>
                    <a:xfrm>
                      <a:off x="0" y="0"/>
                      <a:ext cx="5274945" cy="7470775"/>
                    </a:xfrm>
                    <a:prstGeom prst="rect">
                      <a:avLst/>
                    </a:prstGeom>
                    <a:noFill/>
                    <a:ln>
                      <a:noFill/>
                    </a:ln>
                  </pic:spPr>
                </pic:pic>
              </a:graphicData>
            </a:graphic>
          </wp:inline>
        </w:drawing>
      </w:r>
    </w:p>
    <w:p w14:paraId="6114C189">
      <w:pPr>
        <w:pageBreakBefore w:val="0"/>
        <w:kinsoku/>
        <w:wordWrap w:val="0"/>
        <w:overflowPunct/>
        <w:topLinePunct/>
        <w:autoSpaceDE/>
        <w:autoSpaceDN/>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14:paraId="4D4237D5">
      <w:pPr>
        <w:keepNext w:val="0"/>
        <w:keepLines w:val="0"/>
        <w:pageBreakBefore w:val="0"/>
        <w:kinsoku/>
        <w:wordWrap w:val="0"/>
        <w:overflowPunct/>
        <w:topLinePunct/>
        <w:autoSpaceDE/>
        <w:autoSpaceDN/>
        <w:bidi w:val="0"/>
        <w:adjustRightInd w:val="0"/>
        <w:snapToGrid w:val="0"/>
        <w:spacing w:before="91" w:line="233" w:lineRule="auto"/>
        <w:ind w:left="61"/>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591175" cy="7172325"/>
            <wp:effectExtent l="0" t="0" r="9525" b="952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123"/>
                    <a:stretch>
                      <a:fillRect/>
                    </a:stretch>
                  </pic:blipFill>
                  <pic:spPr>
                    <a:xfrm>
                      <a:off x="0" y="0"/>
                      <a:ext cx="5591175" cy="7172325"/>
                    </a:xfrm>
                    <a:prstGeom prst="rect">
                      <a:avLst/>
                    </a:prstGeom>
                    <a:noFill/>
                    <a:ln>
                      <a:noFill/>
                    </a:ln>
                  </pic:spPr>
                </pic:pic>
              </a:graphicData>
            </a:graphic>
          </wp:inline>
        </w:drawing>
      </w:r>
    </w:p>
    <w:p w14:paraId="048928DA">
      <w:pPr>
        <w:pStyle w:val="11"/>
        <w:keepNext w:val="0"/>
        <w:keepLines w:val="0"/>
        <w:pageBreakBefore w:val="0"/>
        <w:kinsoku/>
        <w:wordWrap w:val="0"/>
        <w:overflowPunct/>
        <w:topLinePunct/>
        <w:autoSpaceDE/>
        <w:autoSpaceDN/>
        <w:bidi w:val="0"/>
        <w:adjustRightInd w:val="0"/>
        <w:snapToGrid w:val="0"/>
        <w:spacing w:line="268" w:lineRule="auto"/>
        <w:textAlignment w:val="baseline"/>
        <w:rPr>
          <w:rFonts w:hint="default" w:ascii="Times New Roman" w:hAnsi="Times New Roman" w:cs="Times New Roman"/>
          <w:color w:val="auto"/>
          <w:highlight w:val="none"/>
        </w:rPr>
      </w:pPr>
      <w:r>
        <w:rPr>
          <w:rFonts w:hint="default" w:ascii="Times New Roman" w:hAnsi="Times New Roman" w:cs="Times New Roman"/>
        </w:rPr>
        <w:drawing>
          <wp:inline distT="0" distB="0" distL="114300" distR="114300">
            <wp:extent cx="5276215" cy="7559040"/>
            <wp:effectExtent l="0" t="0" r="635" b="3810"/>
            <wp:docPr id="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
                    <pic:cNvPicPr>
                      <a:picLocks noChangeAspect="1"/>
                    </pic:cNvPicPr>
                  </pic:nvPicPr>
                  <pic:blipFill>
                    <a:blip r:embed="rId124"/>
                    <a:stretch>
                      <a:fillRect/>
                    </a:stretch>
                  </pic:blipFill>
                  <pic:spPr>
                    <a:xfrm>
                      <a:off x="0" y="0"/>
                      <a:ext cx="5276215" cy="7559040"/>
                    </a:xfrm>
                    <a:prstGeom prst="rect">
                      <a:avLst/>
                    </a:prstGeom>
                    <a:noFill/>
                    <a:ln>
                      <a:noFill/>
                    </a:ln>
                  </pic:spPr>
                </pic:pic>
              </a:graphicData>
            </a:graphic>
          </wp:inline>
        </w:drawing>
      </w:r>
      <w:r>
        <w:drawing>
          <wp:inline distT="0" distB="0" distL="114300" distR="114300">
            <wp:extent cx="5277485" cy="7526020"/>
            <wp:effectExtent l="0" t="0" r="18415" b="17780"/>
            <wp:docPr id="1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
                    <pic:cNvPicPr>
                      <a:picLocks noChangeAspect="1"/>
                    </pic:cNvPicPr>
                  </pic:nvPicPr>
                  <pic:blipFill>
                    <a:blip r:embed="rId125"/>
                    <a:stretch>
                      <a:fillRect/>
                    </a:stretch>
                  </pic:blipFill>
                  <pic:spPr>
                    <a:xfrm>
                      <a:off x="0" y="0"/>
                      <a:ext cx="5277485" cy="7526020"/>
                    </a:xfrm>
                    <a:prstGeom prst="rect">
                      <a:avLst/>
                    </a:prstGeom>
                    <a:noFill/>
                    <a:ln>
                      <a:noFill/>
                    </a:ln>
                  </pic:spPr>
                </pic:pic>
              </a:graphicData>
            </a:graphic>
          </wp:inline>
        </w:drawing>
      </w:r>
    </w:p>
    <w:p w14:paraId="1B03D897">
      <w:pPr>
        <w:pageBreakBefore w:val="0"/>
        <w:kinsoku/>
        <w:wordWrap w:val="0"/>
        <w:overflowPunct/>
        <w:topLinePunct/>
        <w:autoSpaceDE/>
        <w:autoSpaceDN/>
        <w:bidi w:val="0"/>
        <w:rPr>
          <w:rFonts w:hint="default" w:ascii="Times New Roman" w:hAnsi="Times New Roman" w:eastAsia="宋体" w:cs="Times New Roman"/>
          <w:b/>
          <w:bCs/>
          <w:color w:val="auto"/>
          <w:sz w:val="31"/>
          <w:szCs w:val="31"/>
          <w:highlight w:val="none"/>
        </w:rPr>
      </w:pPr>
      <w:r>
        <w:rPr>
          <w:rFonts w:hint="default" w:ascii="Times New Roman" w:hAnsi="Times New Roman" w:eastAsia="宋体" w:cs="Times New Roman"/>
          <w:b/>
          <w:bCs/>
          <w:color w:val="auto"/>
          <w:sz w:val="31"/>
          <w:szCs w:val="31"/>
          <w:highlight w:val="none"/>
        </w:rPr>
        <w:br w:type="page"/>
      </w:r>
    </w:p>
    <w:p w14:paraId="79F46002">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eastAsia="Times New Roman" w:cs="Times New Roman"/>
          <w:b/>
          <w:bCs/>
          <w:color w:val="auto"/>
          <w:spacing w:val="5"/>
          <w:sz w:val="24"/>
          <w:szCs w:val="24"/>
          <w:highlight w:val="none"/>
          <w:lang w:val="en-US" w:eastAsia="zh-CN"/>
        </w:rPr>
      </w:pPr>
      <w:bookmarkStart w:id="312" w:name="_Toc12214"/>
      <w:bookmarkStart w:id="313" w:name="_Toc11431"/>
      <w:bookmarkStart w:id="314" w:name="_Toc5788"/>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4粪污消纳协议</w:t>
      </w:r>
      <w:bookmarkEnd w:id="312"/>
      <w:bookmarkEnd w:id="313"/>
      <w:bookmarkEnd w:id="314"/>
    </w:p>
    <w:p w14:paraId="755D2FB9">
      <w:pPr>
        <w:pStyle w:val="11"/>
        <w:keepNext w:val="0"/>
        <w:keepLines w:val="0"/>
        <w:pageBreakBefore w:val="0"/>
        <w:kinsoku/>
        <w:wordWrap w:val="0"/>
        <w:overflowPunct/>
        <w:topLinePunct/>
        <w:autoSpaceDE/>
        <w:autoSpaceDN/>
        <w:bidi w:val="0"/>
        <w:adjustRightInd w:val="0"/>
        <w:snapToGrid w:val="0"/>
        <w:spacing w:line="290" w:lineRule="auto"/>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172075" cy="7562850"/>
            <wp:effectExtent l="0" t="0" r="9525" b="0"/>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126"/>
                    <a:stretch>
                      <a:fillRect/>
                    </a:stretch>
                  </pic:blipFill>
                  <pic:spPr>
                    <a:xfrm>
                      <a:off x="0" y="0"/>
                      <a:ext cx="5172075" cy="7562850"/>
                    </a:xfrm>
                    <a:prstGeom prst="rect">
                      <a:avLst/>
                    </a:prstGeom>
                    <a:noFill/>
                    <a:ln>
                      <a:noFill/>
                    </a:ln>
                  </pic:spPr>
                </pic:pic>
              </a:graphicData>
            </a:graphic>
          </wp:inline>
        </w:drawing>
      </w:r>
    </w:p>
    <w:p w14:paraId="2B266274">
      <w:pPr>
        <w:pStyle w:val="11"/>
        <w:keepNext w:val="0"/>
        <w:keepLines w:val="0"/>
        <w:pageBreakBefore w:val="0"/>
        <w:kinsoku/>
        <w:wordWrap w:val="0"/>
        <w:overflowPunct/>
        <w:topLinePunct/>
        <w:autoSpaceDE/>
        <w:autoSpaceDN/>
        <w:bidi w:val="0"/>
        <w:adjustRightInd w:val="0"/>
        <w:snapToGrid w:val="0"/>
        <w:spacing w:line="291" w:lineRule="auto"/>
        <w:textAlignment w:val="baseline"/>
        <w:rPr>
          <w:rFonts w:hint="default" w:ascii="Times New Roman" w:hAnsi="Times New Roman" w:cs="Times New Roman"/>
          <w:color w:val="auto"/>
          <w:highlight w:val="none"/>
        </w:rPr>
      </w:pPr>
    </w:p>
    <w:p w14:paraId="08A1A620">
      <w:pPr>
        <w:pStyle w:val="11"/>
        <w:keepNext w:val="0"/>
        <w:keepLines w:val="0"/>
        <w:pageBreakBefore w:val="0"/>
        <w:kinsoku/>
        <w:wordWrap w:val="0"/>
        <w:overflowPunct/>
        <w:topLinePunct/>
        <w:autoSpaceDE/>
        <w:autoSpaceDN/>
        <w:bidi w:val="0"/>
        <w:adjustRightInd w:val="0"/>
        <w:snapToGrid w:val="0"/>
        <w:spacing w:line="290" w:lineRule="auto"/>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4953000" cy="7343775"/>
            <wp:effectExtent l="0" t="0" r="0" b="9525"/>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127"/>
                    <a:stretch>
                      <a:fillRect/>
                    </a:stretch>
                  </pic:blipFill>
                  <pic:spPr>
                    <a:xfrm>
                      <a:off x="0" y="0"/>
                      <a:ext cx="4953000" cy="7343775"/>
                    </a:xfrm>
                    <a:prstGeom prst="rect">
                      <a:avLst/>
                    </a:prstGeom>
                    <a:noFill/>
                    <a:ln>
                      <a:noFill/>
                    </a:ln>
                  </pic:spPr>
                </pic:pic>
              </a:graphicData>
            </a:graphic>
          </wp:inline>
        </w:drawing>
      </w:r>
    </w:p>
    <w:p w14:paraId="5DDE92EF">
      <w:pPr>
        <w:rPr>
          <w:rFonts w:hint="default" w:ascii="Times New Roman" w:hAnsi="Times New Roman" w:eastAsia="宋体" w:cs="Times New Roman"/>
          <w:b/>
          <w:bCs/>
          <w:color w:val="auto"/>
          <w:sz w:val="31"/>
          <w:szCs w:val="31"/>
          <w:highlight w:val="none"/>
        </w:rPr>
      </w:pPr>
      <w:r>
        <w:rPr>
          <w:rFonts w:hint="default" w:ascii="Times New Roman" w:hAnsi="Times New Roman" w:eastAsia="宋体" w:cs="Times New Roman"/>
          <w:b/>
          <w:bCs/>
          <w:color w:val="auto"/>
          <w:sz w:val="31"/>
          <w:szCs w:val="31"/>
          <w:highlight w:val="none"/>
        </w:rPr>
        <w:br w:type="page"/>
      </w:r>
    </w:p>
    <w:p w14:paraId="1A0FEB02">
      <w:pPr>
        <w:pageBreakBefore w:val="0"/>
        <w:kinsoku/>
        <w:wordWrap w:val="0"/>
        <w:overflowPunct/>
        <w:topLinePunct/>
        <w:autoSpaceDE/>
        <w:autoSpaceDN/>
        <w:bidi w:val="0"/>
        <w:rPr>
          <w:rFonts w:hint="default" w:ascii="Times New Roman" w:hAnsi="Times New Roman" w:eastAsia="宋体" w:cs="Times New Roman"/>
          <w:b/>
          <w:bCs/>
          <w:color w:val="auto"/>
          <w:sz w:val="31"/>
          <w:szCs w:val="31"/>
          <w:highlight w:val="none"/>
        </w:rPr>
      </w:pPr>
      <w:r>
        <w:rPr>
          <w:rFonts w:hint="default" w:ascii="Times New Roman" w:hAnsi="Times New Roman" w:cs="Times New Roman"/>
          <w:color w:val="auto"/>
          <w:highlight w:val="none"/>
        </w:rPr>
        <w:drawing>
          <wp:inline distT="0" distB="0" distL="114300" distR="114300">
            <wp:extent cx="5276850" cy="7636510"/>
            <wp:effectExtent l="0" t="0" r="0" b="2540"/>
            <wp:docPr id="8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1"/>
                    <pic:cNvPicPr>
                      <a:picLocks noChangeAspect="1"/>
                    </pic:cNvPicPr>
                  </pic:nvPicPr>
                  <pic:blipFill>
                    <a:blip r:embed="rId128"/>
                    <a:stretch>
                      <a:fillRect/>
                    </a:stretch>
                  </pic:blipFill>
                  <pic:spPr>
                    <a:xfrm>
                      <a:off x="0" y="0"/>
                      <a:ext cx="5276850" cy="7636510"/>
                    </a:xfrm>
                    <a:prstGeom prst="rect">
                      <a:avLst/>
                    </a:prstGeom>
                    <a:noFill/>
                    <a:ln>
                      <a:noFill/>
                    </a:ln>
                  </pic:spPr>
                </pic:pic>
              </a:graphicData>
            </a:graphic>
          </wp:inline>
        </w:drawing>
      </w:r>
    </w:p>
    <w:p w14:paraId="5E9E23DA">
      <w:pPr>
        <w:rPr>
          <w:rFonts w:hint="default" w:ascii="Times New Roman" w:hAnsi="Times New Roman" w:eastAsia="Times New Roman" w:cs="Times New Roman"/>
          <w:b/>
          <w:bCs/>
          <w:color w:val="auto"/>
          <w:spacing w:val="5"/>
          <w:sz w:val="31"/>
          <w:szCs w:val="31"/>
          <w:highlight w:val="none"/>
        </w:rPr>
      </w:pPr>
      <w:bookmarkStart w:id="315" w:name="_Toc24465"/>
      <w:bookmarkStart w:id="316" w:name="_Toc27442"/>
      <w:r>
        <w:rPr>
          <w:rFonts w:hint="default" w:ascii="Times New Roman" w:hAnsi="Times New Roman" w:eastAsia="Times New Roman" w:cs="Times New Roman"/>
          <w:b/>
          <w:bCs/>
          <w:color w:val="auto"/>
          <w:spacing w:val="5"/>
          <w:sz w:val="31"/>
          <w:szCs w:val="31"/>
          <w:highlight w:val="none"/>
        </w:rPr>
        <w:br w:type="page"/>
      </w:r>
    </w:p>
    <w:p w14:paraId="7191DE51">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eastAsia="Times New Roman" w:cs="Times New Roman"/>
          <w:b/>
          <w:bCs/>
          <w:color w:val="auto"/>
          <w:spacing w:val="5"/>
          <w:sz w:val="24"/>
          <w:szCs w:val="24"/>
          <w:highlight w:val="none"/>
          <w:lang w:val="en-US" w:eastAsia="zh-CN"/>
        </w:rPr>
      </w:pPr>
      <w:bookmarkStart w:id="317" w:name="_Toc839"/>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5现状检测报告</w:t>
      </w:r>
      <w:bookmarkEnd w:id="315"/>
      <w:bookmarkEnd w:id="316"/>
      <w:bookmarkEnd w:id="317"/>
    </w:p>
    <w:p w14:paraId="56AB9648">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9"/>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029200" cy="7042785"/>
            <wp:effectExtent l="0" t="0" r="0" b="571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29"/>
                    <a:stretch>
                      <a:fillRect/>
                    </a:stretch>
                  </pic:blipFill>
                  <pic:spPr>
                    <a:xfrm>
                      <a:off x="0" y="0"/>
                      <a:ext cx="5029200" cy="7042785"/>
                    </a:xfrm>
                    <a:prstGeom prst="rect">
                      <a:avLst/>
                    </a:prstGeom>
                    <a:noFill/>
                    <a:ln>
                      <a:noFill/>
                    </a:ln>
                  </pic:spPr>
                </pic:pic>
              </a:graphicData>
            </a:graphic>
          </wp:inline>
        </w:drawing>
      </w:r>
    </w:p>
    <w:p w14:paraId="56C20FC4">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524500" cy="7762875"/>
            <wp:effectExtent l="0" t="0" r="0" b="9525"/>
            <wp:docPr id="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1"/>
                    </pic:cNvPicPr>
                  </pic:nvPicPr>
                  <pic:blipFill>
                    <a:blip r:embed="rId130"/>
                    <a:stretch>
                      <a:fillRect/>
                    </a:stretch>
                  </pic:blipFill>
                  <pic:spPr>
                    <a:xfrm>
                      <a:off x="0" y="0"/>
                      <a:ext cx="5524500" cy="7762875"/>
                    </a:xfrm>
                    <a:prstGeom prst="rect">
                      <a:avLst/>
                    </a:prstGeom>
                    <a:noFill/>
                    <a:ln>
                      <a:noFill/>
                    </a:ln>
                  </pic:spPr>
                </pic:pic>
              </a:graphicData>
            </a:graphic>
          </wp:inline>
        </w:drawing>
      </w:r>
    </w:p>
    <w:p w14:paraId="40D20D6B">
      <w:pPr>
        <w:pStyle w:val="11"/>
        <w:keepNext w:val="0"/>
        <w:keepLines w:val="0"/>
        <w:pageBreakBefore w:val="0"/>
        <w:kinsoku/>
        <w:wordWrap w:val="0"/>
        <w:overflowPunct/>
        <w:topLinePunct/>
        <w:autoSpaceDE/>
        <w:autoSpaceDN/>
        <w:bidi w:val="0"/>
        <w:adjustRightInd w:val="0"/>
        <w:snapToGrid w:val="0"/>
        <w:spacing w:line="291" w:lineRule="auto"/>
        <w:textAlignment w:val="baseline"/>
        <w:rPr>
          <w:rFonts w:hint="default" w:ascii="Times New Roman" w:hAnsi="Times New Roman" w:cs="Times New Roman"/>
          <w:color w:val="auto"/>
          <w:highlight w:val="none"/>
        </w:rPr>
      </w:pPr>
      <w:r>
        <w:drawing>
          <wp:inline distT="0" distB="0" distL="114300" distR="114300">
            <wp:extent cx="5275580" cy="7383780"/>
            <wp:effectExtent l="0" t="0" r="1270" b="7620"/>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131"/>
                    <a:stretch>
                      <a:fillRect/>
                    </a:stretch>
                  </pic:blipFill>
                  <pic:spPr>
                    <a:xfrm>
                      <a:off x="0" y="0"/>
                      <a:ext cx="5275580" cy="7383780"/>
                    </a:xfrm>
                    <a:prstGeom prst="rect">
                      <a:avLst/>
                    </a:prstGeom>
                    <a:noFill/>
                    <a:ln>
                      <a:noFill/>
                    </a:ln>
                  </pic:spPr>
                </pic:pic>
              </a:graphicData>
            </a:graphic>
          </wp:inline>
        </w:drawing>
      </w:r>
    </w:p>
    <w:p w14:paraId="431B34F5">
      <w:pPr>
        <w:pStyle w:val="32"/>
        <w:pageBreakBefore w:val="0"/>
        <w:kinsoku/>
        <w:wordWrap w:val="0"/>
        <w:overflowPunct/>
        <w:topLinePunct/>
        <w:autoSpaceDE/>
        <w:autoSpaceDN/>
        <w:bidi w:val="0"/>
        <w:rPr>
          <w:rFonts w:hint="default" w:ascii="Times New Roman" w:hAnsi="Times New Roman" w:cs="Times New Roman"/>
          <w:b/>
          <w:bCs/>
          <w:color w:val="auto"/>
          <w:highlight w:val="none"/>
        </w:rPr>
      </w:pPr>
      <w:r>
        <w:drawing>
          <wp:inline distT="0" distB="0" distL="114300" distR="114300">
            <wp:extent cx="5276850" cy="7432675"/>
            <wp:effectExtent l="0" t="0" r="0" b="15875"/>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
                    <pic:cNvPicPr>
                      <a:picLocks noChangeAspect="1"/>
                    </pic:cNvPicPr>
                  </pic:nvPicPr>
                  <pic:blipFill>
                    <a:blip r:embed="rId132"/>
                    <a:stretch>
                      <a:fillRect/>
                    </a:stretch>
                  </pic:blipFill>
                  <pic:spPr>
                    <a:xfrm>
                      <a:off x="0" y="0"/>
                      <a:ext cx="5276850" cy="7432675"/>
                    </a:xfrm>
                    <a:prstGeom prst="rect">
                      <a:avLst/>
                    </a:prstGeom>
                    <a:noFill/>
                    <a:ln>
                      <a:noFill/>
                    </a:ln>
                  </pic:spPr>
                </pic:pic>
              </a:graphicData>
            </a:graphic>
          </wp:inline>
        </w:drawing>
      </w:r>
    </w:p>
    <w:p w14:paraId="180C39D9">
      <w:pPr>
        <w:pStyle w:val="33"/>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2405" cy="7329170"/>
            <wp:effectExtent l="0" t="0" r="4445" b="5080"/>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133"/>
                    <a:stretch>
                      <a:fillRect/>
                    </a:stretch>
                  </pic:blipFill>
                  <pic:spPr>
                    <a:xfrm>
                      <a:off x="0" y="0"/>
                      <a:ext cx="5272405" cy="7329170"/>
                    </a:xfrm>
                    <a:prstGeom prst="rect">
                      <a:avLst/>
                    </a:prstGeom>
                    <a:noFill/>
                    <a:ln>
                      <a:noFill/>
                    </a:ln>
                  </pic:spPr>
                </pic:pic>
              </a:graphicData>
            </a:graphic>
          </wp:inline>
        </w:drawing>
      </w:r>
    </w:p>
    <w:p w14:paraId="590AA892">
      <w:pPr>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5580" cy="7249795"/>
            <wp:effectExtent l="0" t="0" r="1270" b="8255"/>
            <wp:docPr id="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pic:cNvPicPr>
                      <a:picLocks noChangeAspect="1"/>
                    </pic:cNvPicPr>
                  </pic:nvPicPr>
                  <pic:blipFill>
                    <a:blip r:embed="rId134"/>
                    <a:stretch>
                      <a:fillRect/>
                    </a:stretch>
                  </pic:blipFill>
                  <pic:spPr>
                    <a:xfrm>
                      <a:off x="0" y="0"/>
                      <a:ext cx="5275580" cy="7249795"/>
                    </a:xfrm>
                    <a:prstGeom prst="rect">
                      <a:avLst/>
                    </a:prstGeom>
                    <a:noFill/>
                    <a:ln>
                      <a:noFill/>
                    </a:ln>
                  </pic:spPr>
                </pic:pic>
              </a:graphicData>
            </a:graphic>
          </wp:inline>
        </w:drawing>
      </w:r>
    </w:p>
    <w:p w14:paraId="1CB3055D">
      <w:pPr>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5580" cy="7473950"/>
            <wp:effectExtent l="0" t="0" r="1270" b="12700"/>
            <wp:docPr id="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0"/>
                    <pic:cNvPicPr>
                      <a:picLocks noChangeAspect="1"/>
                    </pic:cNvPicPr>
                  </pic:nvPicPr>
                  <pic:blipFill>
                    <a:blip r:embed="rId135"/>
                    <a:stretch>
                      <a:fillRect/>
                    </a:stretch>
                  </pic:blipFill>
                  <pic:spPr>
                    <a:xfrm>
                      <a:off x="0" y="0"/>
                      <a:ext cx="5275580" cy="7473950"/>
                    </a:xfrm>
                    <a:prstGeom prst="rect">
                      <a:avLst/>
                    </a:prstGeom>
                    <a:noFill/>
                    <a:ln>
                      <a:noFill/>
                    </a:ln>
                  </pic:spPr>
                </pic:pic>
              </a:graphicData>
            </a:graphic>
          </wp:inline>
        </w:drawing>
      </w:r>
    </w:p>
    <w:p w14:paraId="08B2BBCE">
      <w:pPr>
        <w:pageBreakBefore w:val="0"/>
        <w:kinsoku/>
        <w:wordWrap w:val="0"/>
        <w:overflowPunct/>
        <w:topLinePunct/>
        <w:autoSpaceDE/>
        <w:autoSpaceDN/>
        <w:bidi w:val="0"/>
        <w:jc w:val="both"/>
        <w:rPr>
          <w:rFonts w:hint="default" w:ascii="Times New Roman" w:hAnsi="Times New Roman" w:eastAsia="宋体" w:cs="Times New Roman"/>
          <w:color w:val="auto"/>
          <w:highlight w:val="none"/>
          <w:lang w:val="en-US" w:eastAsia="zh-CN"/>
        </w:rPr>
      </w:pPr>
      <w:r>
        <w:drawing>
          <wp:inline distT="0" distB="0" distL="114300" distR="114300">
            <wp:extent cx="5275580" cy="7438390"/>
            <wp:effectExtent l="0" t="0" r="1270" b="10160"/>
            <wp:docPr id="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1"/>
                    <pic:cNvPicPr>
                      <a:picLocks noChangeAspect="1"/>
                    </pic:cNvPicPr>
                  </pic:nvPicPr>
                  <pic:blipFill>
                    <a:blip r:embed="rId136"/>
                    <a:stretch>
                      <a:fillRect/>
                    </a:stretch>
                  </pic:blipFill>
                  <pic:spPr>
                    <a:xfrm>
                      <a:off x="0" y="0"/>
                      <a:ext cx="5275580" cy="7438390"/>
                    </a:xfrm>
                    <a:prstGeom prst="rect">
                      <a:avLst/>
                    </a:prstGeom>
                    <a:noFill/>
                    <a:ln>
                      <a:noFill/>
                    </a:ln>
                  </pic:spPr>
                </pic:pic>
              </a:graphicData>
            </a:graphic>
          </wp:inline>
        </w:drawing>
      </w:r>
    </w:p>
    <w:p w14:paraId="3953CE33">
      <w:pPr>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5580" cy="7348220"/>
            <wp:effectExtent l="0" t="0" r="1270" b="5080"/>
            <wp:docPr id="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2"/>
                    <pic:cNvPicPr>
                      <a:picLocks noChangeAspect="1"/>
                    </pic:cNvPicPr>
                  </pic:nvPicPr>
                  <pic:blipFill>
                    <a:blip r:embed="rId137"/>
                    <a:stretch>
                      <a:fillRect/>
                    </a:stretch>
                  </pic:blipFill>
                  <pic:spPr>
                    <a:xfrm>
                      <a:off x="0" y="0"/>
                      <a:ext cx="5275580" cy="7348220"/>
                    </a:xfrm>
                    <a:prstGeom prst="rect">
                      <a:avLst/>
                    </a:prstGeom>
                    <a:noFill/>
                    <a:ln>
                      <a:noFill/>
                    </a:ln>
                  </pic:spPr>
                </pic:pic>
              </a:graphicData>
            </a:graphic>
          </wp:inline>
        </w:drawing>
      </w:r>
    </w:p>
    <w:p w14:paraId="1812F194">
      <w:pPr>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7485" cy="7480935"/>
            <wp:effectExtent l="0" t="0" r="18415" b="5715"/>
            <wp:docPr id="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3"/>
                    <pic:cNvPicPr>
                      <a:picLocks noChangeAspect="1"/>
                    </pic:cNvPicPr>
                  </pic:nvPicPr>
                  <pic:blipFill>
                    <a:blip r:embed="rId138"/>
                    <a:stretch>
                      <a:fillRect/>
                    </a:stretch>
                  </pic:blipFill>
                  <pic:spPr>
                    <a:xfrm>
                      <a:off x="0" y="0"/>
                      <a:ext cx="5277485" cy="7480935"/>
                    </a:xfrm>
                    <a:prstGeom prst="rect">
                      <a:avLst/>
                    </a:prstGeom>
                    <a:noFill/>
                    <a:ln>
                      <a:noFill/>
                    </a:ln>
                  </pic:spPr>
                </pic:pic>
              </a:graphicData>
            </a:graphic>
          </wp:inline>
        </w:drawing>
      </w:r>
    </w:p>
    <w:p w14:paraId="35A06BF7">
      <w:pPr>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3675" cy="7404735"/>
            <wp:effectExtent l="0" t="0" r="3175" b="5715"/>
            <wp:docPr id="4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4"/>
                    <pic:cNvPicPr>
                      <a:picLocks noChangeAspect="1"/>
                    </pic:cNvPicPr>
                  </pic:nvPicPr>
                  <pic:blipFill>
                    <a:blip r:embed="rId139"/>
                    <a:stretch>
                      <a:fillRect/>
                    </a:stretch>
                  </pic:blipFill>
                  <pic:spPr>
                    <a:xfrm>
                      <a:off x="0" y="0"/>
                      <a:ext cx="5273675" cy="7404735"/>
                    </a:xfrm>
                    <a:prstGeom prst="rect">
                      <a:avLst/>
                    </a:prstGeom>
                    <a:noFill/>
                    <a:ln>
                      <a:noFill/>
                    </a:ln>
                  </pic:spPr>
                </pic:pic>
              </a:graphicData>
            </a:graphic>
          </wp:inline>
        </w:drawing>
      </w:r>
    </w:p>
    <w:p w14:paraId="1E2E4902">
      <w:pPr>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2405" cy="7410450"/>
            <wp:effectExtent l="0" t="0" r="4445" b="0"/>
            <wp:docPr id="4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5"/>
                    <pic:cNvPicPr>
                      <a:picLocks noChangeAspect="1"/>
                    </pic:cNvPicPr>
                  </pic:nvPicPr>
                  <pic:blipFill>
                    <a:blip r:embed="rId140"/>
                    <a:stretch>
                      <a:fillRect/>
                    </a:stretch>
                  </pic:blipFill>
                  <pic:spPr>
                    <a:xfrm>
                      <a:off x="0" y="0"/>
                      <a:ext cx="5272405" cy="7410450"/>
                    </a:xfrm>
                    <a:prstGeom prst="rect">
                      <a:avLst/>
                    </a:prstGeom>
                    <a:noFill/>
                    <a:ln>
                      <a:noFill/>
                    </a:ln>
                  </pic:spPr>
                </pic:pic>
              </a:graphicData>
            </a:graphic>
          </wp:inline>
        </w:drawing>
      </w:r>
    </w:p>
    <w:p w14:paraId="00DC1FCA">
      <w:pPr>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3675" cy="7306310"/>
            <wp:effectExtent l="0" t="0" r="3175" b="8890"/>
            <wp:docPr id="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6"/>
                    <pic:cNvPicPr>
                      <a:picLocks noChangeAspect="1"/>
                    </pic:cNvPicPr>
                  </pic:nvPicPr>
                  <pic:blipFill>
                    <a:blip r:embed="rId141"/>
                    <a:stretch>
                      <a:fillRect/>
                    </a:stretch>
                  </pic:blipFill>
                  <pic:spPr>
                    <a:xfrm>
                      <a:off x="0" y="0"/>
                      <a:ext cx="5273675" cy="7306310"/>
                    </a:xfrm>
                    <a:prstGeom prst="rect">
                      <a:avLst/>
                    </a:prstGeom>
                    <a:noFill/>
                    <a:ln>
                      <a:noFill/>
                    </a:ln>
                  </pic:spPr>
                </pic:pic>
              </a:graphicData>
            </a:graphic>
          </wp:inline>
        </w:drawing>
      </w:r>
    </w:p>
    <w:p w14:paraId="0D6E6209">
      <w:pPr>
        <w:pageBreakBefore w:val="0"/>
        <w:kinsoku/>
        <w:wordWrap w:val="0"/>
        <w:overflowPunct/>
        <w:topLinePunct/>
        <w:autoSpaceDE/>
        <w:autoSpaceDN/>
        <w:bidi w:val="0"/>
        <w:rPr>
          <w:rFonts w:hint="default" w:ascii="Times New Roman" w:hAnsi="Times New Roman" w:cs="Times New Roman"/>
          <w:color w:val="auto"/>
          <w:highlight w:val="none"/>
        </w:rPr>
      </w:pPr>
      <w:r>
        <w:drawing>
          <wp:inline distT="0" distB="0" distL="114300" distR="114300">
            <wp:extent cx="5275580" cy="7330440"/>
            <wp:effectExtent l="0" t="0" r="1270" b="3810"/>
            <wp:docPr id="1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7"/>
                    <pic:cNvPicPr>
                      <a:picLocks noChangeAspect="1"/>
                    </pic:cNvPicPr>
                  </pic:nvPicPr>
                  <pic:blipFill>
                    <a:blip r:embed="rId142"/>
                    <a:stretch>
                      <a:fillRect/>
                    </a:stretch>
                  </pic:blipFill>
                  <pic:spPr>
                    <a:xfrm>
                      <a:off x="0" y="0"/>
                      <a:ext cx="5275580" cy="7330440"/>
                    </a:xfrm>
                    <a:prstGeom prst="rect">
                      <a:avLst/>
                    </a:prstGeom>
                    <a:noFill/>
                    <a:ln>
                      <a:noFill/>
                    </a:ln>
                  </pic:spPr>
                </pic:pic>
              </a:graphicData>
            </a:graphic>
          </wp:inline>
        </w:drawing>
      </w:r>
    </w:p>
    <w:p w14:paraId="60DD809E">
      <w:pPr>
        <w:pStyle w:val="11"/>
        <w:keepNext w:val="0"/>
        <w:keepLines w:val="0"/>
        <w:pageBreakBefore w:val="0"/>
        <w:kinsoku/>
        <w:wordWrap w:val="0"/>
        <w:overflowPunct/>
        <w:topLinePunct/>
        <w:autoSpaceDE/>
        <w:autoSpaceDN/>
        <w:bidi w:val="0"/>
        <w:adjustRightInd w:val="0"/>
        <w:snapToGrid w:val="0"/>
        <w:spacing w:line="290" w:lineRule="auto"/>
        <w:textAlignment w:val="baseline"/>
        <w:rPr>
          <w:rFonts w:hint="default" w:ascii="Times New Roman" w:hAnsi="Times New Roman" w:cs="Times New Roman"/>
          <w:color w:val="auto"/>
          <w:highlight w:val="none"/>
        </w:rPr>
      </w:pPr>
      <w:r>
        <w:drawing>
          <wp:inline distT="0" distB="0" distL="114300" distR="114300">
            <wp:extent cx="5274945" cy="7390130"/>
            <wp:effectExtent l="0" t="0" r="1905" b="1270"/>
            <wp:docPr id="1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8"/>
                    <pic:cNvPicPr>
                      <a:picLocks noChangeAspect="1"/>
                    </pic:cNvPicPr>
                  </pic:nvPicPr>
                  <pic:blipFill>
                    <a:blip r:embed="rId143"/>
                    <a:stretch>
                      <a:fillRect/>
                    </a:stretch>
                  </pic:blipFill>
                  <pic:spPr>
                    <a:xfrm>
                      <a:off x="0" y="0"/>
                      <a:ext cx="5274945" cy="7390130"/>
                    </a:xfrm>
                    <a:prstGeom prst="rect">
                      <a:avLst/>
                    </a:prstGeom>
                    <a:noFill/>
                    <a:ln>
                      <a:noFill/>
                    </a:ln>
                  </pic:spPr>
                </pic:pic>
              </a:graphicData>
            </a:graphic>
          </wp:inline>
        </w:drawing>
      </w:r>
    </w:p>
    <w:p w14:paraId="4700F1DC">
      <w:pPr>
        <w:pageBreakBefore w:val="0"/>
        <w:kinsoku/>
        <w:wordWrap w:val="0"/>
        <w:overflowPunct/>
        <w:topLinePunct/>
        <w:autoSpaceDE/>
        <w:autoSpaceDN/>
        <w:bidi w:val="0"/>
      </w:pPr>
      <w:r>
        <w:rPr>
          <w:rFonts w:hint="default" w:ascii="Times New Roman" w:hAnsi="Times New Roman" w:cs="Times New Roman"/>
          <w:color w:val="auto"/>
          <w:highlight w:val="none"/>
        </w:rPr>
        <w:br w:type="page"/>
      </w:r>
      <w:r>
        <w:drawing>
          <wp:inline distT="0" distB="0" distL="114300" distR="114300">
            <wp:extent cx="5276850" cy="7396480"/>
            <wp:effectExtent l="0" t="0" r="0" b="13970"/>
            <wp:docPr id="1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9"/>
                    <pic:cNvPicPr>
                      <a:picLocks noChangeAspect="1"/>
                    </pic:cNvPicPr>
                  </pic:nvPicPr>
                  <pic:blipFill>
                    <a:blip r:embed="rId144"/>
                    <a:stretch>
                      <a:fillRect/>
                    </a:stretch>
                  </pic:blipFill>
                  <pic:spPr>
                    <a:xfrm>
                      <a:off x="0" y="0"/>
                      <a:ext cx="5276850" cy="7396480"/>
                    </a:xfrm>
                    <a:prstGeom prst="rect">
                      <a:avLst/>
                    </a:prstGeom>
                    <a:noFill/>
                    <a:ln>
                      <a:noFill/>
                    </a:ln>
                  </pic:spPr>
                </pic:pic>
              </a:graphicData>
            </a:graphic>
          </wp:inline>
        </w:drawing>
      </w:r>
    </w:p>
    <w:p w14:paraId="7ABC6B20">
      <w:pPr>
        <w:pStyle w:val="2"/>
        <w:rPr>
          <w:rFonts w:hint="default"/>
        </w:rPr>
      </w:pPr>
      <w:r>
        <w:drawing>
          <wp:inline distT="0" distB="0" distL="114300" distR="114300">
            <wp:extent cx="5276850" cy="7441565"/>
            <wp:effectExtent l="0" t="0" r="0" b="6985"/>
            <wp:docPr id="1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0"/>
                    <pic:cNvPicPr>
                      <a:picLocks noChangeAspect="1"/>
                    </pic:cNvPicPr>
                  </pic:nvPicPr>
                  <pic:blipFill>
                    <a:blip r:embed="rId145"/>
                    <a:stretch>
                      <a:fillRect/>
                    </a:stretch>
                  </pic:blipFill>
                  <pic:spPr>
                    <a:xfrm>
                      <a:off x="0" y="0"/>
                      <a:ext cx="5276850" cy="7441565"/>
                    </a:xfrm>
                    <a:prstGeom prst="rect">
                      <a:avLst/>
                    </a:prstGeom>
                    <a:noFill/>
                    <a:ln>
                      <a:noFill/>
                    </a:ln>
                  </pic:spPr>
                </pic:pic>
              </a:graphicData>
            </a:graphic>
          </wp:inline>
        </w:drawing>
      </w:r>
    </w:p>
    <w:p w14:paraId="2F1AAFBE">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9"/>
        <w:rPr>
          <w:rFonts w:hint="default" w:ascii="Times New Roman" w:hAnsi="Times New Roman" w:eastAsia="Times New Roman" w:cs="Times New Roman"/>
          <w:b/>
          <w:bCs/>
          <w:color w:val="auto"/>
          <w:spacing w:val="5"/>
          <w:sz w:val="24"/>
          <w:szCs w:val="24"/>
          <w:highlight w:val="none"/>
        </w:rPr>
      </w:pPr>
      <w:bookmarkStart w:id="318" w:name="_Toc22822"/>
      <w:bookmarkStart w:id="319" w:name="_Toc13045"/>
      <w:bookmarkStart w:id="320" w:name="_Toc28027"/>
    </w:p>
    <w:p w14:paraId="7D424576">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9"/>
        <w:rPr>
          <w:rFonts w:hint="default" w:ascii="Times New Roman" w:hAnsi="Times New Roman" w:eastAsia="Times New Roman" w:cs="Times New Roman"/>
          <w:b/>
          <w:bCs/>
          <w:color w:val="auto"/>
          <w:spacing w:val="5"/>
          <w:sz w:val="24"/>
          <w:szCs w:val="24"/>
          <w:highlight w:val="none"/>
        </w:rPr>
      </w:pPr>
    </w:p>
    <w:p w14:paraId="0324DB66">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9"/>
        <w:rPr>
          <w:rFonts w:hint="default" w:ascii="Times New Roman" w:hAnsi="Times New Roman" w:eastAsia="Times New Roman" w:cs="Times New Roman"/>
          <w:b/>
          <w:bCs/>
          <w:color w:val="auto"/>
          <w:spacing w:val="5"/>
          <w:sz w:val="24"/>
          <w:szCs w:val="24"/>
          <w:highlight w:val="none"/>
        </w:rPr>
      </w:pPr>
    </w:p>
    <w:p w14:paraId="1BD7B3EE">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9"/>
        <w:rPr>
          <w:rFonts w:hint="default" w:ascii="Times New Roman" w:hAnsi="Times New Roman" w:eastAsia="Times New Roman" w:cs="Times New Roman"/>
          <w:b/>
          <w:bCs/>
          <w:color w:val="auto"/>
          <w:spacing w:val="5"/>
          <w:sz w:val="24"/>
          <w:szCs w:val="24"/>
          <w:highlight w:val="none"/>
        </w:rPr>
      </w:pPr>
    </w:p>
    <w:p w14:paraId="55384003">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9"/>
        <w:rPr>
          <w:rFonts w:hint="default" w:ascii="Times New Roman" w:hAnsi="Times New Roman" w:eastAsia="Times New Roman" w:cs="Times New Roman"/>
          <w:b/>
          <w:bCs/>
          <w:color w:val="auto"/>
          <w:spacing w:val="5"/>
          <w:sz w:val="24"/>
          <w:szCs w:val="24"/>
          <w:highlight w:val="none"/>
        </w:rPr>
      </w:pPr>
    </w:p>
    <w:p w14:paraId="77110453">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1"/>
        <w:rPr>
          <w:rFonts w:hint="default" w:ascii="Times New Roman" w:hAnsi="Times New Roman" w:eastAsia="Times New Roman" w:cs="Times New Roman"/>
          <w:b/>
          <w:bCs/>
          <w:color w:val="auto"/>
          <w:spacing w:val="5"/>
          <w:sz w:val="24"/>
          <w:szCs w:val="24"/>
          <w:highlight w:val="none"/>
          <w:lang w:val="en-US" w:eastAsia="zh-CN"/>
        </w:rPr>
      </w:pPr>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6医疗废物处理协议</w:t>
      </w:r>
      <w:bookmarkEnd w:id="318"/>
    </w:p>
    <w:p w14:paraId="2E5A9C75">
      <w:pPr>
        <w:rPr>
          <w:rFonts w:hint="default" w:ascii="Times New Roman" w:hAnsi="Times New Roman" w:cs="Times New Roman"/>
          <w:color w:val="auto"/>
        </w:rPr>
      </w:pPr>
      <w:r>
        <w:rPr>
          <w:rFonts w:hint="default" w:ascii="Times New Roman" w:hAnsi="Times New Roman" w:cs="Times New Roman"/>
          <w:color w:val="auto"/>
        </w:rPr>
        <w:drawing>
          <wp:inline distT="0" distB="0" distL="114300" distR="114300">
            <wp:extent cx="4838700" cy="71818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46"/>
                    <a:stretch>
                      <a:fillRect/>
                    </a:stretch>
                  </pic:blipFill>
                  <pic:spPr>
                    <a:xfrm>
                      <a:off x="0" y="0"/>
                      <a:ext cx="4838700" cy="7181850"/>
                    </a:xfrm>
                    <a:prstGeom prst="rect">
                      <a:avLst/>
                    </a:prstGeom>
                    <a:noFill/>
                    <a:ln>
                      <a:noFill/>
                    </a:ln>
                  </pic:spPr>
                </pic:pic>
              </a:graphicData>
            </a:graphic>
          </wp:inline>
        </w:drawing>
      </w:r>
    </w:p>
    <w:p w14:paraId="0E3ECD46">
      <w:pPr>
        <w:rPr>
          <w:rFonts w:hint="default" w:ascii="Times New Roman" w:hAnsi="Times New Roman" w:cs="Times New Roman"/>
          <w:color w:val="auto"/>
        </w:rPr>
      </w:pPr>
      <w:r>
        <w:rPr>
          <w:rFonts w:hint="default" w:ascii="Times New Roman" w:hAnsi="Times New Roman" w:cs="Times New Roman"/>
          <w:color w:val="auto"/>
        </w:rPr>
        <w:drawing>
          <wp:inline distT="0" distB="0" distL="114300" distR="114300">
            <wp:extent cx="4610100" cy="7019925"/>
            <wp:effectExtent l="0" t="0" r="0" b="9525"/>
            <wp:docPr id="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7"/>
                    <pic:cNvPicPr>
                      <a:picLocks noChangeAspect="1"/>
                    </pic:cNvPicPr>
                  </pic:nvPicPr>
                  <pic:blipFill>
                    <a:blip r:embed="rId147"/>
                    <a:stretch>
                      <a:fillRect/>
                    </a:stretch>
                  </pic:blipFill>
                  <pic:spPr>
                    <a:xfrm>
                      <a:off x="0" y="0"/>
                      <a:ext cx="4610100" cy="7019925"/>
                    </a:xfrm>
                    <a:prstGeom prst="rect">
                      <a:avLst/>
                    </a:prstGeom>
                    <a:noFill/>
                    <a:ln>
                      <a:noFill/>
                    </a:ln>
                  </pic:spPr>
                </pic:pic>
              </a:graphicData>
            </a:graphic>
          </wp:inline>
        </w:drawing>
      </w:r>
    </w:p>
    <w:p w14:paraId="01611054">
      <w:pPr>
        <w:rPr>
          <w:rFonts w:hint="default" w:ascii="Times New Roman" w:hAnsi="Times New Roman" w:eastAsia="Times New Roman" w:cs="Times New Roman"/>
          <w:b/>
          <w:bCs/>
          <w:color w:val="auto"/>
          <w:spacing w:val="5"/>
          <w:sz w:val="24"/>
          <w:szCs w:val="24"/>
          <w:highlight w:val="none"/>
        </w:rPr>
      </w:pPr>
      <w:r>
        <w:rPr>
          <w:rFonts w:hint="default" w:ascii="Times New Roman" w:hAnsi="Times New Roman" w:cs="Times New Roman"/>
          <w:color w:val="auto"/>
        </w:rPr>
        <w:drawing>
          <wp:inline distT="0" distB="0" distL="114300" distR="114300">
            <wp:extent cx="4933950" cy="7096125"/>
            <wp:effectExtent l="0" t="0" r="0" b="9525"/>
            <wp:docPr id="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
                    <pic:cNvPicPr>
                      <a:picLocks noChangeAspect="1"/>
                    </pic:cNvPicPr>
                  </pic:nvPicPr>
                  <pic:blipFill>
                    <a:blip r:embed="rId148"/>
                    <a:stretch>
                      <a:fillRect/>
                    </a:stretch>
                  </pic:blipFill>
                  <pic:spPr>
                    <a:xfrm>
                      <a:off x="0" y="0"/>
                      <a:ext cx="4933950" cy="7096125"/>
                    </a:xfrm>
                    <a:prstGeom prst="rect">
                      <a:avLst/>
                    </a:prstGeom>
                    <a:noFill/>
                    <a:ln>
                      <a:noFill/>
                    </a:ln>
                  </pic:spPr>
                </pic:pic>
              </a:graphicData>
            </a:graphic>
          </wp:inline>
        </w:drawing>
      </w:r>
    </w:p>
    <w:p w14:paraId="7510E8C5">
      <w:pPr>
        <w:pStyle w:val="11"/>
        <w:outlineLvl w:val="9"/>
        <w:rPr>
          <w:rFonts w:hint="default" w:ascii="Times New Roman" w:hAnsi="Times New Roman" w:cs="Times New Roman"/>
          <w:color w:val="auto"/>
        </w:rPr>
      </w:pPr>
      <w:r>
        <w:rPr>
          <w:rFonts w:hint="default" w:ascii="Times New Roman" w:hAnsi="Times New Roman" w:cs="Times New Roman"/>
          <w:color w:val="auto"/>
        </w:rPr>
        <w:drawing>
          <wp:inline distT="0" distB="0" distL="114300" distR="114300">
            <wp:extent cx="4791075" cy="7010400"/>
            <wp:effectExtent l="0" t="0" r="9525" b="0"/>
            <wp:docPr id="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
                    <pic:cNvPicPr>
                      <a:picLocks noChangeAspect="1"/>
                    </pic:cNvPicPr>
                  </pic:nvPicPr>
                  <pic:blipFill>
                    <a:blip r:embed="rId149"/>
                    <a:stretch>
                      <a:fillRect/>
                    </a:stretch>
                  </pic:blipFill>
                  <pic:spPr>
                    <a:xfrm>
                      <a:off x="0" y="0"/>
                      <a:ext cx="4791075" cy="7010400"/>
                    </a:xfrm>
                    <a:prstGeom prst="rect">
                      <a:avLst/>
                    </a:prstGeom>
                    <a:noFill/>
                    <a:ln>
                      <a:noFill/>
                    </a:ln>
                  </pic:spPr>
                </pic:pic>
              </a:graphicData>
            </a:graphic>
          </wp:inline>
        </w:drawing>
      </w:r>
    </w:p>
    <w:p w14:paraId="2AD59168">
      <w:pPr>
        <w:pStyle w:val="11"/>
        <w:rPr>
          <w:rFonts w:hint="default" w:ascii="Times New Roman" w:hAnsi="Times New Roman" w:cs="Times New Roman"/>
          <w:color w:val="auto"/>
        </w:rPr>
      </w:pPr>
    </w:p>
    <w:p w14:paraId="1255D2F0">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eastAsia="Times New Roman" w:cs="Times New Roman"/>
          <w:b/>
          <w:bCs/>
          <w:color w:val="auto"/>
          <w:spacing w:val="5"/>
          <w:sz w:val="24"/>
          <w:szCs w:val="24"/>
          <w:highlight w:val="none"/>
        </w:rPr>
      </w:pPr>
    </w:p>
    <w:p w14:paraId="21856480">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eastAsia="Times New Roman" w:cs="Times New Roman"/>
          <w:b/>
          <w:bCs/>
          <w:color w:val="auto"/>
          <w:spacing w:val="5"/>
          <w:sz w:val="24"/>
          <w:szCs w:val="24"/>
          <w:highlight w:val="none"/>
        </w:rPr>
      </w:pPr>
    </w:p>
    <w:p w14:paraId="5DE19381">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eastAsia="Times New Roman" w:cs="Times New Roman"/>
          <w:b/>
          <w:bCs/>
          <w:color w:val="auto"/>
          <w:spacing w:val="5"/>
          <w:sz w:val="24"/>
          <w:szCs w:val="24"/>
          <w:highlight w:val="none"/>
        </w:rPr>
      </w:pPr>
    </w:p>
    <w:p w14:paraId="6C7D7781">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eastAsia="Times New Roman" w:cs="Times New Roman"/>
          <w:b/>
          <w:bCs/>
          <w:color w:val="auto"/>
          <w:spacing w:val="5"/>
          <w:sz w:val="24"/>
          <w:szCs w:val="24"/>
          <w:highlight w:val="none"/>
        </w:rPr>
      </w:pPr>
    </w:p>
    <w:p w14:paraId="21765499">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eastAsia="Times New Roman" w:cs="Times New Roman"/>
          <w:b/>
          <w:bCs/>
          <w:color w:val="auto"/>
          <w:spacing w:val="5"/>
          <w:sz w:val="24"/>
          <w:szCs w:val="24"/>
          <w:highlight w:val="none"/>
        </w:rPr>
      </w:pPr>
    </w:p>
    <w:p w14:paraId="28613C73">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eastAsia="Times New Roman" w:cs="Times New Roman"/>
          <w:b/>
          <w:bCs/>
          <w:color w:val="auto"/>
          <w:spacing w:val="5"/>
          <w:sz w:val="24"/>
          <w:szCs w:val="24"/>
          <w:highlight w:val="none"/>
        </w:rPr>
      </w:pPr>
    </w:p>
    <w:p w14:paraId="0C12A815">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eastAsia="Times New Roman" w:cs="Times New Roman"/>
          <w:b/>
          <w:bCs/>
          <w:color w:val="auto"/>
          <w:spacing w:val="5"/>
          <w:sz w:val="24"/>
          <w:szCs w:val="24"/>
          <w:highlight w:val="none"/>
        </w:rPr>
      </w:pPr>
    </w:p>
    <w:p w14:paraId="4156D9D8">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1"/>
        <w:rPr>
          <w:rFonts w:hint="default" w:ascii="Times New Roman" w:hAnsi="Times New Roman" w:eastAsia="Times New Roman" w:cs="Times New Roman"/>
          <w:b/>
          <w:bCs/>
          <w:color w:val="FF0000"/>
          <w:spacing w:val="5"/>
          <w:sz w:val="24"/>
          <w:szCs w:val="24"/>
          <w:highlight w:val="none"/>
          <w:lang w:val="en-US"/>
        </w:rPr>
      </w:pPr>
      <w:bookmarkStart w:id="321" w:name="_Toc9030"/>
      <w:r>
        <w:rPr>
          <w:rFonts w:hint="default" w:ascii="Times New Roman" w:hAnsi="Times New Roman" w:eastAsia="Times New Roman" w:cs="Times New Roman"/>
          <w:b/>
          <w:bCs/>
          <w:color w:val="FF0000"/>
          <w:spacing w:val="5"/>
          <w:sz w:val="24"/>
          <w:szCs w:val="24"/>
          <w:highlight w:val="none"/>
        </w:rPr>
        <w:t>附件</w:t>
      </w:r>
      <w:r>
        <w:rPr>
          <w:rFonts w:hint="default" w:ascii="Times New Roman" w:hAnsi="Times New Roman" w:eastAsia="Times New Roman" w:cs="Times New Roman"/>
          <w:b/>
          <w:bCs/>
          <w:color w:val="FF0000"/>
          <w:spacing w:val="5"/>
          <w:sz w:val="24"/>
          <w:szCs w:val="24"/>
          <w:highlight w:val="none"/>
          <w:lang w:val="en-US" w:eastAsia="zh-CN"/>
        </w:rPr>
        <w:t>7 企业投资备案承诺书</w:t>
      </w:r>
      <w:bookmarkEnd w:id="321"/>
    </w:p>
    <w:p w14:paraId="0E87670D">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cs="Times New Roman"/>
        </w:rPr>
      </w:pPr>
      <w:r>
        <w:rPr>
          <w:rFonts w:hint="default" w:ascii="Times New Roman" w:hAnsi="Times New Roman" w:cs="Times New Roman"/>
        </w:rPr>
        <w:drawing>
          <wp:inline distT="0" distB="0" distL="114300" distR="114300">
            <wp:extent cx="5273040" cy="7435850"/>
            <wp:effectExtent l="0" t="0" r="3810" b="12700"/>
            <wp:docPr id="1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
                    <pic:cNvPicPr>
                      <a:picLocks noChangeAspect="1"/>
                    </pic:cNvPicPr>
                  </pic:nvPicPr>
                  <pic:blipFill>
                    <a:blip r:embed="rId150"/>
                    <a:stretch>
                      <a:fillRect/>
                    </a:stretch>
                  </pic:blipFill>
                  <pic:spPr>
                    <a:xfrm>
                      <a:off x="0" y="0"/>
                      <a:ext cx="5273040" cy="7435850"/>
                    </a:xfrm>
                    <a:prstGeom prst="rect">
                      <a:avLst/>
                    </a:prstGeom>
                    <a:noFill/>
                    <a:ln>
                      <a:noFill/>
                    </a:ln>
                  </pic:spPr>
                </pic:pic>
              </a:graphicData>
            </a:graphic>
          </wp:inline>
        </w:drawing>
      </w:r>
    </w:p>
    <w:p w14:paraId="684CB13A">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cs="Times New Roman"/>
        </w:rPr>
      </w:pPr>
    </w:p>
    <w:p w14:paraId="50B45DFF">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cs="Times New Roman"/>
        </w:rPr>
      </w:pPr>
    </w:p>
    <w:p w14:paraId="633BE19D">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cs="Times New Roman"/>
        </w:rPr>
      </w:pPr>
    </w:p>
    <w:p w14:paraId="4596D4FC">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cs="Times New Roman"/>
        </w:rPr>
      </w:pPr>
    </w:p>
    <w:p w14:paraId="40279C9E">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9"/>
        <w:rPr>
          <w:rFonts w:hint="default" w:ascii="Times New Roman" w:hAnsi="Times New Roman" w:cs="Times New Roman"/>
        </w:rPr>
      </w:pPr>
    </w:p>
    <w:p w14:paraId="402C6C53">
      <w:pPr>
        <w:keepNext w:val="0"/>
        <w:keepLines w:val="0"/>
        <w:pageBreakBefore w:val="0"/>
        <w:kinsoku/>
        <w:wordWrap w:val="0"/>
        <w:overflowPunct/>
        <w:topLinePunct/>
        <w:autoSpaceDE/>
        <w:autoSpaceDN/>
        <w:bidi w:val="0"/>
        <w:adjustRightInd w:val="0"/>
        <w:snapToGrid w:val="0"/>
        <w:spacing w:before="100" w:line="238" w:lineRule="auto"/>
        <w:textAlignment w:val="baseline"/>
        <w:outlineLvl w:val="1"/>
        <w:rPr>
          <w:rFonts w:hint="default" w:ascii="Times New Roman" w:hAnsi="Times New Roman" w:eastAsia="Times New Roman" w:cs="Times New Roman"/>
          <w:b/>
          <w:bCs/>
          <w:color w:val="auto"/>
          <w:spacing w:val="5"/>
          <w:sz w:val="24"/>
          <w:szCs w:val="24"/>
          <w:highlight w:val="none"/>
          <w:lang w:val="en-US" w:eastAsia="zh-CN"/>
        </w:rPr>
      </w:pPr>
      <w:bookmarkStart w:id="322" w:name="_Toc26973"/>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8生态环境分区管控分析报告</w:t>
      </w:r>
      <w:bookmarkEnd w:id="319"/>
      <w:bookmarkEnd w:id="320"/>
      <w:bookmarkEnd w:id="322"/>
    </w:p>
    <w:p w14:paraId="46281621">
      <w:pPr>
        <w:keepNext w:val="0"/>
        <w:keepLines w:val="0"/>
        <w:pageBreakBefore w:val="0"/>
        <w:kinsoku/>
        <w:wordWrap w:val="0"/>
        <w:overflowPunct/>
        <w:topLinePunct/>
        <w:autoSpaceDE/>
        <w:autoSpaceDN/>
        <w:bidi w:val="0"/>
        <w:adjustRightInd w:val="0"/>
        <w:snapToGrid w:val="0"/>
        <w:spacing w:before="100" w:line="238" w:lineRule="auto"/>
        <w:ind w:left="66"/>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177790" cy="3630295"/>
            <wp:effectExtent l="0" t="0" r="3810" b="8255"/>
            <wp:docPr id="5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8"/>
                    <pic:cNvPicPr>
                      <a:picLocks noChangeAspect="1"/>
                    </pic:cNvPicPr>
                  </pic:nvPicPr>
                  <pic:blipFill>
                    <a:blip r:embed="rId151"/>
                    <a:stretch>
                      <a:fillRect/>
                    </a:stretch>
                  </pic:blipFill>
                  <pic:spPr>
                    <a:xfrm>
                      <a:off x="0" y="0"/>
                      <a:ext cx="5177790" cy="3630295"/>
                    </a:xfrm>
                    <a:prstGeom prst="rect">
                      <a:avLst/>
                    </a:prstGeom>
                    <a:noFill/>
                    <a:ln>
                      <a:noFill/>
                    </a:ln>
                  </pic:spPr>
                </pic:pic>
              </a:graphicData>
            </a:graphic>
          </wp:inline>
        </w:drawing>
      </w:r>
    </w:p>
    <w:p w14:paraId="146F4569">
      <w:pPr>
        <w:keepNext w:val="0"/>
        <w:keepLines w:val="0"/>
        <w:pageBreakBefore w:val="0"/>
        <w:kinsoku/>
        <w:wordWrap w:val="0"/>
        <w:overflowPunct/>
        <w:topLinePunct/>
        <w:autoSpaceDE/>
        <w:autoSpaceDN/>
        <w:bidi w:val="0"/>
        <w:adjustRightInd w:val="0"/>
        <w:snapToGrid w:val="0"/>
        <w:spacing w:before="100" w:line="238" w:lineRule="auto"/>
        <w:ind w:left="66"/>
        <w:textAlignment w:val="baseline"/>
        <w:rPr>
          <w:rFonts w:hint="default" w:ascii="Times New Roman" w:hAnsi="Times New Roman" w:cs="Times New Roman"/>
          <w:color w:val="auto"/>
          <w:highlight w:val="none"/>
          <w:lang w:val="en-US" w:eastAsia="zh-CN"/>
        </w:rPr>
      </w:pPr>
    </w:p>
    <w:p w14:paraId="40C3A8F8">
      <w:pPr>
        <w:pStyle w:val="32"/>
        <w:pageBreakBefore w:val="0"/>
        <w:kinsoku/>
        <w:wordWrap w:val="0"/>
        <w:overflowPunct/>
        <w:topLinePunct/>
        <w:autoSpaceDE/>
        <w:autoSpaceDN/>
        <w:bidi w:val="0"/>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41925" cy="3790315"/>
            <wp:effectExtent l="0" t="0" r="15875" b="635"/>
            <wp:docPr id="5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9"/>
                    <pic:cNvPicPr>
                      <a:picLocks noChangeAspect="1"/>
                    </pic:cNvPicPr>
                  </pic:nvPicPr>
                  <pic:blipFill>
                    <a:blip r:embed="rId152"/>
                    <a:stretch>
                      <a:fillRect/>
                    </a:stretch>
                  </pic:blipFill>
                  <pic:spPr>
                    <a:xfrm>
                      <a:off x="0" y="0"/>
                      <a:ext cx="5241925" cy="3790315"/>
                    </a:xfrm>
                    <a:prstGeom prst="rect">
                      <a:avLst/>
                    </a:prstGeom>
                    <a:noFill/>
                    <a:ln>
                      <a:noFill/>
                    </a:ln>
                  </pic:spPr>
                </pic:pic>
              </a:graphicData>
            </a:graphic>
          </wp:inline>
        </w:drawing>
      </w:r>
    </w:p>
    <w:p w14:paraId="725E71BA">
      <w:pPr>
        <w:pStyle w:val="33"/>
        <w:pageBreakBefore w:val="0"/>
        <w:kinsoku/>
        <w:wordWrap w:val="0"/>
        <w:overflowPunct/>
        <w:topLinePunct/>
        <w:autoSpaceDE/>
        <w:autoSpaceDN/>
        <w:bidi w:val="0"/>
        <w:ind w:left="0" w:leftChars="0"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67325" cy="3729990"/>
            <wp:effectExtent l="0" t="0" r="9525" b="3810"/>
            <wp:docPr id="5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0"/>
                    <pic:cNvPicPr>
                      <a:picLocks noChangeAspect="1"/>
                    </pic:cNvPicPr>
                  </pic:nvPicPr>
                  <pic:blipFill>
                    <a:blip r:embed="rId153"/>
                    <a:stretch>
                      <a:fillRect/>
                    </a:stretch>
                  </pic:blipFill>
                  <pic:spPr>
                    <a:xfrm>
                      <a:off x="0" y="0"/>
                      <a:ext cx="5267325" cy="3729990"/>
                    </a:xfrm>
                    <a:prstGeom prst="rect">
                      <a:avLst/>
                    </a:prstGeom>
                    <a:noFill/>
                    <a:ln>
                      <a:noFill/>
                    </a:ln>
                  </pic:spPr>
                </pic:pic>
              </a:graphicData>
            </a:graphic>
          </wp:inline>
        </w:drawing>
      </w:r>
    </w:p>
    <w:p w14:paraId="16C44DD6">
      <w:pPr>
        <w:pStyle w:val="11"/>
        <w:keepNext w:val="0"/>
        <w:keepLines w:val="0"/>
        <w:pageBreakBefore w:val="0"/>
        <w:kinsoku/>
        <w:wordWrap w:val="0"/>
        <w:overflowPunct/>
        <w:topLinePunct/>
        <w:autoSpaceDE/>
        <w:autoSpaceDN/>
        <w:bidi w:val="0"/>
        <w:adjustRightInd w:val="0"/>
        <w:snapToGrid w:val="0"/>
        <w:spacing w:line="292" w:lineRule="auto"/>
        <w:textAlignment w:val="baseline"/>
        <w:rPr>
          <w:rFonts w:hint="default" w:ascii="Times New Roman" w:hAnsi="Times New Roman" w:cs="Times New Roman"/>
          <w:color w:val="auto"/>
          <w:highlight w:val="none"/>
        </w:rPr>
      </w:pPr>
    </w:p>
    <w:p w14:paraId="636D816A">
      <w:pPr>
        <w:pStyle w:val="11"/>
        <w:keepNext w:val="0"/>
        <w:keepLines w:val="0"/>
        <w:pageBreakBefore w:val="0"/>
        <w:kinsoku/>
        <w:wordWrap w:val="0"/>
        <w:overflowPunct/>
        <w:topLinePunct/>
        <w:autoSpaceDE/>
        <w:autoSpaceDN/>
        <w:bidi w:val="0"/>
        <w:adjustRightInd w:val="0"/>
        <w:snapToGrid w:val="0"/>
        <w:spacing w:line="292" w:lineRule="auto"/>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59070" cy="3730625"/>
            <wp:effectExtent l="0" t="0" r="17780" b="3175"/>
            <wp:docPr id="5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1"/>
                    <pic:cNvPicPr>
                      <a:picLocks noChangeAspect="1"/>
                    </pic:cNvPicPr>
                  </pic:nvPicPr>
                  <pic:blipFill>
                    <a:blip r:embed="rId154"/>
                    <a:stretch>
                      <a:fillRect/>
                    </a:stretch>
                  </pic:blipFill>
                  <pic:spPr>
                    <a:xfrm>
                      <a:off x="0" y="0"/>
                      <a:ext cx="5259070" cy="3730625"/>
                    </a:xfrm>
                    <a:prstGeom prst="rect">
                      <a:avLst/>
                    </a:prstGeom>
                    <a:noFill/>
                    <a:ln>
                      <a:noFill/>
                    </a:ln>
                  </pic:spPr>
                </pic:pic>
              </a:graphicData>
            </a:graphic>
          </wp:inline>
        </w:drawing>
      </w:r>
    </w:p>
    <w:p w14:paraId="25573ED5">
      <w:pPr>
        <w:pStyle w:val="11"/>
        <w:keepNext w:val="0"/>
        <w:keepLines w:val="0"/>
        <w:pageBreakBefore w:val="0"/>
        <w:kinsoku/>
        <w:wordWrap w:val="0"/>
        <w:overflowPunct/>
        <w:topLinePunct/>
        <w:autoSpaceDE/>
        <w:autoSpaceDN/>
        <w:bidi w:val="0"/>
        <w:adjustRightInd w:val="0"/>
        <w:snapToGrid w:val="0"/>
        <w:spacing w:line="291" w:lineRule="auto"/>
        <w:textAlignment w:val="baseline"/>
        <w:rPr>
          <w:rFonts w:hint="default" w:ascii="Times New Roman" w:hAnsi="Times New Roman" w:cs="Times New Roman"/>
          <w:color w:val="auto"/>
          <w:highlight w:val="none"/>
        </w:rPr>
      </w:pPr>
    </w:p>
    <w:p w14:paraId="7F55137E">
      <w:pPr>
        <w:pStyle w:val="11"/>
        <w:keepNext w:val="0"/>
        <w:keepLines w:val="0"/>
        <w:pageBreakBefore w:val="0"/>
        <w:kinsoku/>
        <w:wordWrap w:val="0"/>
        <w:overflowPunct/>
        <w:topLinePunct/>
        <w:autoSpaceDE/>
        <w:autoSpaceDN/>
        <w:bidi w:val="0"/>
        <w:adjustRightInd w:val="0"/>
        <w:snapToGrid w:val="0"/>
        <w:spacing w:line="292" w:lineRule="auto"/>
        <w:textAlignment w:val="baseline"/>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131435" cy="3675380"/>
            <wp:effectExtent l="0" t="0" r="12065" b="1270"/>
            <wp:docPr id="5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2"/>
                    <pic:cNvPicPr>
                      <a:picLocks noChangeAspect="1"/>
                    </pic:cNvPicPr>
                  </pic:nvPicPr>
                  <pic:blipFill>
                    <a:blip r:embed="rId155"/>
                    <a:stretch>
                      <a:fillRect/>
                    </a:stretch>
                  </pic:blipFill>
                  <pic:spPr>
                    <a:xfrm>
                      <a:off x="0" y="0"/>
                      <a:ext cx="5131435" cy="3675380"/>
                    </a:xfrm>
                    <a:prstGeom prst="rect">
                      <a:avLst/>
                    </a:prstGeom>
                    <a:noFill/>
                    <a:ln>
                      <a:noFill/>
                    </a:ln>
                  </pic:spPr>
                </pic:pic>
              </a:graphicData>
            </a:graphic>
          </wp:inline>
        </w:drawing>
      </w:r>
    </w:p>
    <w:p w14:paraId="59B66982">
      <w:pPr>
        <w:pStyle w:val="11"/>
        <w:keepNext w:val="0"/>
        <w:keepLines w:val="0"/>
        <w:pageBreakBefore w:val="0"/>
        <w:kinsoku/>
        <w:wordWrap w:val="0"/>
        <w:overflowPunct/>
        <w:topLinePunct/>
        <w:autoSpaceDE/>
        <w:autoSpaceDN/>
        <w:bidi w:val="0"/>
        <w:adjustRightInd w:val="0"/>
        <w:snapToGrid w:val="0"/>
        <w:spacing w:line="292" w:lineRule="auto"/>
        <w:textAlignment w:val="baseline"/>
        <w:rPr>
          <w:rFonts w:hint="default" w:ascii="Times New Roman" w:hAnsi="Times New Roman" w:cs="Times New Roman"/>
          <w:color w:val="auto"/>
          <w:highlight w:val="none"/>
        </w:rPr>
      </w:pPr>
    </w:p>
    <w:p w14:paraId="69CCBA6B">
      <w:pPr>
        <w:pStyle w:val="32"/>
        <w:pageBreakBefore w:val="0"/>
        <w:kinsoku/>
        <w:wordWrap w:val="0"/>
        <w:overflowPunct/>
        <w:topLinePunct/>
        <w:autoSpaceDE/>
        <w:autoSpaceDN/>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167630" cy="3672205"/>
            <wp:effectExtent l="0" t="0" r="13970" b="4445"/>
            <wp:docPr id="5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3"/>
                    <pic:cNvPicPr>
                      <a:picLocks noChangeAspect="1"/>
                    </pic:cNvPicPr>
                  </pic:nvPicPr>
                  <pic:blipFill>
                    <a:blip r:embed="rId156"/>
                    <a:stretch>
                      <a:fillRect/>
                    </a:stretch>
                  </pic:blipFill>
                  <pic:spPr>
                    <a:xfrm>
                      <a:off x="0" y="0"/>
                      <a:ext cx="5167630" cy="3672205"/>
                    </a:xfrm>
                    <a:prstGeom prst="rect">
                      <a:avLst/>
                    </a:prstGeom>
                    <a:noFill/>
                    <a:ln>
                      <a:noFill/>
                    </a:ln>
                  </pic:spPr>
                </pic:pic>
              </a:graphicData>
            </a:graphic>
          </wp:inline>
        </w:drawing>
      </w:r>
    </w:p>
    <w:p w14:paraId="33388050">
      <w:pPr>
        <w:pStyle w:val="33"/>
        <w:pageBreakBefore w:val="0"/>
        <w:kinsoku/>
        <w:wordWrap w:val="0"/>
        <w:overflowPunct/>
        <w:topLinePunct/>
        <w:autoSpaceDE/>
        <w:autoSpaceDN/>
        <w:bidi w:val="0"/>
        <w:ind w:left="0" w:leftChars="0"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07635" cy="3670935"/>
            <wp:effectExtent l="0" t="0" r="12065" b="5715"/>
            <wp:docPr id="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pic:cNvPicPr>
                      <a:picLocks noChangeAspect="1"/>
                    </pic:cNvPicPr>
                  </pic:nvPicPr>
                  <pic:blipFill>
                    <a:blip r:embed="rId157"/>
                    <a:stretch>
                      <a:fillRect/>
                    </a:stretch>
                  </pic:blipFill>
                  <pic:spPr>
                    <a:xfrm>
                      <a:off x="0" y="0"/>
                      <a:ext cx="5207635" cy="3670935"/>
                    </a:xfrm>
                    <a:prstGeom prst="rect">
                      <a:avLst/>
                    </a:prstGeom>
                    <a:noFill/>
                    <a:ln>
                      <a:noFill/>
                    </a:ln>
                  </pic:spPr>
                </pic:pic>
              </a:graphicData>
            </a:graphic>
          </wp:inline>
        </w:drawing>
      </w:r>
    </w:p>
    <w:p w14:paraId="459A027E">
      <w:pPr>
        <w:pageBreakBefore w:val="0"/>
        <w:kinsoku/>
        <w:wordWrap w:val="0"/>
        <w:overflowPunct/>
        <w:topLinePunct/>
        <w:autoSpaceDE/>
        <w:autoSpaceDN/>
        <w:bidi w:val="0"/>
        <w:rPr>
          <w:rFonts w:hint="default" w:ascii="Times New Roman" w:hAnsi="Times New Roman" w:cs="Times New Roman"/>
          <w:color w:val="auto"/>
          <w:highlight w:val="none"/>
        </w:rPr>
      </w:pPr>
    </w:p>
    <w:p w14:paraId="395D29A0">
      <w:pPr>
        <w:pageBreakBefore w:val="0"/>
        <w:kinsoku/>
        <w:wordWrap w:val="0"/>
        <w:overflowPunct/>
        <w:topLinePunct/>
        <w:autoSpaceDE/>
        <w:autoSpaceDN/>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40655" cy="3658235"/>
            <wp:effectExtent l="0" t="0" r="17145" b="18415"/>
            <wp:docPr id="5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5"/>
                    <pic:cNvPicPr>
                      <a:picLocks noChangeAspect="1"/>
                    </pic:cNvPicPr>
                  </pic:nvPicPr>
                  <pic:blipFill>
                    <a:blip r:embed="rId158"/>
                    <a:stretch>
                      <a:fillRect/>
                    </a:stretch>
                  </pic:blipFill>
                  <pic:spPr>
                    <a:xfrm>
                      <a:off x="0" y="0"/>
                      <a:ext cx="5240655" cy="3658235"/>
                    </a:xfrm>
                    <a:prstGeom prst="rect">
                      <a:avLst/>
                    </a:prstGeom>
                    <a:noFill/>
                    <a:ln>
                      <a:noFill/>
                    </a:ln>
                  </pic:spPr>
                </pic:pic>
              </a:graphicData>
            </a:graphic>
          </wp:inline>
        </w:drawing>
      </w:r>
    </w:p>
    <w:p w14:paraId="58C7CCEC">
      <w:pPr>
        <w:pageBreakBefore w:val="0"/>
        <w:kinsoku/>
        <w:wordWrap w:val="0"/>
        <w:overflowPunct/>
        <w:topLinePunct/>
        <w:autoSpaceDE/>
        <w:autoSpaceDN/>
        <w:bidi w:val="0"/>
        <w:rPr>
          <w:rFonts w:hint="default" w:ascii="Times New Roman" w:hAnsi="Times New Roman" w:cs="Times New Roman"/>
          <w:color w:val="auto"/>
          <w:highlight w:val="none"/>
        </w:rPr>
      </w:pPr>
    </w:p>
    <w:p w14:paraId="5BEC59A8">
      <w:pPr>
        <w:pageBreakBefore w:val="0"/>
        <w:kinsoku/>
        <w:wordWrap w:val="0"/>
        <w:overflowPunct/>
        <w:topLinePunct/>
        <w:autoSpaceDE/>
        <w:autoSpaceDN/>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95900" cy="3787140"/>
            <wp:effectExtent l="0" t="0" r="0" b="3810"/>
            <wp:docPr id="5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6"/>
                    <pic:cNvPicPr>
                      <a:picLocks noChangeAspect="1"/>
                    </pic:cNvPicPr>
                  </pic:nvPicPr>
                  <pic:blipFill>
                    <a:blip r:embed="rId159"/>
                    <a:stretch>
                      <a:fillRect/>
                    </a:stretch>
                  </pic:blipFill>
                  <pic:spPr>
                    <a:xfrm>
                      <a:off x="0" y="0"/>
                      <a:ext cx="5295900" cy="3787140"/>
                    </a:xfrm>
                    <a:prstGeom prst="rect">
                      <a:avLst/>
                    </a:prstGeom>
                    <a:noFill/>
                    <a:ln>
                      <a:noFill/>
                    </a:ln>
                  </pic:spPr>
                </pic:pic>
              </a:graphicData>
            </a:graphic>
          </wp:inline>
        </w:drawing>
      </w:r>
    </w:p>
    <w:p w14:paraId="71CF15CB">
      <w:pPr>
        <w:pageBreakBefore w:val="0"/>
        <w:kinsoku/>
        <w:wordWrap w:val="0"/>
        <w:overflowPunct/>
        <w:topLinePunct/>
        <w:autoSpaceDE/>
        <w:autoSpaceDN/>
        <w:bidi w:val="0"/>
        <w:rPr>
          <w:rFonts w:hint="default" w:ascii="Times New Roman" w:hAnsi="Times New Roman" w:cs="Times New Roman"/>
          <w:color w:val="auto"/>
          <w:highlight w:val="none"/>
        </w:rPr>
      </w:pPr>
    </w:p>
    <w:p w14:paraId="119383F1">
      <w:pPr>
        <w:pageBreakBefore w:val="0"/>
        <w:kinsoku/>
        <w:wordWrap w:val="0"/>
        <w:overflowPunct/>
        <w:topLinePunct/>
        <w:autoSpaceDE/>
        <w:autoSpaceDN/>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66055" cy="3755390"/>
            <wp:effectExtent l="0" t="0" r="10795" b="16510"/>
            <wp:docPr id="5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7"/>
                    <pic:cNvPicPr>
                      <a:picLocks noChangeAspect="1"/>
                    </pic:cNvPicPr>
                  </pic:nvPicPr>
                  <pic:blipFill>
                    <a:blip r:embed="rId160"/>
                    <a:stretch>
                      <a:fillRect/>
                    </a:stretch>
                  </pic:blipFill>
                  <pic:spPr>
                    <a:xfrm>
                      <a:off x="0" y="0"/>
                      <a:ext cx="5266055" cy="3755390"/>
                    </a:xfrm>
                    <a:prstGeom prst="rect">
                      <a:avLst/>
                    </a:prstGeom>
                    <a:noFill/>
                    <a:ln>
                      <a:noFill/>
                    </a:ln>
                  </pic:spPr>
                </pic:pic>
              </a:graphicData>
            </a:graphic>
          </wp:inline>
        </w:drawing>
      </w:r>
    </w:p>
    <w:p w14:paraId="4111657A">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14:paraId="75961A90">
      <w:pPr>
        <w:outlineLvl w:val="1"/>
        <w:rPr>
          <w:rFonts w:hint="default" w:ascii="Times New Roman" w:hAnsi="Times New Roman" w:eastAsia="Times New Roman" w:cs="Times New Roman"/>
          <w:b/>
          <w:bCs/>
          <w:color w:val="auto"/>
          <w:spacing w:val="5"/>
          <w:sz w:val="24"/>
          <w:szCs w:val="24"/>
          <w:highlight w:val="none"/>
          <w:lang w:val="en-US" w:eastAsia="zh-CN"/>
        </w:rPr>
      </w:pPr>
      <w:bookmarkStart w:id="323" w:name="_Toc21158"/>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9委托单位双鸭山翁氏环保有限公司资质报告</w:t>
      </w:r>
      <w:bookmarkEnd w:id="323"/>
    </w:p>
    <w:p w14:paraId="3D92FEF6">
      <w:pPr>
        <w:outlineLvl w:val="9"/>
        <w:rPr>
          <w:rFonts w:hint="default" w:ascii="Times New Roman" w:hAnsi="Times New Roman" w:eastAsia="Times New Roman" w:cs="Times New Roman"/>
          <w:b/>
          <w:bCs/>
          <w:color w:val="auto"/>
          <w:spacing w:val="5"/>
          <w:sz w:val="24"/>
          <w:szCs w:val="24"/>
          <w:highlight w:val="none"/>
          <w:lang w:val="en-US" w:eastAsia="zh-CN"/>
        </w:rPr>
      </w:pPr>
    </w:p>
    <w:p w14:paraId="115ABE72">
      <w:pPr>
        <w:outlineLvl w:val="9"/>
        <w:rPr>
          <w:rFonts w:hint="default" w:ascii="Times New Roman" w:hAnsi="Times New Roman" w:cs="Times New Roman"/>
        </w:rPr>
      </w:pPr>
      <w:r>
        <w:rPr>
          <w:rFonts w:hint="default" w:ascii="Times New Roman" w:hAnsi="Times New Roman" w:eastAsia="宋体" w:cs="Times New Roman"/>
          <w:lang w:eastAsia="zh-CN"/>
        </w:rPr>
        <w:drawing>
          <wp:inline distT="0" distB="0" distL="114300" distR="114300">
            <wp:extent cx="5266055" cy="3721100"/>
            <wp:effectExtent l="0" t="0" r="10795" b="12700"/>
            <wp:docPr id="41" name="图片 41" descr="5fa8c6063904ecbc2856f1021a387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5fa8c6063904ecbc2856f1021a38765e"/>
                    <pic:cNvPicPr>
                      <a:picLocks noChangeAspect="1"/>
                    </pic:cNvPicPr>
                  </pic:nvPicPr>
                  <pic:blipFill>
                    <a:blip r:embed="rId161"/>
                    <a:stretch>
                      <a:fillRect/>
                    </a:stretch>
                  </pic:blipFill>
                  <pic:spPr>
                    <a:xfrm>
                      <a:off x="0" y="0"/>
                      <a:ext cx="5266055" cy="3721100"/>
                    </a:xfrm>
                    <a:prstGeom prst="rect">
                      <a:avLst/>
                    </a:prstGeom>
                  </pic:spPr>
                </pic:pic>
              </a:graphicData>
            </a:graphic>
          </wp:inline>
        </w:drawing>
      </w:r>
      <w:r>
        <w:rPr>
          <w:rFonts w:hint="default" w:ascii="Times New Roman" w:hAnsi="Times New Roman" w:cs="Times New Roman"/>
        </w:rPr>
        <w:drawing>
          <wp:inline distT="0" distB="0" distL="114300" distR="114300">
            <wp:extent cx="5276215" cy="3844925"/>
            <wp:effectExtent l="0" t="0" r="635" b="3175"/>
            <wp:docPr id="10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6"/>
                    <pic:cNvPicPr>
                      <a:picLocks noChangeAspect="1"/>
                    </pic:cNvPicPr>
                  </pic:nvPicPr>
                  <pic:blipFill>
                    <a:blip r:embed="rId162"/>
                    <a:stretch>
                      <a:fillRect/>
                    </a:stretch>
                  </pic:blipFill>
                  <pic:spPr>
                    <a:xfrm>
                      <a:off x="0" y="0"/>
                      <a:ext cx="5276215" cy="3844925"/>
                    </a:xfrm>
                    <a:prstGeom prst="rect">
                      <a:avLst/>
                    </a:prstGeom>
                    <a:noFill/>
                    <a:ln>
                      <a:noFill/>
                    </a:ln>
                  </pic:spPr>
                </pic:pic>
              </a:graphicData>
            </a:graphic>
          </wp:inline>
        </w:drawing>
      </w:r>
    </w:p>
    <w:p w14:paraId="21927F42">
      <w:pPr>
        <w:rPr>
          <w:rFonts w:hint="default" w:ascii="Times New Roman" w:hAnsi="Times New Roman" w:cs="Times New Roman"/>
        </w:rPr>
      </w:pPr>
      <w:r>
        <w:rPr>
          <w:rFonts w:hint="default" w:ascii="Times New Roman" w:hAnsi="Times New Roman" w:cs="Times New Roman"/>
        </w:rPr>
        <w:br w:type="page"/>
      </w:r>
    </w:p>
    <w:p w14:paraId="260D791A">
      <w:pPr>
        <w:pStyle w:val="2"/>
        <w:ind w:left="0" w:leftChars="0" w:firstLine="0" w:firstLineChars="0"/>
        <w:outlineLvl w:val="1"/>
        <w:rPr>
          <w:rFonts w:hint="default" w:ascii="Times New Roman" w:hAnsi="Times New Roman" w:cs="Times New Roman"/>
          <w:lang w:eastAsia="zh-CN"/>
        </w:rPr>
      </w:pPr>
      <w:bookmarkStart w:id="324" w:name="_Toc10573"/>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10委托单位双鸭山百奥迈斯生物科技有限公司资质报告</w:t>
      </w:r>
      <w:bookmarkEnd w:id="324"/>
    </w:p>
    <w:p w14:paraId="4EC8DC2D">
      <w:pPr>
        <w:pStyle w:val="2"/>
        <w:ind w:left="0" w:leftChars="0"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5276215" cy="3740150"/>
            <wp:effectExtent l="0" t="0" r="635" b="12700"/>
            <wp:docPr id="1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
                    <pic:cNvPicPr>
                      <a:picLocks noChangeAspect="1"/>
                    </pic:cNvPicPr>
                  </pic:nvPicPr>
                  <pic:blipFill>
                    <a:blip r:embed="rId163"/>
                    <a:stretch>
                      <a:fillRect/>
                    </a:stretch>
                  </pic:blipFill>
                  <pic:spPr>
                    <a:xfrm>
                      <a:off x="0" y="0"/>
                      <a:ext cx="5276215" cy="3740150"/>
                    </a:xfrm>
                    <a:prstGeom prst="rect">
                      <a:avLst/>
                    </a:prstGeom>
                    <a:noFill/>
                    <a:ln>
                      <a:noFill/>
                    </a:ln>
                  </pic:spPr>
                </pic:pic>
              </a:graphicData>
            </a:graphic>
          </wp:inline>
        </w:drawing>
      </w:r>
      <w:r>
        <w:rPr>
          <w:rFonts w:hint="default" w:ascii="Times New Roman" w:hAnsi="Times New Roman" w:cs="Times New Roman"/>
        </w:rPr>
        <w:drawing>
          <wp:inline distT="0" distB="0" distL="114300" distR="114300">
            <wp:extent cx="5270500" cy="3676650"/>
            <wp:effectExtent l="0" t="0" r="6350" b="0"/>
            <wp:docPr id="1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
                    <pic:cNvPicPr>
                      <a:picLocks noChangeAspect="1"/>
                    </pic:cNvPicPr>
                  </pic:nvPicPr>
                  <pic:blipFill>
                    <a:blip r:embed="rId164"/>
                    <a:stretch>
                      <a:fillRect/>
                    </a:stretch>
                  </pic:blipFill>
                  <pic:spPr>
                    <a:xfrm>
                      <a:off x="0" y="0"/>
                      <a:ext cx="5270500" cy="3676650"/>
                    </a:xfrm>
                    <a:prstGeom prst="rect">
                      <a:avLst/>
                    </a:prstGeom>
                    <a:noFill/>
                    <a:ln>
                      <a:noFill/>
                    </a:ln>
                  </pic:spPr>
                </pic:pic>
              </a:graphicData>
            </a:graphic>
          </wp:inline>
        </w:drawing>
      </w:r>
    </w:p>
    <w:p w14:paraId="2F515578">
      <w:pPr>
        <w:rPr>
          <w:rFonts w:hint="default" w:ascii="Times New Roman" w:hAnsi="Times New Roman" w:cs="Times New Roman"/>
        </w:rPr>
      </w:pPr>
    </w:p>
    <w:p w14:paraId="4F029D34">
      <w:pPr>
        <w:pStyle w:val="2"/>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注：双鸭山百奥迈斯生物科技有限公司为桦川百奥迈斯生物科技有限公司子公司，为同一个法人。</w:t>
      </w:r>
    </w:p>
    <w:p w14:paraId="06ECEAD3">
      <w:pPr>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br w:type="page"/>
      </w:r>
    </w:p>
    <w:p w14:paraId="7518CB25">
      <w:pPr>
        <w:pStyle w:val="2"/>
        <w:ind w:left="0" w:leftChars="0" w:firstLine="0" w:firstLineChars="0"/>
        <w:outlineLvl w:val="1"/>
        <w:rPr>
          <w:rFonts w:hint="default" w:ascii="Times New Roman" w:hAnsi="Times New Roman" w:eastAsia="Times New Roman" w:cs="Times New Roman"/>
          <w:b/>
          <w:bCs/>
          <w:color w:val="auto"/>
          <w:spacing w:val="5"/>
          <w:sz w:val="24"/>
          <w:szCs w:val="24"/>
          <w:highlight w:val="none"/>
          <w:lang w:val="en-US" w:eastAsia="zh-CN"/>
        </w:rPr>
      </w:pPr>
      <w:bookmarkStart w:id="325" w:name="_Toc24131"/>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11委托单位集贤县远东牧业有限公司环评批复</w:t>
      </w:r>
      <w:bookmarkEnd w:id="325"/>
    </w:p>
    <w:p w14:paraId="336A9D87">
      <w:pPr>
        <w:pStyle w:val="2"/>
        <w:ind w:left="0" w:leftChars="0" w:firstLine="0" w:firstLineChars="0"/>
        <w:outlineLvl w:val="9"/>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5406390" cy="7210425"/>
            <wp:effectExtent l="0" t="0" r="3810" b="9525"/>
            <wp:docPr id="107" name="图片 107" descr="ab60ca08defd03cf497735954038ca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ab60ca08defd03cf497735954038ca82"/>
                    <pic:cNvPicPr>
                      <a:picLocks noChangeAspect="1"/>
                    </pic:cNvPicPr>
                  </pic:nvPicPr>
                  <pic:blipFill>
                    <a:blip r:embed="rId165"/>
                    <a:stretch>
                      <a:fillRect/>
                    </a:stretch>
                  </pic:blipFill>
                  <pic:spPr>
                    <a:xfrm>
                      <a:off x="0" y="0"/>
                      <a:ext cx="5406390" cy="721042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7033895" cy="5274945"/>
            <wp:effectExtent l="0" t="0" r="1905" b="14605"/>
            <wp:docPr id="108" name="图片 108" descr="d6febd4c220a9197f71ecaeb3254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d6febd4c220a9197f71ecaeb32544522"/>
                    <pic:cNvPicPr>
                      <a:picLocks noChangeAspect="1"/>
                    </pic:cNvPicPr>
                  </pic:nvPicPr>
                  <pic:blipFill>
                    <a:blip r:embed="rId166"/>
                    <a:stretch>
                      <a:fillRect/>
                    </a:stretch>
                  </pic:blipFill>
                  <pic:spPr>
                    <a:xfrm rot="5400000">
                      <a:off x="0" y="0"/>
                      <a:ext cx="7033895" cy="527494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7438390" cy="5578475"/>
            <wp:effectExtent l="0" t="0" r="3175" b="10160"/>
            <wp:docPr id="109" name="图片 109" descr="4f91505773b38221e4b577419b08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4f91505773b38221e4b577419b080998"/>
                    <pic:cNvPicPr>
                      <a:picLocks noChangeAspect="1"/>
                    </pic:cNvPicPr>
                  </pic:nvPicPr>
                  <pic:blipFill>
                    <a:blip r:embed="rId167"/>
                    <a:stretch>
                      <a:fillRect/>
                    </a:stretch>
                  </pic:blipFill>
                  <pic:spPr>
                    <a:xfrm rot="5400000">
                      <a:off x="0" y="0"/>
                      <a:ext cx="7438390" cy="5578475"/>
                    </a:xfrm>
                    <a:prstGeom prst="rect">
                      <a:avLst/>
                    </a:prstGeom>
                  </pic:spPr>
                </pic:pic>
              </a:graphicData>
            </a:graphic>
          </wp:inline>
        </w:drawing>
      </w:r>
    </w:p>
    <w:p w14:paraId="09F43B13">
      <w:pPr>
        <w:rPr>
          <w:rFonts w:hint="default" w:ascii="Times New Roman" w:hAnsi="Times New Roman" w:cs="Times New Roman"/>
          <w:lang w:val="en-US" w:eastAsia="zh-CN"/>
        </w:rPr>
      </w:pPr>
      <w:r>
        <w:rPr>
          <w:rFonts w:hint="default" w:ascii="Times New Roman" w:hAnsi="Times New Roman" w:cs="Times New Roman"/>
          <w:lang w:val="en-US" w:eastAsia="zh-CN"/>
        </w:rPr>
        <w:br w:type="page"/>
      </w:r>
    </w:p>
    <w:p w14:paraId="77BB55B8">
      <w:pPr>
        <w:outlineLvl w:val="1"/>
        <w:rPr>
          <w:rFonts w:hint="default" w:ascii="Times New Roman" w:hAnsi="Times New Roman" w:eastAsia="Times New Roman" w:cs="Times New Roman"/>
          <w:b/>
          <w:bCs/>
          <w:color w:val="auto"/>
          <w:spacing w:val="5"/>
          <w:sz w:val="24"/>
          <w:szCs w:val="24"/>
          <w:highlight w:val="none"/>
          <w:lang w:val="en-US" w:eastAsia="zh-CN"/>
        </w:rPr>
      </w:pPr>
      <w:bookmarkStart w:id="326" w:name="_Toc847"/>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12委托单位双鸭山市永胜农机合作社环评批复</w:t>
      </w:r>
      <w:bookmarkEnd w:id="326"/>
    </w:p>
    <w:p w14:paraId="4A338992">
      <w:pPr>
        <w:outlineLvl w:val="9"/>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7033895" cy="5274945"/>
            <wp:effectExtent l="0" t="0" r="1905" b="14605"/>
            <wp:docPr id="110" name="图片 110" descr="cbab6b5041a69ecccde30196fa1ad1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cbab6b5041a69ecccde30196fa1ad1bd"/>
                    <pic:cNvPicPr>
                      <a:picLocks noChangeAspect="1"/>
                    </pic:cNvPicPr>
                  </pic:nvPicPr>
                  <pic:blipFill>
                    <a:blip r:embed="rId168"/>
                    <a:stretch>
                      <a:fillRect/>
                    </a:stretch>
                  </pic:blipFill>
                  <pic:spPr>
                    <a:xfrm rot="5400000">
                      <a:off x="0" y="0"/>
                      <a:ext cx="7033895" cy="5274945"/>
                    </a:xfrm>
                    <a:prstGeom prst="rect">
                      <a:avLst/>
                    </a:prstGeom>
                  </pic:spPr>
                </pic:pic>
              </a:graphicData>
            </a:graphic>
          </wp:inline>
        </w:drawing>
      </w:r>
      <w:r>
        <w:rPr>
          <w:rFonts w:hint="default" w:ascii="Times New Roman" w:hAnsi="Times New Roman" w:cs="Times New Roman"/>
          <w:lang w:val="en-US" w:eastAsia="zh-CN"/>
        </w:rPr>
        <w:tab/>
      </w:r>
    </w:p>
    <w:p w14:paraId="2880E835">
      <w:pPr>
        <w:rPr>
          <w:rFonts w:hint="default" w:ascii="Times New Roman" w:hAnsi="Times New Roman" w:cs="Times New Roman"/>
          <w:lang w:val="en-US" w:eastAsia="zh-CN"/>
        </w:rPr>
      </w:pPr>
      <w:r>
        <w:rPr>
          <w:rFonts w:hint="default" w:ascii="Times New Roman" w:hAnsi="Times New Roman" w:cs="Times New Roman"/>
          <w:lang w:val="en-US" w:eastAsia="zh-CN"/>
        </w:rPr>
        <w:br w:type="page"/>
      </w:r>
    </w:p>
    <w:p w14:paraId="2D0221A3">
      <w:pPr>
        <w:outlineLvl w:val="1"/>
        <w:rPr>
          <w:rFonts w:hint="default" w:ascii="Times New Roman" w:hAnsi="Times New Roman" w:eastAsia="Times New Roman" w:cs="Times New Roman"/>
          <w:b/>
          <w:bCs/>
          <w:color w:val="auto"/>
          <w:spacing w:val="5"/>
          <w:sz w:val="24"/>
          <w:szCs w:val="24"/>
          <w:highlight w:val="none"/>
          <w:lang w:val="en-US" w:eastAsia="zh-CN"/>
        </w:rPr>
      </w:pPr>
      <w:bookmarkStart w:id="327" w:name="_Toc15445"/>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13项目位置情况证明</w:t>
      </w:r>
      <w:bookmarkEnd w:id="327"/>
    </w:p>
    <w:p w14:paraId="4909D831">
      <w:pPr>
        <w:pStyle w:val="2"/>
        <w:rPr>
          <w:rFonts w:hint="default" w:ascii="Times New Roman" w:hAnsi="Times New Roman" w:eastAsia="Times New Roman" w:cs="Times New Roman"/>
          <w:b/>
          <w:bCs/>
          <w:color w:val="auto"/>
          <w:spacing w:val="5"/>
          <w:sz w:val="24"/>
          <w:szCs w:val="24"/>
          <w:highlight w:val="none"/>
          <w:lang w:val="en-US" w:eastAsia="zh-CN"/>
        </w:rPr>
      </w:pPr>
      <w:r>
        <w:rPr>
          <w:rFonts w:hint="default" w:ascii="Times New Roman" w:hAnsi="Times New Roman" w:eastAsia="Times New Roman" w:cs="Times New Roman"/>
          <w:b/>
          <w:bCs/>
          <w:color w:val="auto"/>
          <w:spacing w:val="5"/>
          <w:sz w:val="24"/>
          <w:szCs w:val="24"/>
          <w:highlight w:val="none"/>
          <w:lang w:val="en-US" w:eastAsia="zh-CN"/>
        </w:rPr>
        <w:drawing>
          <wp:inline distT="0" distB="0" distL="114300" distR="114300">
            <wp:extent cx="5266690" cy="7546340"/>
            <wp:effectExtent l="0" t="0" r="10160" b="16510"/>
            <wp:docPr id="112" name="图片 112" descr="21e6a2cf7f5f0cabf40ee36c64ffd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21e6a2cf7f5f0cabf40ee36c64ffd576"/>
                    <pic:cNvPicPr>
                      <a:picLocks noChangeAspect="1"/>
                    </pic:cNvPicPr>
                  </pic:nvPicPr>
                  <pic:blipFill>
                    <a:blip r:embed="rId169"/>
                    <a:stretch>
                      <a:fillRect/>
                    </a:stretch>
                  </pic:blipFill>
                  <pic:spPr>
                    <a:xfrm>
                      <a:off x="0" y="0"/>
                      <a:ext cx="5266690" cy="7546340"/>
                    </a:xfrm>
                    <a:prstGeom prst="rect">
                      <a:avLst/>
                    </a:prstGeom>
                  </pic:spPr>
                </pic:pic>
              </a:graphicData>
            </a:graphic>
          </wp:inline>
        </w:drawing>
      </w:r>
      <w:r>
        <w:drawing>
          <wp:inline distT="0" distB="0" distL="114300" distR="114300">
            <wp:extent cx="5276850" cy="7336790"/>
            <wp:effectExtent l="0" t="0" r="0" b="16510"/>
            <wp:docPr id="1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1"/>
                    <pic:cNvPicPr>
                      <a:picLocks noChangeAspect="1"/>
                    </pic:cNvPicPr>
                  </pic:nvPicPr>
                  <pic:blipFill>
                    <a:blip r:embed="rId170"/>
                    <a:stretch>
                      <a:fillRect/>
                    </a:stretch>
                  </pic:blipFill>
                  <pic:spPr>
                    <a:xfrm>
                      <a:off x="0" y="0"/>
                      <a:ext cx="5276850" cy="7336790"/>
                    </a:xfrm>
                    <a:prstGeom prst="rect">
                      <a:avLst/>
                    </a:prstGeom>
                    <a:noFill/>
                    <a:ln>
                      <a:noFill/>
                    </a:ln>
                  </pic:spPr>
                </pic:pic>
              </a:graphicData>
            </a:graphic>
          </wp:inline>
        </w:drawing>
      </w:r>
      <w:r>
        <w:drawing>
          <wp:inline distT="0" distB="0" distL="114300" distR="114300">
            <wp:extent cx="5038725" cy="7124700"/>
            <wp:effectExtent l="0" t="0" r="9525" b="0"/>
            <wp:docPr id="1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2"/>
                    <pic:cNvPicPr>
                      <a:picLocks noChangeAspect="1"/>
                    </pic:cNvPicPr>
                  </pic:nvPicPr>
                  <pic:blipFill>
                    <a:blip r:embed="rId171"/>
                    <a:stretch>
                      <a:fillRect/>
                    </a:stretch>
                  </pic:blipFill>
                  <pic:spPr>
                    <a:xfrm>
                      <a:off x="0" y="0"/>
                      <a:ext cx="5038725" cy="7124700"/>
                    </a:xfrm>
                    <a:prstGeom prst="rect">
                      <a:avLst/>
                    </a:prstGeom>
                    <a:noFill/>
                    <a:ln>
                      <a:noFill/>
                    </a:ln>
                  </pic:spPr>
                </pic:pic>
              </a:graphicData>
            </a:graphic>
          </wp:inline>
        </w:drawing>
      </w:r>
    </w:p>
    <w:p w14:paraId="42F77C20">
      <w:pPr>
        <w:rPr>
          <w:rFonts w:hint="default" w:ascii="Times New Roman" w:hAnsi="Times New Roman" w:cs="Times New Roman"/>
          <w:lang w:val="en-US" w:eastAsia="zh-CN"/>
        </w:rPr>
      </w:pPr>
      <w:r>
        <w:rPr>
          <w:rFonts w:hint="default" w:ascii="Times New Roman" w:hAnsi="Times New Roman" w:cs="Times New Roman"/>
          <w:lang w:val="en-US" w:eastAsia="zh-CN"/>
        </w:rPr>
        <w:br w:type="page"/>
      </w:r>
    </w:p>
    <w:p w14:paraId="2B683F76">
      <w:pPr>
        <w:outlineLvl w:val="1"/>
        <w:rPr>
          <w:rFonts w:hint="default"/>
          <w:lang w:val="en-US" w:eastAsia="zh-CN"/>
        </w:rPr>
      </w:pPr>
      <w:r>
        <w:rPr>
          <w:rFonts w:hint="default" w:ascii="Times New Roman" w:hAnsi="Times New Roman" w:eastAsia="Times New Roman" w:cs="Times New Roman"/>
          <w:b/>
          <w:bCs/>
          <w:color w:val="auto"/>
          <w:spacing w:val="5"/>
          <w:sz w:val="24"/>
          <w:szCs w:val="24"/>
          <w:highlight w:val="none"/>
        </w:rPr>
        <w:t>附件</w:t>
      </w:r>
      <w:r>
        <w:rPr>
          <w:rFonts w:hint="default" w:ascii="Times New Roman" w:hAnsi="Times New Roman" w:eastAsia="Times New Roman" w:cs="Times New Roman"/>
          <w:b/>
          <w:bCs/>
          <w:color w:val="auto"/>
          <w:spacing w:val="5"/>
          <w:sz w:val="24"/>
          <w:szCs w:val="24"/>
          <w:highlight w:val="none"/>
          <w:lang w:val="en-US" w:eastAsia="zh-CN"/>
        </w:rPr>
        <w:t>1</w:t>
      </w:r>
      <w:r>
        <w:rPr>
          <w:rFonts w:hint="eastAsia" w:ascii="Times New Roman" w:hAnsi="Times New Roman" w:eastAsia="Times New Roman" w:cs="Times New Roman"/>
          <w:b/>
          <w:bCs/>
          <w:color w:val="auto"/>
          <w:spacing w:val="5"/>
          <w:sz w:val="24"/>
          <w:szCs w:val="24"/>
          <w:highlight w:val="none"/>
          <w:lang w:val="en-US" w:eastAsia="zh-CN"/>
        </w:rPr>
        <w:t>4雨水拉运协议</w:t>
      </w:r>
    </w:p>
    <w:p w14:paraId="2721291C">
      <w:pPr>
        <w:pStyle w:val="2"/>
        <w:jc w:val="center"/>
        <w:rPr>
          <w:rFonts w:hint="default"/>
          <w:lang w:val="en-US" w:eastAsia="zh-CN"/>
        </w:rPr>
      </w:pPr>
      <w:r>
        <w:rPr>
          <w:rFonts w:hint="default"/>
          <w:lang w:val="en-US" w:eastAsia="zh-CN"/>
        </w:rPr>
        <w:drawing>
          <wp:inline distT="0" distB="0" distL="114300" distR="114300">
            <wp:extent cx="5256530" cy="7233920"/>
            <wp:effectExtent l="0" t="0" r="1270" b="5080"/>
            <wp:docPr id="14" name="图片 14" descr="92bb9079e5e38df1c26daa7e94d7f9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92bb9079e5e38df1c26daa7e94d7f9be"/>
                    <pic:cNvPicPr>
                      <a:picLocks noChangeAspect="1"/>
                    </pic:cNvPicPr>
                  </pic:nvPicPr>
                  <pic:blipFill>
                    <a:blip r:embed="rId172"/>
                    <a:stretch>
                      <a:fillRect/>
                    </a:stretch>
                  </pic:blipFill>
                  <pic:spPr>
                    <a:xfrm>
                      <a:off x="0" y="0"/>
                      <a:ext cx="5256530" cy="7233920"/>
                    </a:xfrm>
                    <a:prstGeom prst="rect">
                      <a:avLst/>
                    </a:prstGeom>
                  </pic:spPr>
                </pic:pic>
              </a:graphicData>
            </a:graphic>
          </wp:inline>
        </w:drawing>
      </w:r>
    </w:p>
    <w:p w14:paraId="1609F7AA">
      <w:pPr>
        <w:rPr>
          <w:rFonts w:hint="default"/>
          <w:lang w:val="en-US" w:eastAsia="zh-CN"/>
        </w:rPr>
        <w:sectPr>
          <w:pgSz w:w="11905" w:h="16838"/>
          <w:pgMar w:top="1440" w:right="1797" w:bottom="1440" w:left="1797" w:header="0" w:footer="1060" w:gutter="0"/>
          <w:pgBorders>
            <w:top w:val="none" w:sz="0" w:space="0"/>
            <w:left w:val="none" w:sz="0" w:space="0"/>
            <w:bottom w:val="none" w:sz="0" w:space="0"/>
            <w:right w:val="none" w:sz="0" w:space="0"/>
          </w:pgBorders>
          <w:pgNumType w:fmt="decimal"/>
          <w:cols w:space="0" w:num="1"/>
          <w:rtlGutter w:val="0"/>
          <w:docGrid w:linePitch="0" w:charSpace="0"/>
        </w:sectPr>
      </w:pPr>
    </w:p>
    <w:p w14:paraId="50F8FD37">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0"/>
        <w:rPr>
          <w:rFonts w:hint="default" w:ascii="Times New Roman" w:hAnsi="Times New Roman" w:eastAsia="Times New Roman" w:cs="Times New Roman"/>
          <w:b/>
          <w:bCs/>
          <w:color w:val="auto"/>
          <w:spacing w:val="5"/>
          <w:sz w:val="31"/>
          <w:szCs w:val="31"/>
          <w:highlight w:val="none"/>
          <w:lang w:val="en-US" w:eastAsia="zh-CN"/>
        </w:rPr>
      </w:pPr>
      <w:bookmarkStart w:id="328" w:name="_Toc31986"/>
      <w:r>
        <w:rPr>
          <w:rFonts w:hint="default" w:ascii="Times New Roman" w:hAnsi="Times New Roman" w:eastAsia="Times New Roman" w:cs="Times New Roman"/>
          <w:b/>
          <w:bCs/>
          <w:color w:val="auto"/>
          <w:spacing w:val="5"/>
          <w:sz w:val="31"/>
          <w:szCs w:val="31"/>
          <w:highlight w:val="none"/>
          <w:lang w:val="en-US" w:eastAsia="zh-CN"/>
        </w:rPr>
        <w:t>附图</w:t>
      </w:r>
      <w:bookmarkEnd w:id="328"/>
    </w:p>
    <w:p w14:paraId="6F08B003">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eastAsia="Times New Roman" w:cs="Times New Roman"/>
          <w:b/>
          <w:bCs/>
          <w:color w:val="auto"/>
          <w:spacing w:val="5"/>
          <w:sz w:val="24"/>
          <w:szCs w:val="24"/>
          <w:highlight w:val="none"/>
          <w:lang w:val="en-US" w:eastAsia="zh-CN"/>
        </w:rPr>
      </w:pPr>
      <w:bookmarkStart w:id="329" w:name="_Toc2943"/>
      <w:r>
        <w:rPr>
          <w:rFonts w:hint="default" w:ascii="Times New Roman" w:hAnsi="Times New Roman" w:eastAsia="Times New Roman" w:cs="Times New Roman"/>
          <w:b/>
          <w:bCs/>
          <w:color w:val="auto"/>
          <w:spacing w:val="5"/>
          <w:sz w:val="24"/>
          <w:szCs w:val="24"/>
          <w:highlight w:val="none"/>
          <w:lang w:val="en-US" w:eastAsia="zh-CN"/>
        </w:rPr>
        <w:t>附图1项目地理位置图</w:t>
      </w:r>
      <w:bookmarkEnd w:id="329"/>
    </w:p>
    <w:p w14:paraId="1CFA4DB4">
      <w:pPr>
        <w:keepNext w:val="0"/>
        <w:keepLines w:val="0"/>
        <w:pageBreakBefore w:val="0"/>
        <w:widowControl/>
        <w:kinsoku/>
        <w:wordWrap w:val="0"/>
        <w:overflowPunct/>
        <w:topLinePunct/>
        <w:autoSpaceDE/>
        <w:autoSpaceDN/>
        <w:bidi w:val="0"/>
        <w:adjustRightInd w:val="0"/>
        <w:snapToGrid w:val="0"/>
        <w:spacing w:line="360" w:lineRule="auto"/>
        <w:ind w:left="0" w:right="0"/>
        <w:textAlignment w:val="baseline"/>
        <w:outlineLvl w:val="9"/>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8600440" cy="4164330"/>
            <wp:effectExtent l="0" t="0" r="10160" b="7620"/>
            <wp:docPr id="9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2"/>
                    <pic:cNvPicPr>
                      <a:picLocks noChangeAspect="1"/>
                    </pic:cNvPicPr>
                  </pic:nvPicPr>
                  <pic:blipFill>
                    <a:blip r:embed="rId173"/>
                    <a:stretch>
                      <a:fillRect/>
                    </a:stretch>
                  </pic:blipFill>
                  <pic:spPr>
                    <a:xfrm>
                      <a:off x="0" y="0"/>
                      <a:ext cx="8600440" cy="4164330"/>
                    </a:xfrm>
                    <a:prstGeom prst="rect">
                      <a:avLst/>
                    </a:prstGeom>
                    <a:noFill/>
                    <a:ln>
                      <a:noFill/>
                    </a:ln>
                  </pic:spPr>
                </pic:pic>
              </a:graphicData>
            </a:graphic>
          </wp:inline>
        </w:drawing>
      </w:r>
    </w:p>
    <w:p w14:paraId="045B9111">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14:paraId="476AA173">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eastAsia="Times New Roman" w:cs="Times New Roman"/>
          <w:b/>
          <w:bCs/>
          <w:color w:val="0000FF"/>
          <w:spacing w:val="5"/>
          <w:sz w:val="24"/>
          <w:szCs w:val="24"/>
          <w:highlight w:val="none"/>
          <w:lang w:val="en-US" w:eastAsia="zh-CN"/>
        </w:rPr>
      </w:pPr>
      <w:bookmarkStart w:id="330" w:name="_Toc29784"/>
      <w:r>
        <w:rPr>
          <w:rFonts w:hint="default" w:ascii="Times New Roman" w:hAnsi="Times New Roman" w:eastAsia="Times New Roman" w:cs="Times New Roman"/>
          <w:b/>
          <w:bCs/>
          <w:color w:val="0000FF"/>
          <w:spacing w:val="5"/>
          <w:sz w:val="24"/>
          <w:szCs w:val="24"/>
          <w:highlight w:val="none"/>
          <w:lang w:val="en-US" w:eastAsia="zh-CN"/>
        </w:rPr>
        <w:t>附图2厂区平面布置图</w:t>
      </w:r>
      <w:bookmarkEnd w:id="330"/>
    </w:p>
    <w:p w14:paraId="5D3880BF">
      <w:pPr>
        <w:keepNext w:val="0"/>
        <w:keepLines w:val="0"/>
        <w:pageBreakBefore w:val="0"/>
        <w:widowControl/>
        <w:kinsoku/>
        <w:wordWrap w:val="0"/>
        <w:overflowPunct/>
        <w:topLinePunct/>
        <w:autoSpaceDE/>
        <w:autoSpaceDN/>
        <w:bidi w:val="0"/>
        <w:adjustRightInd w:val="0"/>
        <w:snapToGrid w:val="0"/>
        <w:spacing w:line="360" w:lineRule="auto"/>
        <w:ind w:left="0" w:right="0"/>
        <w:jc w:val="center"/>
        <w:textAlignment w:val="baseline"/>
        <w:outlineLvl w:val="9"/>
        <w:rPr>
          <w:rFonts w:hint="default" w:ascii="Times New Roman" w:hAnsi="Times New Roman" w:cs="Times New Roman"/>
          <w:color w:val="auto"/>
          <w:highlight w:val="none"/>
        </w:rPr>
      </w:pPr>
      <w:r>
        <w:drawing>
          <wp:inline distT="0" distB="0" distL="114300" distR="114300">
            <wp:extent cx="8328025" cy="5020310"/>
            <wp:effectExtent l="0" t="0" r="15875" b="8890"/>
            <wp:docPr id="1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7"/>
                    <pic:cNvPicPr>
                      <a:picLocks noChangeAspect="1"/>
                    </pic:cNvPicPr>
                  </pic:nvPicPr>
                  <pic:blipFill>
                    <a:blip r:embed="rId174"/>
                    <a:stretch>
                      <a:fillRect/>
                    </a:stretch>
                  </pic:blipFill>
                  <pic:spPr>
                    <a:xfrm>
                      <a:off x="0" y="0"/>
                      <a:ext cx="8328025" cy="5020310"/>
                    </a:xfrm>
                    <a:prstGeom prst="rect">
                      <a:avLst/>
                    </a:prstGeom>
                    <a:noFill/>
                    <a:ln>
                      <a:noFill/>
                    </a:ln>
                  </pic:spPr>
                </pic:pic>
              </a:graphicData>
            </a:graphic>
          </wp:inline>
        </w:drawing>
      </w:r>
      <w:r>
        <w:rPr>
          <w:rFonts w:hint="default" w:ascii="Times New Roman" w:hAnsi="Times New Roman" w:cs="Times New Roman"/>
          <w:color w:val="auto"/>
          <w:highlight w:val="none"/>
        </w:rPr>
        <w:br w:type="page"/>
      </w:r>
    </w:p>
    <w:p w14:paraId="246CB55A">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eastAsia="Times New Roman" w:cs="Times New Roman"/>
          <w:b/>
          <w:bCs/>
          <w:color w:val="FF0000"/>
          <w:spacing w:val="5"/>
          <w:sz w:val="24"/>
          <w:szCs w:val="24"/>
          <w:highlight w:val="none"/>
          <w:lang w:val="en-US" w:eastAsia="zh-CN"/>
        </w:rPr>
      </w:pPr>
      <w:bookmarkStart w:id="331" w:name="_Toc11073"/>
      <w:r>
        <w:rPr>
          <w:rFonts w:hint="default" w:ascii="Times New Roman" w:hAnsi="Times New Roman" w:eastAsia="Times New Roman" w:cs="Times New Roman"/>
          <w:b/>
          <w:bCs/>
          <w:color w:val="FF0000"/>
          <w:spacing w:val="5"/>
          <w:sz w:val="24"/>
          <w:szCs w:val="24"/>
          <w:highlight w:val="none"/>
          <w:lang w:val="en-US" w:eastAsia="zh-CN"/>
        </w:rPr>
        <w:t>附图3环境保护目标图</w:t>
      </w:r>
      <w:bookmarkEnd w:id="331"/>
    </w:p>
    <w:p w14:paraId="6D0CDA92">
      <w:pPr>
        <w:keepNext w:val="0"/>
        <w:keepLines w:val="0"/>
        <w:pageBreakBefore w:val="0"/>
        <w:widowControl/>
        <w:kinsoku/>
        <w:wordWrap w:val="0"/>
        <w:overflowPunct/>
        <w:topLinePunct/>
        <w:autoSpaceDE/>
        <w:autoSpaceDN/>
        <w:bidi w:val="0"/>
        <w:adjustRightInd w:val="0"/>
        <w:snapToGrid w:val="0"/>
        <w:spacing w:line="360" w:lineRule="auto"/>
        <w:ind w:left="0" w:right="0"/>
        <w:jc w:val="center"/>
        <w:textAlignment w:val="baseline"/>
        <w:outlineLvl w:val="9"/>
        <w:rPr>
          <w:rFonts w:hint="default" w:ascii="Times New Roman" w:hAnsi="Times New Roman" w:cs="Times New Roman"/>
          <w:color w:val="auto"/>
          <w:highlight w:val="none"/>
        </w:rPr>
      </w:pPr>
      <w:r>
        <w:rPr>
          <w:rFonts w:hint="default" w:ascii="Times New Roman" w:hAnsi="Times New Roman" w:cs="Times New Roman"/>
          <w:sz w:val="21"/>
        </w:rPr>
        <mc:AlternateContent>
          <mc:Choice Requires="wps">
            <w:drawing>
              <wp:anchor distT="0" distB="0" distL="114300" distR="114300" simplePos="0" relativeHeight="251679744" behindDoc="0" locked="0" layoutInCell="1" allowOverlap="1">
                <wp:simplePos x="0" y="0"/>
                <wp:positionH relativeFrom="column">
                  <wp:posOffset>5727700</wp:posOffset>
                </wp:positionH>
                <wp:positionV relativeFrom="paragraph">
                  <wp:posOffset>737870</wp:posOffset>
                </wp:positionV>
                <wp:extent cx="1377315" cy="869315"/>
                <wp:effectExtent l="292100" t="12700" r="26035" b="584835"/>
                <wp:wrapNone/>
                <wp:docPr id="99" name="椭圆形标注 99"/>
                <wp:cNvGraphicFramePr/>
                <a:graphic xmlns:a="http://schemas.openxmlformats.org/drawingml/2006/main">
                  <a:graphicData uri="http://schemas.microsoft.com/office/word/2010/wordprocessingShape">
                    <wps:wsp>
                      <wps:cNvSpPr/>
                      <wps:spPr>
                        <a:xfrm>
                          <a:off x="6438900" y="2798445"/>
                          <a:ext cx="1377315" cy="869315"/>
                        </a:xfrm>
                        <a:prstGeom prst="wedgeEllipseCallout">
                          <a:avLst>
                            <a:gd name="adj1" fmla="val -70285"/>
                            <a:gd name="adj2" fmla="val 113769"/>
                          </a:avLst>
                        </a:prstGeom>
                        <a:solidFill>
                          <a:schemeClr val="bg1"/>
                        </a:solidFill>
                      </wps:spPr>
                      <wps:style>
                        <a:lnRef idx="2">
                          <a:schemeClr val="accent1">
                            <a:lumMod val="75000"/>
                          </a:schemeClr>
                        </a:lnRef>
                        <a:fillRef idx="1">
                          <a:schemeClr val="accent1"/>
                        </a:fillRef>
                        <a:effectRef idx="0">
                          <a:srgbClr val="FFFFFF"/>
                        </a:effectRef>
                        <a:fontRef idx="minor">
                          <a:schemeClr val="lt1"/>
                        </a:fontRef>
                      </wps:style>
                      <wps:txbx>
                        <w:txbxContent>
                          <w:p w14:paraId="0028E0BC">
                            <w:pPr>
                              <w:jc w:val="center"/>
                              <w:rPr>
                                <w:rFonts w:hint="default" w:eastAsia="宋体"/>
                                <w:lang w:val="en-US" w:eastAsia="zh-CN"/>
                              </w:rPr>
                            </w:pPr>
                            <w:r>
                              <w:rPr>
                                <w:rFonts w:hint="eastAsia" w:eastAsia="宋体"/>
                                <w:sz w:val="13"/>
                                <w:szCs w:val="13"/>
                                <w:lang w:val="en-US" w:eastAsia="zh-CN"/>
                              </w:rPr>
                              <w:t>此处为华本集团、黑龙省华本生物能</w:t>
                            </w:r>
                            <w:r>
                              <w:rPr>
                                <w:rFonts w:hint="eastAsia" w:eastAsia="宋体"/>
                                <w:sz w:val="15"/>
                                <w:szCs w:val="15"/>
                                <w:lang w:val="en-US" w:eastAsia="zh-CN"/>
                              </w:rPr>
                              <w:t>源</w:t>
                            </w:r>
                            <w:r>
                              <w:rPr>
                                <w:rFonts w:hint="eastAsia" w:eastAsia="宋体"/>
                                <w:sz w:val="13"/>
                                <w:szCs w:val="13"/>
                                <w:lang w:val="en-US" w:eastAsia="zh-CN"/>
                              </w:rPr>
                              <w:t>有限公司等企业，不属于村庄</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3" type="#_x0000_t63" style="position:absolute;left:0pt;margin-left:451pt;margin-top:58.1pt;height:68.45pt;width:108.45pt;z-index:251679744;v-text-anchor:middle;mso-width-relative:page;mso-height-relative:page;" fillcolor="#FFFFFF [3212]" filled="t" stroked="t" coordsize="21600,21600" o:gfxdata="UEsDBAoAAAAAAIdO4kAAAAAAAAAAAAAAAAAEAAAAZHJzL1BLAwQUAAAACACHTuJAr3bsB9wAAAAM&#10;AQAADwAAAGRycy9kb3ducmV2LnhtbE2PT0vEMBTE74LfITzBm5uksmW3Nl1QqHhQYVcX95g2z7aY&#10;vJQm+0c/vdmTHocZZn5Trk7OsgNOYfCkQM4EMKTWm4E6Be9v9c0CWIiajLaeUME3BlhVlxelLow/&#10;0hoPm9ixVEKh0Ar6GMeC89D26HSY+REpeZ9+cjomOXXcTPqYyp3lmRA5d3qgtNDrER96bL82e6cg&#10;n9vnoXltX3b39Ue9fZye/PZnp9T1lRR3wCKe4l8YzvgJHarE1Pg9mcCsgqXI0peYDJlnwM4JKRdL&#10;YI2CbH4rgVcl/3+i+gVQSwMEFAAAAAgAh07iQL9mwn3KAgAAgwUAAA4AAABkcnMvZTJvRG9jLnht&#10;bK1UzW7TQBC+I/EOq723dlLnx1GdKkoIQiq0UkGcN+v1D9o/dtdxygOUl+CAEAcunDjzOO1zMLt2&#10;27Rw6IEcnBnP529mvtnZ45Od4GjLjK2VzPDgMMaISaryWpYZfvd2fTDFyDoic8KVZBm+ZBafzJ8/&#10;O271jA1VpXjODAISaWetznDlnJ5FkaUVE8QeKs0kBAtlBHHgmjLKDWmBXfBoGMfjqFUm10ZRZi28&#10;XXVB3DOapxCqoqgpWynaCCZdx2oYJw5aslWtLZ6HaouCUXdWFJY5xDMMnbrwhCRgb/wzmh+TWWmI&#10;rmral0CeUsKjngSpJSS9o1oRR1Bj6r+oRE2Nsqpwh1SJqGskKAJdDOJH2lxURLPQC0ht9Z3o9v/R&#10;0jfbc4PqPMNpipEkAiZ+8/3n9Zer69/fbr5+vvn1A0EEZGq1nQH6Qp+b3rNg+p53hRH+H7pBuwyP&#10;k6NpGoPAlxkeTtJpkow6mdnOIQqAwdFkcjQYYUQBMR2n3gbK6J5JG+teMiWQNzLcsrxkLziHybIl&#10;4Vw1LohNtqfWBdXzvnSSfxhgVAgOQ9wSjg4m8XDapy/3QMN90AAKGoceoYSeE6zbInwCq3idr2vO&#10;g2PKzZIbBAkyvA6/vv4HMC5RCwqMEq8FJbAqBRxRMIUGua0sMSK8hB2kzoR2Hnxt95NAfXE6DCDe&#10;iNcq73JPRjFwd9L1+CDjAyLfxorYqvskhPpPuAS0H2s3SG+53WbXT3ej8ks4GkZ1O2M1XddAdUqs&#10;OycG9IWu4BpxZ/AouIJWVW9hVCnz6V/vPR7OLkQxamHpQIaPDTEMI/5KwqlOB0kCtC44yWgyBMfs&#10;Rzb7EdmIpYIRwMShumB6vOO3ZmGUeA+3zcJnhRCRFHJ3gvfO0nWXAdxXlC0WAQabqYk7lReaenI/&#10;cqkWjVNF7bzYXqhOnd6B3Qy69/eIX/59P6Du7875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K92&#10;7AfcAAAADAEAAA8AAAAAAAAAAQAgAAAAIgAAAGRycy9kb3ducmV2LnhtbFBLAQIUABQAAAAIAIdO&#10;4kC/ZsJ9ygIAAIMFAAAOAAAAAAAAAAEAIAAAACsBAABkcnMvZTJvRG9jLnhtbFBLBQYAAAAABgAG&#10;AFkBAABnBgAAAAA=&#10;" adj="-4382,35374">
                <v:fill on="t" focussize="0,0"/>
                <v:stroke weight="2pt" color="#376092 [2404]" joinstyle="round"/>
                <v:imagedata o:title=""/>
                <o:lock v:ext="edit" aspectratio="f"/>
                <v:textbox>
                  <w:txbxContent>
                    <w:p w14:paraId="0028E0BC">
                      <w:pPr>
                        <w:jc w:val="center"/>
                        <w:rPr>
                          <w:rFonts w:hint="default" w:eastAsia="宋体"/>
                          <w:lang w:val="en-US" w:eastAsia="zh-CN"/>
                        </w:rPr>
                      </w:pPr>
                      <w:r>
                        <w:rPr>
                          <w:rFonts w:hint="eastAsia" w:eastAsia="宋体"/>
                          <w:sz w:val="13"/>
                          <w:szCs w:val="13"/>
                          <w:lang w:val="en-US" w:eastAsia="zh-CN"/>
                        </w:rPr>
                        <w:t>此处为华本集团、黑龙省华本生物能</w:t>
                      </w:r>
                      <w:r>
                        <w:rPr>
                          <w:rFonts w:hint="eastAsia" w:eastAsia="宋体"/>
                          <w:sz w:val="15"/>
                          <w:szCs w:val="15"/>
                          <w:lang w:val="en-US" w:eastAsia="zh-CN"/>
                        </w:rPr>
                        <w:t>源</w:t>
                      </w:r>
                      <w:r>
                        <w:rPr>
                          <w:rFonts w:hint="eastAsia" w:eastAsia="宋体"/>
                          <w:sz w:val="13"/>
                          <w:szCs w:val="13"/>
                          <w:lang w:val="en-US" w:eastAsia="zh-CN"/>
                        </w:rPr>
                        <w:t>有限公司等企业，不属于村庄</w:t>
                      </w:r>
                    </w:p>
                  </w:txbxContent>
                </v:textbox>
              </v:shape>
            </w:pict>
          </mc:Fallback>
        </mc:AlternateContent>
      </w:r>
      <w:r>
        <w:rPr>
          <w:rFonts w:hint="default" w:ascii="Times New Roman" w:hAnsi="Times New Roman" w:cs="Times New Roman"/>
          <w:color w:val="auto"/>
          <w:highlight w:val="none"/>
        </w:rPr>
        <w:drawing>
          <wp:inline distT="0" distB="0" distL="114300" distR="114300">
            <wp:extent cx="8143875" cy="4829175"/>
            <wp:effectExtent l="0" t="0" r="9525" b="9525"/>
            <wp:docPr id="9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5"/>
                    <pic:cNvPicPr>
                      <a:picLocks noChangeAspect="1"/>
                    </pic:cNvPicPr>
                  </pic:nvPicPr>
                  <pic:blipFill>
                    <a:blip r:embed="rId175"/>
                    <a:stretch>
                      <a:fillRect/>
                    </a:stretch>
                  </pic:blipFill>
                  <pic:spPr>
                    <a:xfrm>
                      <a:off x="0" y="0"/>
                      <a:ext cx="8143875" cy="4829175"/>
                    </a:xfrm>
                    <a:prstGeom prst="rect">
                      <a:avLst/>
                    </a:prstGeom>
                    <a:noFill/>
                    <a:ln>
                      <a:noFill/>
                    </a:ln>
                  </pic:spPr>
                </pic:pic>
              </a:graphicData>
            </a:graphic>
          </wp:inline>
        </w:drawing>
      </w:r>
    </w:p>
    <w:p w14:paraId="2F443EB0">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14:paraId="30939E0D">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cs="Times New Roman"/>
          <w:color w:val="auto"/>
          <w:highlight w:val="none"/>
          <w:lang w:val="en-US" w:eastAsia="zh-CN"/>
        </w:rPr>
      </w:pPr>
      <w:bookmarkStart w:id="332" w:name="_Toc25949"/>
      <w:r>
        <w:rPr>
          <w:rFonts w:hint="default" w:ascii="Times New Roman" w:hAnsi="Times New Roman" w:eastAsia="Times New Roman" w:cs="Times New Roman"/>
          <w:b/>
          <w:bCs/>
          <w:color w:val="auto"/>
          <w:spacing w:val="5"/>
          <w:sz w:val="24"/>
          <w:szCs w:val="24"/>
          <w:highlight w:val="none"/>
          <w:lang w:val="en-US" w:eastAsia="zh-CN"/>
        </w:rPr>
        <w:t>附图4评价范围图</w:t>
      </w:r>
      <w:bookmarkEnd w:id="332"/>
    </w:p>
    <w:p w14:paraId="7B85C4A0">
      <w:pPr>
        <w:keepNext w:val="0"/>
        <w:keepLines w:val="0"/>
        <w:pageBreakBefore w:val="0"/>
        <w:widowControl/>
        <w:kinsoku/>
        <w:wordWrap w:val="0"/>
        <w:overflowPunct/>
        <w:topLinePunct/>
        <w:autoSpaceDE/>
        <w:autoSpaceDN/>
        <w:bidi w:val="0"/>
        <w:adjustRightInd w:val="0"/>
        <w:snapToGrid w:val="0"/>
        <w:spacing w:line="360" w:lineRule="auto"/>
        <w:ind w:left="0" w:right="0"/>
        <w:jc w:val="center"/>
        <w:textAlignment w:val="baseline"/>
        <w:outlineLvl w:val="9"/>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8105775" cy="4257675"/>
            <wp:effectExtent l="0" t="0" r="9525" b="9525"/>
            <wp:docPr id="9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6"/>
                    <pic:cNvPicPr>
                      <a:picLocks noChangeAspect="1"/>
                    </pic:cNvPicPr>
                  </pic:nvPicPr>
                  <pic:blipFill>
                    <a:blip r:embed="rId176"/>
                    <a:stretch>
                      <a:fillRect/>
                    </a:stretch>
                  </pic:blipFill>
                  <pic:spPr>
                    <a:xfrm>
                      <a:off x="0" y="0"/>
                      <a:ext cx="8105775" cy="4257675"/>
                    </a:xfrm>
                    <a:prstGeom prst="rect">
                      <a:avLst/>
                    </a:prstGeom>
                    <a:noFill/>
                    <a:ln>
                      <a:noFill/>
                    </a:ln>
                  </pic:spPr>
                </pic:pic>
              </a:graphicData>
            </a:graphic>
          </wp:inline>
        </w:drawing>
      </w:r>
    </w:p>
    <w:p w14:paraId="0ED9BDDA">
      <w:pPr>
        <w:rPr>
          <w:rFonts w:hint="default" w:ascii="Times New Roman" w:hAnsi="Times New Roman" w:cs="Times New Roman"/>
          <w:color w:val="auto"/>
          <w:highlight w:val="none"/>
        </w:rPr>
      </w:pPr>
      <w:r>
        <w:rPr>
          <w:rFonts w:hint="default" w:ascii="Times New Roman" w:hAnsi="Times New Roman" w:cs="Times New Roman"/>
          <w:color w:val="auto"/>
          <w:highlight w:val="none"/>
        </w:rPr>
        <w:br w:type="page"/>
      </w:r>
    </w:p>
    <w:p w14:paraId="3B874DF2">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cs="Times New Roman"/>
          <w:color w:val="FF0000"/>
          <w:highlight w:val="none"/>
          <w:lang w:val="en-US" w:eastAsia="zh-CN"/>
        </w:rPr>
      </w:pPr>
      <w:bookmarkStart w:id="333" w:name="_Toc16626"/>
      <w:r>
        <w:rPr>
          <w:rFonts w:hint="default" w:ascii="Times New Roman" w:hAnsi="Times New Roman" w:eastAsia="Times New Roman" w:cs="Times New Roman"/>
          <w:b/>
          <w:bCs/>
          <w:color w:val="FF0000"/>
          <w:spacing w:val="5"/>
          <w:sz w:val="24"/>
          <w:szCs w:val="24"/>
          <w:highlight w:val="none"/>
          <w:lang w:val="en-US" w:eastAsia="zh-CN"/>
        </w:rPr>
        <w:t>附图5分区防渗图</w:t>
      </w:r>
      <w:bookmarkEnd w:id="333"/>
    </w:p>
    <w:p w14:paraId="3262A2D6">
      <w:pPr>
        <w:keepNext w:val="0"/>
        <w:keepLines w:val="0"/>
        <w:pageBreakBefore w:val="0"/>
        <w:widowControl/>
        <w:kinsoku/>
        <w:wordWrap w:val="0"/>
        <w:overflowPunct/>
        <w:topLinePunct/>
        <w:autoSpaceDE/>
        <w:autoSpaceDN/>
        <w:bidi w:val="0"/>
        <w:adjustRightInd w:val="0"/>
        <w:snapToGrid w:val="0"/>
        <w:spacing w:line="360" w:lineRule="auto"/>
        <w:ind w:left="0" w:right="0"/>
        <w:jc w:val="center"/>
        <w:textAlignment w:val="baseline"/>
        <w:outlineLvl w:val="9"/>
        <w:rPr>
          <w:rFonts w:hint="default" w:ascii="Times New Roman" w:hAnsi="Times New Roman" w:cs="Times New Roman"/>
          <w:color w:val="auto"/>
          <w:highlight w:val="none"/>
        </w:rPr>
      </w:pPr>
      <w:r>
        <w:drawing>
          <wp:inline distT="0" distB="0" distL="114300" distR="114300">
            <wp:extent cx="8119110" cy="4942840"/>
            <wp:effectExtent l="0" t="0" r="15240" b="1016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77"/>
                    <a:stretch>
                      <a:fillRect/>
                    </a:stretch>
                  </pic:blipFill>
                  <pic:spPr>
                    <a:xfrm>
                      <a:off x="0" y="0"/>
                      <a:ext cx="8119110" cy="4942840"/>
                    </a:xfrm>
                    <a:prstGeom prst="rect">
                      <a:avLst/>
                    </a:prstGeom>
                    <a:noFill/>
                    <a:ln>
                      <a:noFill/>
                    </a:ln>
                  </pic:spPr>
                </pic:pic>
              </a:graphicData>
            </a:graphic>
          </wp:inline>
        </w:drawing>
      </w:r>
    </w:p>
    <w:p w14:paraId="28770055">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cs="Times New Roman"/>
          <w:color w:val="auto"/>
          <w:highlight w:val="none"/>
          <w:lang w:val="en-US" w:eastAsia="zh-CN"/>
        </w:rPr>
      </w:pPr>
      <w:bookmarkStart w:id="334" w:name="_Toc23841"/>
      <w:r>
        <w:rPr>
          <w:rFonts w:hint="default" w:ascii="Times New Roman" w:hAnsi="Times New Roman" w:eastAsia="Times New Roman" w:cs="Times New Roman"/>
          <w:b/>
          <w:bCs/>
          <w:color w:val="auto"/>
          <w:spacing w:val="5"/>
          <w:sz w:val="24"/>
          <w:szCs w:val="24"/>
          <w:highlight w:val="none"/>
          <w:lang w:val="en-US" w:eastAsia="zh-CN"/>
        </w:rPr>
        <w:t>附图6行政区划图</w:t>
      </w:r>
      <w:bookmarkEnd w:id="334"/>
    </w:p>
    <w:p w14:paraId="219F4865">
      <w:pPr>
        <w:keepNext w:val="0"/>
        <w:keepLines w:val="0"/>
        <w:pageBreakBefore w:val="0"/>
        <w:widowControl/>
        <w:kinsoku/>
        <w:wordWrap w:val="0"/>
        <w:overflowPunct/>
        <w:topLinePunct/>
        <w:autoSpaceDE/>
        <w:autoSpaceDN/>
        <w:bidi w:val="0"/>
        <w:adjustRightInd w:val="0"/>
        <w:snapToGrid w:val="0"/>
        <w:spacing w:line="360" w:lineRule="auto"/>
        <w:ind w:left="0" w:right="0"/>
        <w:jc w:val="center"/>
        <w:textAlignment w:val="baseline"/>
        <w:outlineLvl w:val="9"/>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162550" cy="4719955"/>
            <wp:effectExtent l="0" t="0" r="0" b="4445"/>
            <wp:docPr id="9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0"/>
                    <pic:cNvPicPr>
                      <a:picLocks noChangeAspect="1"/>
                    </pic:cNvPicPr>
                  </pic:nvPicPr>
                  <pic:blipFill>
                    <a:blip r:embed="rId178"/>
                    <a:stretch>
                      <a:fillRect/>
                    </a:stretch>
                  </pic:blipFill>
                  <pic:spPr>
                    <a:xfrm>
                      <a:off x="0" y="0"/>
                      <a:ext cx="5162550" cy="4719955"/>
                    </a:xfrm>
                    <a:prstGeom prst="rect">
                      <a:avLst/>
                    </a:prstGeom>
                    <a:noFill/>
                    <a:ln>
                      <a:noFill/>
                    </a:ln>
                  </pic:spPr>
                </pic:pic>
              </a:graphicData>
            </a:graphic>
          </wp:inline>
        </w:drawing>
      </w:r>
    </w:p>
    <w:p w14:paraId="20172A8D">
      <w:pPr>
        <w:keepNext w:val="0"/>
        <w:keepLines w:val="0"/>
        <w:pageBreakBefore w:val="0"/>
        <w:widowControl/>
        <w:kinsoku/>
        <w:wordWrap w:val="0"/>
        <w:overflowPunct/>
        <w:topLinePunct/>
        <w:autoSpaceDE/>
        <w:autoSpaceDN/>
        <w:bidi w:val="0"/>
        <w:adjustRightInd w:val="0"/>
        <w:snapToGrid w:val="0"/>
        <w:spacing w:line="360" w:lineRule="auto"/>
        <w:ind w:left="0" w:right="0"/>
        <w:jc w:val="center"/>
        <w:textAlignment w:val="baseline"/>
        <w:outlineLvl w:val="9"/>
        <w:rPr>
          <w:rFonts w:hint="default" w:ascii="Times New Roman" w:hAnsi="Times New Roman" w:cs="Times New Roman"/>
          <w:color w:val="auto"/>
          <w:highlight w:val="none"/>
        </w:rPr>
      </w:pPr>
    </w:p>
    <w:p w14:paraId="4E1F436D">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cs="Times New Roman"/>
          <w:color w:val="auto"/>
          <w:highlight w:val="none"/>
          <w:lang w:val="en-US" w:eastAsia="zh-CN"/>
        </w:rPr>
      </w:pPr>
      <w:bookmarkStart w:id="335" w:name="_Toc21948"/>
      <w:r>
        <w:rPr>
          <w:rFonts w:hint="default" w:ascii="Times New Roman" w:hAnsi="Times New Roman" w:eastAsia="Times New Roman" w:cs="Times New Roman"/>
          <w:b/>
          <w:bCs/>
          <w:color w:val="auto"/>
          <w:spacing w:val="5"/>
          <w:sz w:val="24"/>
          <w:szCs w:val="24"/>
          <w:highlight w:val="none"/>
          <w:lang w:val="en-US" w:eastAsia="zh-CN"/>
        </w:rPr>
        <w:t>附图7 厂区四周环境图</w:t>
      </w:r>
      <w:bookmarkEnd w:id="335"/>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7"/>
        <w:gridCol w:w="7087"/>
      </w:tblGrid>
      <w:tr w14:paraId="1E960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87" w:type="dxa"/>
            <w:vAlign w:val="center"/>
          </w:tcPr>
          <w:p w14:paraId="0E0CDD61">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outlineLvl w:val="9"/>
              <w:rPr>
                <w:rFonts w:hint="default" w:ascii="Times New Roman" w:hAnsi="Times New Roman" w:cs="Times New Roman"/>
                <w:color w:val="auto"/>
                <w:highlight w:val="none"/>
                <w:vertAlign w:val="baseline"/>
                <w:lang w:val="en-US" w:eastAsia="zh-CN"/>
              </w:rPr>
            </w:pPr>
            <w:r>
              <w:rPr>
                <w:rFonts w:hint="default" w:ascii="Times New Roman" w:hAnsi="Times New Roman" w:cs="Times New Roman"/>
                <w:color w:val="auto"/>
                <w:highlight w:val="none"/>
                <w:vertAlign w:val="baseline"/>
                <w:lang w:val="en-US" w:eastAsia="zh-CN"/>
              </w:rPr>
              <w:drawing>
                <wp:inline distT="0" distB="0" distL="114300" distR="114300">
                  <wp:extent cx="3385185" cy="3019425"/>
                  <wp:effectExtent l="0" t="0" r="5715" b="9525"/>
                  <wp:docPr id="22" name="图片 22" descr="430c969c9394925aa4883540dc629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430c969c9394925aa4883540dc629144"/>
                          <pic:cNvPicPr>
                            <a:picLocks noChangeAspect="1"/>
                          </pic:cNvPicPr>
                        </pic:nvPicPr>
                        <pic:blipFill>
                          <a:blip r:embed="rId179"/>
                          <a:stretch>
                            <a:fillRect/>
                          </a:stretch>
                        </pic:blipFill>
                        <pic:spPr>
                          <a:xfrm>
                            <a:off x="0" y="0"/>
                            <a:ext cx="3385185" cy="3019425"/>
                          </a:xfrm>
                          <a:prstGeom prst="rect">
                            <a:avLst/>
                          </a:prstGeom>
                        </pic:spPr>
                      </pic:pic>
                    </a:graphicData>
                  </a:graphic>
                </wp:inline>
              </w:drawing>
            </w:r>
          </w:p>
        </w:tc>
        <w:tc>
          <w:tcPr>
            <w:tcW w:w="7087" w:type="dxa"/>
            <w:vAlign w:val="center"/>
          </w:tcPr>
          <w:p w14:paraId="00CBE0BC">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outlineLvl w:val="9"/>
              <w:rPr>
                <w:rFonts w:hint="default" w:ascii="Times New Roman" w:hAnsi="Times New Roman" w:cs="Times New Roman"/>
                <w:color w:val="auto"/>
                <w:highlight w:val="none"/>
                <w:vertAlign w:val="baseline"/>
                <w:lang w:val="en-US" w:eastAsia="zh-CN"/>
              </w:rPr>
            </w:pPr>
            <w:r>
              <w:rPr>
                <w:rFonts w:hint="default" w:ascii="Times New Roman" w:hAnsi="Times New Roman" w:cs="Times New Roman"/>
                <w:color w:val="auto"/>
                <w:highlight w:val="none"/>
                <w:vertAlign w:val="baseline"/>
                <w:lang w:val="en-US" w:eastAsia="zh-CN"/>
              </w:rPr>
              <w:drawing>
                <wp:inline distT="0" distB="0" distL="114300" distR="114300">
                  <wp:extent cx="3428365" cy="3215005"/>
                  <wp:effectExtent l="0" t="0" r="635" b="4445"/>
                  <wp:docPr id="36" name="图片 36" descr="51e79a2a9f8c4c4bf0922ad9441e17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51e79a2a9f8c4c4bf0922ad9441e17cc"/>
                          <pic:cNvPicPr>
                            <a:picLocks noChangeAspect="1"/>
                          </pic:cNvPicPr>
                        </pic:nvPicPr>
                        <pic:blipFill>
                          <a:blip r:embed="rId180"/>
                          <a:stretch>
                            <a:fillRect/>
                          </a:stretch>
                        </pic:blipFill>
                        <pic:spPr>
                          <a:xfrm>
                            <a:off x="0" y="0"/>
                            <a:ext cx="3428365" cy="3215005"/>
                          </a:xfrm>
                          <a:prstGeom prst="rect">
                            <a:avLst/>
                          </a:prstGeom>
                        </pic:spPr>
                      </pic:pic>
                    </a:graphicData>
                  </a:graphic>
                </wp:inline>
              </w:drawing>
            </w:r>
          </w:p>
        </w:tc>
      </w:tr>
      <w:tr w14:paraId="4F721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87" w:type="dxa"/>
            <w:vAlign w:val="center"/>
          </w:tcPr>
          <w:p w14:paraId="6EB185CC">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厂界东侧</w:t>
            </w:r>
          </w:p>
        </w:tc>
        <w:tc>
          <w:tcPr>
            <w:tcW w:w="7087" w:type="dxa"/>
            <w:vAlign w:val="center"/>
          </w:tcPr>
          <w:p w14:paraId="08C85E1B">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厂界西侧</w:t>
            </w:r>
          </w:p>
        </w:tc>
      </w:tr>
      <w:tr w14:paraId="5D46D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87" w:type="dxa"/>
            <w:vAlign w:val="center"/>
          </w:tcPr>
          <w:p w14:paraId="18EBDD1F">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outlineLvl w:val="9"/>
              <w:rPr>
                <w:rFonts w:hint="default" w:ascii="Times New Roman" w:hAnsi="Times New Roman" w:cs="Times New Roman"/>
                <w:color w:val="auto"/>
                <w:highlight w:val="none"/>
                <w:vertAlign w:val="baseline"/>
                <w:lang w:val="en-US" w:eastAsia="zh-CN"/>
              </w:rPr>
            </w:pPr>
            <w:r>
              <w:rPr>
                <w:rFonts w:hint="default" w:ascii="Times New Roman" w:hAnsi="Times New Roman" w:cs="Times New Roman"/>
                <w:color w:val="auto"/>
                <w:highlight w:val="none"/>
                <w:vertAlign w:val="baseline"/>
                <w:lang w:val="en-US" w:eastAsia="zh-CN"/>
              </w:rPr>
              <w:drawing>
                <wp:inline distT="0" distB="0" distL="114300" distR="114300">
                  <wp:extent cx="3299460" cy="2803525"/>
                  <wp:effectExtent l="0" t="0" r="15240" b="15875"/>
                  <wp:docPr id="38" name="图片 38" descr="3098577f5355d0f8f7ee456bf2d33a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3098577f5355d0f8f7ee456bf2d33a0f"/>
                          <pic:cNvPicPr>
                            <a:picLocks noChangeAspect="1"/>
                          </pic:cNvPicPr>
                        </pic:nvPicPr>
                        <pic:blipFill>
                          <a:blip r:embed="rId181"/>
                          <a:stretch>
                            <a:fillRect/>
                          </a:stretch>
                        </pic:blipFill>
                        <pic:spPr>
                          <a:xfrm>
                            <a:off x="0" y="0"/>
                            <a:ext cx="3299460" cy="2803525"/>
                          </a:xfrm>
                          <a:prstGeom prst="rect">
                            <a:avLst/>
                          </a:prstGeom>
                        </pic:spPr>
                      </pic:pic>
                    </a:graphicData>
                  </a:graphic>
                </wp:inline>
              </w:drawing>
            </w:r>
          </w:p>
        </w:tc>
        <w:tc>
          <w:tcPr>
            <w:tcW w:w="7087" w:type="dxa"/>
            <w:vAlign w:val="center"/>
          </w:tcPr>
          <w:p w14:paraId="3E1B9F1D">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outlineLvl w:val="9"/>
              <w:rPr>
                <w:rFonts w:hint="default" w:ascii="Times New Roman" w:hAnsi="Times New Roman" w:cs="Times New Roman"/>
                <w:color w:val="auto"/>
                <w:highlight w:val="none"/>
                <w:vertAlign w:val="baseline"/>
                <w:lang w:val="en-US" w:eastAsia="zh-CN"/>
              </w:rPr>
            </w:pPr>
            <w:r>
              <w:rPr>
                <w:rFonts w:hint="default" w:ascii="Times New Roman" w:hAnsi="Times New Roman" w:cs="Times New Roman"/>
                <w:color w:val="auto"/>
                <w:highlight w:val="none"/>
                <w:vertAlign w:val="baseline"/>
                <w:lang w:val="en-US" w:eastAsia="zh-CN"/>
              </w:rPr>
              <w:drawing>
                <wp:inline distT="0" distB="0" distL="114300" distR="114300">
                  <wp:extent cx="3481070" cy="2747010"/>
                  <wp:effectExtent l="0" t="0" r="5080" b="15240"/>
                  <wp:docPr id="39" name="图片 39" descr="83f08f2e936a12c68cd0027de6bcdb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83f08f2e936a12c68cd0027de6bcdb2a"/>
                          <pic:cNvPicPr>
                            <a:picLocks noChangeAspect="1"/>
                          </pic:cNvPicPr>
                        </pic:nvPicPr>
                        <pic:blipFill>
                          <a:blip r:embed="rId182"/>
                          <a:stretch>
                            <a:fillRect/>
                          </a:stretch>
                        </pic:blipFill>
                        <pic:spPr>
                          <a:xfrm>
                            <a:off x="0" y="0"/>
                            <a:ext cx="3481070" cy="2747010"/>
                          </a:xfrm>
                          <a:prstGeom prst="rect">
                            <a:avLst/>
                          </a:prstGeom>
                        </pic:spPr>
                      </pic:pic>
                    </a:graphicData>
                  </a:graphic>
                </wp:inline>
              </w:drawing>
            </w:r>
          </w:p>
        </w:tc>
      </w:tr>
      <w:tr w14:paraId="1DE6A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87" w:type="dxa"/>
            <w:vAlign w:val="center"/>
          </w:tcPr>
          <w:p w14:paraId="7DD24516">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outlineLvl w:val="9"/>
              <w:rPr>
                <w:rFonts w:hint="default" w:ascii="Times New Roman" w:hAnsi="Times New Roman"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厂界南侧</w:t>
            </w:r>
          </w:p>
        </w:tc>
        <w:tc>
          <w:tcPr>
            <w:tcW w:w="7087" w:type="dxa"/>
            <w:vAlign w:val="center"/>
          </w:tcPr>
          <w:p w14:paraId="71ABFD6F">
            <w:pPr>
              <w:keepNext w:val="0"/>
              <w:keepLines w:val="0"/>
              <w:pageBreakBefore w:val="0"/>
              <w:widowControl/>
              <w:kinsoku/>
              <w:wordWrap w:val="0"/>
              <w:overflowPunct/>
              <w:topLinePunct/>
              <w:autoSpaceDE/>
              <w:autoSpaceDN/>
              <w:bidi w:val="0"/>
              <w:adjustRightInd w:val="0"/>
              <w:snapToGrid w:val="0"/>
              <w:spacing w:line="360" w:lineRule="auto"/>
              <w:ind w:right="0"/>
              <w:jc w:val="center"/>
              <w:textAlignment w:val="baseline"/>
              <w:outlineLvl w:val="9"/>
              <w:rPr>
                <w:rFonts w:hint="default" w:ascii="Times New Roman" w:hAnsi="Times New Roman"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厂界北侧</w:t>
            </w:r>
          </w:p>
        </w:tc>
      </w:tr>
    </w:tbl>
    <w:p w14:paraId="6E946943">
      <w:pPr>
        <w:keepNext w:val="0"/>
        <w:keepLines w:val="0"/>
        <w:pageBreakBefore w:val="0"/>
        <w:widowControl/>
        <w:kinsoku/>
        <w:wordWrap w:val="0"/>
        <w:overflowPunct/>
        <w:topLinePunct/>
        <w:autoSpaceDE/>
        <w:autoSpaceDN/>
        <w:bidi w:val="0"/>
        <w:adjustRightInd w:val="0"/>
        <w:snapToGrid w:val="0"/>
        <w:spacing w:line="360" w:lineRule="auto"/>
        <w:ind w:left="0" w:right="0"/>
        <w:jc w:val="center"/>
        <w:textAlignment w:val="baseline"/>
        <w:outlineLvl w:val="9"/>
        <w:rPr>
          <w:rFonts w:hint="default" w:ascii="Times New Roman" w:hAnsi="Times New Roman" w:cs="Times New Roman"/>
          <w:color w:val="auto"/>
          <w:highlight w:val="none"/>
          <w:lang w:val="en-US" w:eastAsia="zh-CN"/>
        </w:rPr>
      </w:pPr>
    </w:p>
    <w:p w14:paraId="79C863F2">
      <w:pP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br w:type="page"/>
      </w:r>
    </w:p>
    <w:p w14:paraId="539996AE">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cs="Times New Roman"/>
          <w:color w:val="FF0000"/>
          <w:highlight w:val="none"/>
          <w:lang w:val="en-US" w:eastAsia="zh-CN"/>
        </w:rPr>
      </w:pPr>
      <w:bookmarkStart w:id="336" w:name="_Toc13991"/>
      <w:r>
        <w:rPr>
          <w:rFonts w:hint="default" w:ascii="Times New Roman" w:hAnsi="Times New Roman" w:eastAsia="Times New Roman" w:cs="Times New Roman"/>
          <w:b/>
          <w:bCs/>
          <w:color w:val="FF0000"/>
          <w:spacing w:val="5"/>
          <w:sz w:val="24"/>
          <w:szCs w:val="24"/>
          <w:highlight w:val="none"/>
          <w:lang w:val="en-US" w:eastAsia="zh-CN"/>
        </w:rPr>
        <w:t>附图8 集贤县禁养区分布图位置关系图</w:t>
      </w:r>
      <w:bookmarkEnd w:id="336"/>
    </w:p>
    <w:p w14:paraId="4AE5C20B">
      <w:pPr>
        <w:keepNext w:val="0"/>
        <w:keepLines w:val="0"/>
        <w:pageBreakBefore w:val="0"/>
        <w:widowControl/>
        <w:kinsoku/>
        <w:wordWrap w:val="0"/>
        <w:overflowPunct/>
        <w:topLinePunct/>
        <w:autoSpaceDE/>
        <w:autoSpaceDN/>
        <w:bidi w:val="0"/>
        <w:adjustRightInd w:val="0"/>
        <w:snapToGrid w:val="0"/>
        <w:spacing w:line="360" w:lineRule="auto"/>
        <w:ind w:left="0" w:right="0"/>
        <w:jc w:val="center"/>
        <w:textAlignment w:val="baseline"/>
        <w:outlineLvl w:val="9"/>
        <w:rPr>
          <w:rFonts w:hint="default" w:ascii="Times New Roman" w:hAnsi="Times New Roman" w:cs="Times New Roman"/>
        </w:rPr>
      </w:pPr>
      <w:r>
        <w:rPr>
          <w:rFonts w:hint="default" w:ascii="Times New Roman" w:hAnsi="Times New Roman" w:cs="Times New Roman"/>
          <w:sz w:val="21"/>
        </w:rPr>
        <mc:AlternateContent>
          <mc:Choice Requires="wps">
            <w:drawing>
              <wp:anchor distT="0" distB="0" distL="114300" distR="114300" simplePos="0" relativeHeight="251681792" behindDoc="0" locked="0" layoutInCell="1" allowOverlap="1">
                <wp:simplePos x="0" y="0"/>
                <wp:positionH relativeFrom="column">
                  <wp:posOffset>2593975</wp:posOffset>
                </wp:positionH>
                <wp:positionV relativeFrom="paragraph">
                  <wp:posOffset>1957070</wp:posOffset>
                </wp:positionV>
                <wp:extent cx="1005205" cy="544830"/>
                <wp:effectExtent l="12700" t="12700" r="29845" b="909320"/>
                <wp:wrapNone/>
                <wp:docPr id="104" name="圆角矩形标注 104"/>
                <wp:cNvGraphicFramePr/>
                <a:graphic xmlns:a="http://schemas.openxmlformats.org/drawingml/2006/main">
                  <a:graphicData uri="http://schemas.microsoft.com/office/word/2010/wordprocessingShape">
                    <wps:wsp>
                      <wps:cNvSpPr/>
                      <wps:spPr>
                        <a:xfrm>
                          <a:off x="4185285" y="3944620"/>
                          <a:ext cx="1005205" cy="544830"/>
                        </a:xfrm>
                        <a:prstGeom prst="wedgeRoundRectCallout">
                          <a:avLst>
                            <a:gd name="adj1" fmla="val 19740"/>
                            <a:gd name="adj2" fmla="val 213053"/>
                            <a:gd name="adj3" fmla="val 16667"/>
                          </a:avLst>
                        </a:prstGeom>
                        <a:noFill/>
                      </wps:spPr>
                      <wps:style>
                        <a:lnRef idx="2">
                          <a:schemeClr val="accent1">
                            <a:lumMod val="75000"/>
                          </a:schemeClr>
                        </a:lnRef>
                        <a:fillRef idx="1">
                          <a:schemeClr val="accent1"/>
                        </a:fillRef>
                        <a:effectRef idx="0">
                          <a:srgbClr val="FFFFFF"/>
                        </a:effectRef>
                        <a:fontRef idx="minor">
                          <a:schemeClr val="lt1"/>
                        </a:fontRef>
                      </wps:style>
                      <wps:txbx>
                        <w:txbxContent>
                          <w:p w14:paraId="39340398">
                            <w:pPr>
                              <w:jc w:val="center"/>
                              <w:rPr>
                                <w:rFonts w:hint="eastAsia" w:eastAsia="宋体"/>
                                <w:color w:val="FF0000"/>
                                <w:lang w:val="en-US" w:eastAsia="zh-CN"/>
                              </w:rPr>
                            </w:pPr>
                            <w:r>
                              <w:rPr>
                                <w:rFonts w:hint="eastAsia" w:eastAsia="宋体"/>
                                <w:color w:val="FF0000"/>
                                <w:lang w:val="en-US" w:eastAsia="zh-CN"/>
                              </w:rPr>
                              <w:t>本项目所在地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04.25pt;margin-top:154.1pt;height:42.9pt;width:79.15pt;z-index:251681792;v-text-anchor:middle;mso-width-relative:page;mso-height-relative:page;" filled="f" stroked="t" coordsize="21600,21600" o:gfxdata="UEsDBAoAAAAAAIdO4kAAAAAAAAAAAAAAAAAEAAAAZHJzL1BLAwQUAAAACACHTuJAqpli4toAAAAL&#10;AQAADwAAAGRycy9kb3ducmV2LnhtbE2PwU7DMAyG70i8Q2QkbizZWKuuazoJpmlcOGwDzlkT2kLi&#10;VE3adW+POcHR9qff319sJmfZaPrQepQwnwlgBiuvW6wlvJ12DxmwEBVqZT0aCVcTYFPe3hQq1/6C&#10;BzMeY80oBEOuJDQxdjnnoWqMU2HmO4N0+/S9U5HGvua6VxcKd5YvhEi5Uy3Sh0Z15rkx1fdxcBJe&#10;7TX5wN32aTvt3/fjyfqvoX6R8v5uLtbAopniHwy/+qQOJTmd/YA6MCthKbKEUAmPIlsAIyJJUypz&#10;ps1qKYCXBf/fofwBUEsDBBQAAAAIAIdO4kBN+4H81QIAAIQFAAAOAAAAZHJzL2Uyb0RvYy54bWyt&#10;VM1u1DAQviPxDpbvdJNssn9qtqp2VYRUaNWCOHsdZxPkP2xns+UB4M4ZCcQFOHPmcVp4DMZO2i6F&#10;Qw9ckrHn8+eZb2a8f7AVHG2YsbWSOY73IoyYpKqo5TrHL54fPZpgZB2RBeFKshxfMIsP5g8f7Ld6&#10;xhJVKV4wg4BE2lmrc1w5p2eDgaUVE8TuKc0kOEtlBHGwNOtBYUgL7IIPkigaDVplCm0UZdbC7rJz&#10;4p7R3IdQlWVN2VLRRjDpOlbDOHGQkq1qbfE8RFuWjLqTsrTMIZ5jyNSFL1wC9sp/B/N9Mlsboqua&#10;9iGQ+4RwJydBagmX3lAtiSOoMfVfVKKmRllVuj2qxKBLJCgCWcTRHW3OK6JZyAWktvpGdPv/aOmz&#10;zalBdQGdEKUYSSKg5Jcf3v768v7nx2+XPz5ffXp39f0r8l7QqtV2BkfO9anpVxZMn/i2NML/ISW0&#10;zXEaT7JkkmF0kePhNE1HSa812zpEARBHUZZEAKCAyNJ0MgyAwS2TNtY9Zkogb+S4ZcWanalGFmdQ&#10;1QXhXDUuaE42x9YF8Ys+AVK8ijEqBYdabghH8XScXtd6B5PsYpJ4GGXDviF2QMNdUDwajcYeA3H2&#10;14J1HamPQaqjmvPQVlyiNsdJlkbQbZTArJTQo2AKDXpbucaI8DUMIXUmJGIVrwt/3BNZs14tuEEQ&#10;P0g4HkXTJIB4I56qotseZxFwd+H0+BDaH0Q+uiWxVXckuPojXALal7QrorfcdrXtK7tSxQX0hlHd&#10;0FhNj2qgOibWnRIDykJW8I64E/iUXEGqqrcwqpR58699j4fmBS9GLUwdyPC6IYZhxJ9IaOtpnEKh&#10;kAuLNBtD1yCz61ntemQjFgrUgVpDdMH0eMevzdIo8RKem0N/K7iIpHB3J3i/WLjuNYAHi7LDwwCD&#10;0dTEHctzTT15V9bDxqmydl5sL1SnTr+A4Qy69w+Jn/7ddUDdPp7z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KqZYuLaAAAACwEAAA8AAAAAAAAAAQAgAAAAIgAAAGRycy9kb3ducmV2LnhtbFBLAQIU&#10;ABQAAAAIAIdO4kBN+4H81QIAAIQFAAAOAAAAAAAAAAEAIAAAACkBAABkcnMvZTJvRG9jLnhtbFBL&#10;BQYAAAAABgAGAFkBAABwBgAAAAA=&#10;" adj="15064,56819,14400">
                <v:fill on="f" focussize="0,0"/>
                <v:stroke weight="2pt" color="#376092 [2404]" joinstyle="round"/>
                <v:imagedata o:title=""/>
                <o:lock v:ext="edit" aspectratio="f"/>
                <v:textbox>
                  <w:txbxContent>
                    <w:p w14:paraId="39340398">
                      <w:pPr>
                        <w:jc w:val="center"/>
                        <w:rPr>
                          <w:rFonts w:hint="eastAsia" w:eastAsia="宋体"/>
                          <w:color w:val="FF0000"/>
                          <w:lang w:val="en-US" w:eastAsia="zh-CN"/>
                        </w:rPr>
                      </w:pPr>
                      <w:r>
                        <w:rPr>
                          <w:rFonts w:hint="eastAsia" w:eastAsia="宋体"/>
                          <w:color w:val="FF0000"/>
                          <w:lang w:val="en-US" w:eastAsia="zh-CN"/>
                        </w:rPr>
                        <w:t>本项目所在地</w:t>
                      </w:r>
                    </w:p>
                  </w:txbxContent>
                </v:textbox>
              </v:shape>
            </w:pict>
          </mc:Fallback>
        </mc:AlternateContent>
      </w:r>
      <w:r>
        <w:rPr>
          <w:rFonts w:hint="default" w:ascii="Times New Roman" w:hAnsi="Times New Roman" w:cs="Times New Roman"/>
        </w:rPr>
        <w:drawing>
          <wp:anchor distT="0" distB="0" distL="114300" distR="114300" simplePos="0" relativeHeight="251680768" behindDoc="0" locked="0" layoutInCell="1" allowOverlap="1">
            <wp:simplePos x="0" y="0"/>
            <wp:positionH relativeFrom="column">
              <wp:posOffset>8032115</wp:posOffset>
            </wp:positionH>
            <wp:positionV relativeFrom="paragraph">
              <wp:posOffset>3172460</wp:posOffset>
            </wp:positionV>
            <wp:extent cx="693420" cy="1717040"/>
            <wp:effectExtent l="0" t="0" r="11430" b="16510"/>
            <wp:wrapNone/>
            <wp:docPr id="1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
                    <pic:cNvPicPr>
                      <a:picLocks noChangeAspect="1"/>
                    </pic:cNvPicPr>
                  </pic:nvPicPr>
                  <pic:blipFill>
                    <a:blip r:embed="rId183"/>
                    <a:stretch>
                      <a:fillRect/>
                    </a:stretch>
                  </pic:blipFill>
                  <pic:spPr>
                    <a:xfrm>
                      <a:off x="0" y="0"/>
                      <a:ext cx="693420" cy="1717040"/>
                    </a:xfrm>
                    <a:prstGeom prst="rect">
                      <a:avLst/>
                    </a:prstGeom>
                    <a:noFill/>
                    <a:ln>
                      <a:noFill/>
                    </a:ln>
                  </pic:spPr>
                </pic:pic>
              </a:graphicData>
            </a:graphic>
          </wp:anchor>
        </w:drawing>
      </w:r>
      <w:r>
        <w:rPr>
          <w:rFonts w:hint="default" w:ascii="Times New Roman" w:hAnsi="Times New Roman" w:cs="Times New Roman"/>
        </w:rPr>
        <w:drawing>
          <wp:inline distT="0" distB="0" distL="114300" distR="114300">
            <wp:extent cx="8601075" cy="4894580"/>
            <wp:effectExtent l="0" t="0" r="9525" b="1270"/>
            <wp:docPr id="1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
                    <pic:cNvPicPr>
                      <a:picLocks noChangeAspect="1"/>
                    </pic:cNvPicPr>
                  </pic:nvPicPr>
                  <pic:blipFill>
                    <a:blip r:embed="rId184"/>
                    <a:stretch>
                      <a:fillRect/>
                    </a:stretch>
                  </pic:blipFill>
                  <pic:spPr>
                    <a:xfrm>
                      <a:off x="0" y="0"/>
                      <a:ext cx="8601075" cy="4894580"/>
                    </a:xfrm>
                    <a:prstGeom prst="rect">
                      <a:avLst/>
                    </a:prstGeom>
                    <a:noFill/>
                    <a:ln>
                      <a:noFill/>
                    </a:ln>
                  </pic:spPr>
                </pic:pic>
              </a:graphicData>
            </a:graphic>
          </wp:inline>
        </w:drawing>
      </w:r>
    </w:p>
    <w:p w14:paraId="3D0C7FE6">
      <w:pPr>
        <w:rPr>
          <w:rFonts w:hint="default" w:ascii="Times New Roman" w:hAnsi="Times New Roman" w:cs="Times New Roman"/>
        </w:rPr>
      </w:pPr>
      <w:r>
        <w:rPr>
          <w:rFonts w:hint="default" w:ascii="Times New Roman" w:hAnsi="Times New Roman" w:cs="Times New Roman"/>
        </w:rPr>
        <w:br w:type="page"/>
      </w:r>
    </w:p>
    <w:p w14:paraId="50590BE8">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cs="Times New Roman"/>
          <w:color w:val="FF0000"/>
          <w:highlight w:val="none"/>
          <w:lang w:val="en-US" w:eastAsia="zh-CN"/>
        </w:rPr>
      </w:pPr>
      <w:bookmarkStart w:id="337" w:name="_Toc23843"/>
      <w:r>
        <w:rPr>
          <w:rFonts w:hint="default" w:ascii="Times New Roman" w:hAnsi="Times New Roman" w:eastAsia="Times New Roman" w:cs="Times New Roman"/>
          <w:b/>
          <w:bCs/>
          <w:color w:val="FF0000"/>
          <w:spacing w:val="5"/>
          <w:sz w:val="24"/>
          <w:szCs w:val="24"/>
          <w:highlight w:val="none"/>
          <w:lang w:val="en-US" w:eastAsia="zh-CN"/>
        </w:rPr>
        <w:t>附图9 评价区</w:t>
      </w:r>
      <w:r>
        <w:rPr>
          <w:rFonts w:hint="eastAsia" w:ascii="Times New Roman" w:hAnsi="Times New Roman" w:eastAsia="Times New Roman" w:cs="Times New Roman"/>
          <w:b/>
          <w:bCs/>
          <w:color w:val="FF0000"/>
          <w:spacing w:val="5"/>
          <w:sz w:val="24"/>
          <w:szCs w:val="24"/>
          <w:highlight w:val="none"/>
          <w:lang w:val="en-US" w:eastAsia="zh-CN"/>
        </w:rPr>
        <w:t>植被</w:t>
      </w:r>
      <w:r>
        <w:rPr>
          <w:rFonts w:hint="default" w:ascii="Times New Roman" w:hAnsi="Times New Roman" w:eastAsia="Times New Roman" w:cs="Times New Roman"/>
          <w:b/>
          <w:bCs/>
          <w:color w:val="FF0000"/>
          <w:spacing w:val="5"/>
          <w:sz w:val="24"/>
          <w:szCs w:val="24"/>
          <w:highlight w:val="none"/>
          <w:lang w:val="en-US" w:eastAsia="zh-CN"/>
        </w:rPr>
        <w:t>类型分布图</w:t>
      </w:r>
      <w:bookmarkEnd w:id="337"/>
    </w:p>
    <w:p w14:paraId="714E8709">
      <w:pPr>
        <w:pStyle w:val="2"/>
        <w:jc w:val="center"/>
        <w:rPr>
          <w:rFonts w:hint="default" w:ascii="Times New Roman" w:hAnsi="Times New Roman" w:cs="Times New Roman"/>
        </w:rPr>
      </w:pPr>
      <w:r>
        <w:rPr>
          <w:rFonts w:hint="default" w:ascii="Times New Roman" w:hAnsi="Times New Roman" w:cs="Times New Roman"/>
        </w:rPr>
        <w:drawing>
          <wp:inline distT="0" distB="0" distL="114300" distR="114300">
            <wp:extent cx="6964045" cy="4865370"/>
            <wp:effectExtent l="0" t="0" r="8255" b="1143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185"/>
                    <a:stretch>
                      <a:fillRect/>
                    </a:stretch>
                  </pic:blipFill>
                  <pic:spPr>
                    <a:xfrm>
                      <a:off x="0" y="0"/>
                      <a:ext cx="6964045" cy="4865370"/>
                    </a:xfrm>
                    <a:prstGeom prst="rect">
                      <a:avLst/>
                    </a:prstGeom>
                    <a:noFill/>
                    <a:ln>
                      <a:noFill/>
                    </a:ln>
                  </pic:spPr>
                </pic:pic>
              </a:graphicData>
            </a:graphic>
          </wp:inline>
        </w:drawing>
      </w:r>
    </w:p>
    <w:p w14:paraId="3DA9B110">
      <w:pPr>
        <w:rPr>
          <w:rFonts w:hint="default" w:ascii="Times New Roman" w:hAnsi="Times New Roman" w:cs="Times New Roman"/>
        </w:rPr>
      </w:pPr>
      <w:r>
        <w:rPr>
          <w:rFonts w:hint="default" w:ascii="Times New Roman" w:hAnsi="Times New Roman" w:cs="Times New Roman"/>
        </w:rPr>
        <w:br w:type="page"/>
      </w:r>
    </w:p>
    <w:p w14:paraId="640AB918">
      <w:pPr>
        <w:keepNext w:val="0"/>
        <w:keepLines w:val="0"/>
        <w:pageBreakBefore w:val="0"/>
        <w:kinsoku/>
        <w:wordWrap w:val="0"/>
        <w:overflowPunct/>
        <w:topLinePunct/>
        <w:autoSpaceDE/>
        <w:autoSpaceDN/>
        <w:bidi w:val="0"/>
        <w:adjustRightInd w:val="0"/>
        <w:snapToGrid w:val="0"/>
        <w:spacing w:before="100" w:line="238" w:lineRule="auto"/>
        <w:ind w:left="38"/>
        <w:textAlignment w:val="baseline"/>
        <w:outlineLvl w:val="1"/>
        <w:rPr>
          <w:rFonts w:hint="default" w:ascii="Times New Roman" w:hAnsi="Times New Roman" w:cs="Times New Roman"/>
          <w:color w:val="FF0000"/>
          <w:highlight w:val="none"/>
          <w:lang w:val="en-US" w:eastAsia="zh-CN"/>
        </w:rPr>
      </w:pPr>
      <w:bookmarkStart w:id="338" w:name="_Toc20903"/>
      <w:r>
        <w:rPr>
          <w:rFonts w:hint="default" w:ascii="Times New Roman" w:hAnsi="Times New Roman" w:eastAsia="Times New Roman" w:cs="Times New Roman"/>
          <w:b/>
          <w:bCs/>
          <w:color w:val="FF0000"/>
          <w:spacing w:val="5"/>
          <w:sz w:val="24"/>
          <w:szCs w:val="24"/>
          <w:highlight w:val="none"/>
          <w:lang w:val="en-US" w:eastAsia="zh-CN"/>
        </w:rPr>
        <w:t>附图10评价区土地利用现状图</w:t>
      </w:r>
      <w:bookmarkEnd w:id="338"/>
    </w:p>
    <w:p w14:paraId="209CE1B5">
      <w:pPr>
        <w:jc w:val="center"/>
        <w:rPr>
          <w:rFonts w:hint="default" w:ascii="Times New Roman" w:hAnsi="Times New Roman" w:cs="Times New Roman"/>
          <w:lang w:val="en-US" w:eastAsia="zh-CN"/>
        </w:rPr>
      </w:pPr>
      <w:r>
        <w:rPr>
          <w:rFonts w:hint="default" w:ascii="Times New Roman" w:hAnsi="Times New Roman" w:cs="Times New Roman"/>
        </w:rPr>
        <w:drawing>
          <wp:inline distT="0" distB="0" distL="114300" distR="114300">
            <wp:extent cx="7013575" cy="4954905"/>
            <wp:effectExtent l="0" t="0" r="15875" b="17145"/>
            <wp:docPr id="1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7"/>
                    <pic:cNvPicPr>
                      <a:picLocks noChangeAspect="1"/>
                    </pic:cNvPicPr>
                  </pic:nvPicPr>
                  <pic:blipFill>
                    <a:blip r:embed="rId186"/>
                    <a:stretch>
                      <a:fillRect/>
                    </a:stretch>
                  </pic:blipFill>
                  <pic:spPr>
                    <a:xfrm>
                      <a:off x="0" y="0"/>
                      <a:ext cx="7013575" cy="4954905"/>
                    </a:xfrm>
                    <a:prstGeom prst="rect">
                      <a:avLst/>
                    </a:prstGeom>
                    <a:noFill/>
                    <a:ln>
                      <a:noFill/>
                    </a:ln>
                  </pic:spPr>
                </pic:pic>
              </a:graphicData>
            </a:graphic>
          </wp:inline>
        </w:drawing>
      </w:r>
    </w:p>
    <w:sectPr>
      <w:footerReference r:id="rId52" w:type="default"/>
      <w:pgSz w:w="16838" w:h="11905" w:orient="landscape"/>
      <w:pgMar w:top="1797" w:right="1440" w:bottom="1797" w:left="1440" w:header="0" w:footer="1060" w:gutter="0"/>
      <w:pgBorders>
        <w:top w:val="none" w:sz="0" w:space="0"/>
        <w:left w:val="none" w:sz="0" w:space="0"/>
        <w:bottom w:val="none" w:sz="0" w:space="0"/>
        <w:right w:val="none" w:sz="0" w:space="0"/>
      </w:pgBorders>
      <w:pgNumType w:fmt="decimal"/>
      <w:cols w:space="0" w:num="1"/>
      <w:rtlGutter w:val="0"/>
      <w:docGrid w:linePitch="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ADC1F5">
    <w:pPr>
      <w:spacing w:line="223" w:lineRule="auto"/>
      <w:ind w:left="4464"/>
      <w:rPr>
        <w:rFonts w:ascii="Times New Roman" w:hAnsi="Times New Roman" w:eastAsia="Times New Roman" w:cs="Times New Roman"/>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357F40">
    <w:pPr>
      <w:spacing w:line="220" w:lineRule="auto"/>
      <w:ind w:left="4613"/>
      <w:rPr>
        <w:rFonts w:ascii="Times New Roman" w:hAnsi="Times New Roman" w:eastAsia="Times New Roman" w:cs="Times New Roman"/>
        <w:sz w:val="18"/>
        <w:szCs w:val="18"/>
      </w:rPr>
    </w:pPr>
  </w:p>
  <w:p w14:paraId="5BEB7FE5">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42522C">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KyRFo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CskRaNAIAAGUEAAAOAAAAAAAAAAEAIAAAAB8BAABkcnMvZTJvRG9jLnhtbFBL&#10;BQYAAAAABgAGAFkBAADFBQAAAAA=&#10;">
              <v:fill on="f" focussize="0,0"/>
              <v:stroke on="f" weight="0.5pt"/>
              <v:imagedata o:title=""/>
              <o:lock v:ext="edit" aspectratio="f"/>
              <v:textbox inset="0mm,0mm,0mm,0mm" style="mso-fit-shape-to-text:t;">
                <w:txbxContent>
                  <w:p w14:paraId="7B42522C">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48869">
    <w:pPr>
      <w:spacing w:line="220" w:lineRule="auto"/>
      <w:ind w:left="4613"/>
      <w:rPr>
        <w:rFonts w:ascii="Times New Roman" w:hAnsi="Times New Roman" w:eastAsia="Times New Roman" w:cs="Times New Roman"/>
        <w:sz w:val="18"/>
        <w:szCs w:val="18"/>
      </w:rPr>
    </w:pPr>
  </w:p>
  <w:p w14:paraId="1BA8E58C">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15F2CC">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9rAQ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CFwhumUfLzj+/n&#10;n7/Pv76RdAiJahfmiHxwiI3NO9sgfDgPOEzMm9Lr9AUnAj8EPl0EFk0kPF2aTWezMVwcvmED/Ozp&#10;uvMhvhdWk2Tk1KOCrbDsuA2xCx1CUjZjN1KptorKkDqn11dvx+2FiwfgyiBHItE9Nlmx2TU9s50t&#10;TiDmbdcdwfGNRPItC/GeebQDHoyBiXdYSmWRxPYWJZX1X/91nuJRJXgpqdFeOTWYJkrUB4PqATAO&#10;hh+M3WCYg7616NcJBtHx1sQFH9Vglt7qL5iiVcoBFzMcmXIaB/M2di2OKeRitWqDDs7LfdVdQO85&#10;FrfmwfGUJgkZ3OoQIWarcRKoU6XXDd3XVqmflNTef+7b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99rAQzAgAAZQQAAA4AAAAAAAAAAQAgAAAAHwEAAGRycy9lMm9Eb2MueG1sUEsF&#10;BgAAAAAGAAYAWQEAAMQFAAAAAA==&#10;">
              <v:fill on="f" focussize="0,0"/>
              <v:stroke on="f" weight="0.5pt"/>
              <v:imagedata o:title=""/>
              <o:lock v:ext="edit" aspectratio="f"/>
              <v:textbox inset="0mm,0mm,0mm,0mm" style="mso-fit-shape-to-text:t;">
                <w:txbxContent>
                  <w:p w14:paraId="2515F2CC">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83286B">
    <w:pPr>
      <w:spacing w:line="220" w:lineRule="auto"/>
      <w:ind w:left="4613"/>
      <w:rPr>
        <w:rFonts w:ascii="Times New Roman" w:hAnsi="Times New Roman" w:eastAsia="Times New Roman" w:cs="Times New Roman"/>
        <w:sz w:val="18"/>
        <w:szCs w:val="18"/>
      </w:rPr>
    </w:pPr>
  </w:p>
  <w:p w14:paraId="2B1CE6E0">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54D33A">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TBMpg0AgAAZQ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kwTKYNAIAAGUEAAAOAAAAAAAAAAEAIAAAAB8BAABkcnMvZTJvRG9jLnhtbFBL&#10;BQYAAAAABgAGAFkBAADFBQAAAAA=&#10;">
              <v:fill on="f" focussize="0,0"/>
              <v:stroke on="f" weight="0.5pt"/>
              <v:imagedata o:title=""/>
              <o:lock v:ext="edit" aspectratio="f"/>
              <v:textbox inset="0mm,0mm,0mm,0mm" style="mso-fit-shape-to-text:t;">
                <w:txbxContent>
                  <w:p w14:paraId="5554D33A">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ED5AF2">
    <w:pPr>
      <w:spacing w:line="220" w:lineRule="auto"/>
      <w:ind w:left="4613"/>
      <w:rPr>
        <w:rFonts w:ascii="Times New Roman" w:hAnsi="Times New Roman" w:eastAsia="Times New Roman" w:cs="Times New Roman"/>
        <w:sz w:val="18"/>
        <w:szCs w:val="18"/>
      </w:rPr>
    </w:pPr>
  </w:p>
  <w:p w14:paraId="540A90FC">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9B08D9">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yGFI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AE8M0Sn768f30&#10;8+H06xtJh5CocWGGyHuH2Ni+sy3Ch/OAw8S8rbxOX3Ai8APseBFYtJHwdGk6mU5zuDh8wwb42eN1&#10;50N8L6wmySioRwU7YdlhE2IfOoSkbMaupVJdFZUhTUGvXr/N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ZyGFIzAgAAZQQAAA4AAAAAAAAAAQAgAAAAHwEAAGRycy9lMm9Eb2MueG1sUEsF&#10;BgAAAAAGAAYAWQEAAMQFAAAAAA==&#10;">
              <v:fill on="f" focussize="0,0"/>
              <v:stroke on="f" weight="0.5pt"/>
              <v:imagedata o:title=""/>
              <o:lock v:ext="edit" aspectratio="f"/>
              <v:textbox inset="0mm,0mm,0mm,0mm" style="mso-fit-shape-to-text:t;">
                <w:txbxContent>
                  <w:p w14:paraId="2B9B08D9">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C299D3">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3" name="文本框 1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6B9100">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1JrUUzAgAAZ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6ITplBLNFEp++fH9&#10;8vP35dc3Eg8hUW39HJE7i9jQvDMNwodzj8PIvCmcil9wIvBD4PNVYNEEwuOl2WQ2S+Hi8A0b4CdP&#10;163z4b0wikQjow4VbIVlp60PXegQErNps6mkbKsoNakzejN9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1JrUUzAgAAZQQAAA4AAAAAAAAAAQAgAAAAHwEAAGRycy9lMm9Eb2MueG1sUEsF&#10;BgAAAAAGAAYAWQEAAMQFAAAAAA==&#10;">
              <v:fill on="f" focussize="0,0"/>
              <v:stroke on="f" weight="0.5pt"/>
              <v:imagedata o:title=""/>
              <o:lock v:ext="edit" aspectratio="f"/>
              <v:textbox inset="0mm,0mm,0mm,0mm" style="mso-fit-shape-to-text:t;">
                <w:txbxContent>
                  <w:p w14:paraId="4F6B9100">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5AD52">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AB7740">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3Ohs4zAgAAZQ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psxJYZptPz04/vp&#10;58Pp1zeSDiFR48IMkfcOsbF9Z1uED+cBh4l5W3mdvuBE4IfAx4vAoo2Ep0vTyXSaw8XhGzbAzx6v&#10;Ox/ie2E1SUZBPTrYCcsOmxD70CEkZTN2LZXquqgMaQp69fpt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3Ohs4zAgAAZQQAAA4AAAAAAAAAAQAgAAAAHwEAAGRycy9lMm9Eb2MueG1sUEsF&#10;BgAAAAAGAAYAWQEAAMQFAAAAAA==&#10;">
              <v:fill on="f" focussize="0,0"/>
              <v:stroke on="f" weight="0.5pt"/>
              <v:imagedata o:title=""/>
              <o:lock v:ext="edit" aspectratio="f"/>
              <v:textbox inset="0mm,0mm,0mm,0mm" style="mso-fit-shape-to-text:t;">
                <w:txbxContent>
                  <w:p w14:paraId="2FAB7740">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111792">
    <w:pPr>
      <w:spacing w:line="220"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C32A98">
                          <w:pPr>
                            <w:pStyle w:val="15"/>
                          </w:pPr>
                          <w:r>
                            <w:fldChar w:fldCharType="begin"/>
                          </w:r>
                          <w:r>
                            <w:instrText xml:space="preserve"> PAGE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UJagQ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mwklhml0/PL92+XH&#10;r8vPrwRnEKh2YY64nUNkbN7aBmMznAccJt5N6XX6ghGBH/Ker/KKJhKeLs2ms9kYLg7fsAF+9njd&#10;+RDfCatJMnLq0b9WVnbahtiFDiEpm7EbqVTbQ2VIDRKv34zbC1cPwJVBjkSiKzZZsdk3PbO9Lc4g&#10;5m03G8HxjUTyLQvxgXkMAwrGc4n3WEplkcT2FiWV9V/+dZ7i0SN4KakxXDk1eEuUqPcGvQNgHAw/&#10;GPvBMEd9ZzGtaAdqaU1c8FENZumt/ow3tEo54GKGI1NO42DexW7A8Qa5WK3aoKPz8lB1FzB5jsWt&#10;2Tme0iQhg1sdI8RsNU4Cdar0umH22i717yQN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FCWoEMQIAAGMEAAAOAAAAAAAAAAEAIAAAAB8BAABkcnMvZTJvRG9jLnhtbFBLBQYA&#10;AAAABgAGAFkBAADCBQAAAAA=&#10;">
              <v:fill on="f" focussize="0,0"/>
              <v:stroke on="f" weight="0.5pt"/>
              <v:imagedata o:title=""/>
              <o:lock v:ext="edit" aspectratio="f"/>
              <v:textbox inset="0mm,0mm,0mm,0mm" style="mso-fit-shape-to-text:t;">
                <w:txbxContent>
                  <w:p w14:paraId="61C32A98">
                    <w:pPr>
                      <w:pStyle w:val="15"/>
                    </w:pPr>
                    <w:r>
                      <w:fldChar w:fldCharType="begin"/>
                    </w:r>
                    <w:r>
                      <w:instrText xml:space="preserve"> PAGE  \* MERGEFORMAT </w:instrText>
                    </w:r>
                    <w:r>
                      <w:fldChar w:fldCharType="separate"/>
                    </w:r>
                    <w:r>
                      <w:t>105</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4F45B2">
    <w:pPr>
      <w:spacing w:line="220"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51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2" name="文本框 1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EFDF29">
                          <w:pPr>
                            <w:pStyle w:val="15"/>
                          </w:pPr>
                          <w:r>
                            <w:fldChar w:fldCharType="begin"/>
                          </w:r>
                          <w:r>
                            <w:instrText xml:space="preserve"> PAGE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51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EMVLA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M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BDFSwNAIAAGUEAAAOAAAAAAAAAAEAIAAAAB8BAABkcnMvZTJvRG9jLnhtbFBL&#10;BQYAAAAABgAGAFkBAADFBQAAAAA=&#10;">
              <v:fill on="f" focussize="0,0"/>
              <v:stroke on="f" weight="0.5pt"/>
              <v:imagedata o:title=""/>
              <o:lock v:ext="edit" aspectratio="f"/>
              <v:textbox inset="0mm,0mm,0mm,0mm" style="mso-fit-shape-to-text:t;">
                <w:txbxContent>
                  <w:p w14:paraId="2BEFDF29">
                    <w:pPr>
                      <w:pStyle w:val="15"/>
                    </w:pPr>
                    <w:r>
                      <w:fldChar w:fldCharType="begin"/>
                    </w:r>
                    <w:r>
                      <w:instrText xml:space="preserve"> PAGE  \* MERGEFORMAT </w:instrText>
                    </w:r>
                    <w:r>
                      <w:fldChar w:fldCharType="separate"/>
                    </w:r>
                    <w:r>
                      <w:t>105</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3383C5">
    <w:pPr>
      <w:spacing w:line="220"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A73B26">
                          <w:pPr>
                            <w:pStyle w:val="15"/>
                          </w:pPr>
                          <w:r>
                            <w:fldChar w:fldCharType="begin"/>
                          </w:r>
                          <w:r>
                            <w:instrText xml:space="preserve"> PAGE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EU6gzAgAAZ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Eyo0QzhZJfvn+7&#10;/Ph1+fmVxENI1Fi/QOSDRWxo35oW4cO5x2Fk3pZOxS84Efgh8PkqsGgD4fHSfDqfj+Hi8A0b4GeP&#10;163z4Z0wikQjpw4VTMKy086HLnQIidm02dZSpipKTZqczl6/GacLVw/ApUaOSKJ7bLRCu297ZntT&#10;nEHMma47vOXbGsl3zId75tAOeDAGJtxhKaVBEtNblFTGffnXeYxHleClpEF75VRjmiiR7zWqB8Aw&#10;GG4w9oOhj+rWoF8nGETLk4kLLsjBLJ1RnzFF65gDLqY5MuU0DOZt6FocU8jFep2CjtbVh6q7gN6z&#10;LOz0g+UxTRTS2/UxQMykcRSoU6XXDd2XqtRPSmzvP/cp6vHvsP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BEU6gzAgAAZQQAAA4AAAAAAAAAAQAgAAAAHwEAAGRycy9lMm9Eb2MueG1sUEsF&#10;BgAAAAAGAAYAWQEAAMQFAAAAAA==&#10;">
              <v:fill on="f" focussize="0,0"/>
              <v:stroke on="f" weight="0.5pt"/>
              <v:imagedata o:title=""/>
              <o:lock v:ext="edit" aspectratio="f"/>
              <v:textbox inset="0mm,0mm,0mm,0mm" style="mso-fit-shape-to-text:t;">
                <w:txbxContent>
                  <w:p w14:paraId="5FA73B26">
                    <w:pPr>
                      <w:pStyle w:val="15"/>
                    </w:pPr>
                    <w:r>
                      <w:fldChar w:fldCharType="begin"/>
                    </w:r>
                    <w:r>
                      <w:instrText xml:space="preserve"> PAGE  \* MERGEFORMAT </w:instrText>
                    </w:r>
                    <w:r>
                      <w:fldChar w:fldCharType="separate"/>
                    </w:r>
                    <w:r>
                      <w:t>105</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51DA59">
    <w:pPr>
      <w:spacing w:line="220"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9" name="文本框 1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97EC99">
                          <w:pPr>
                            <w:pStyle w:val="15"/>
                          </w:pPr>
                          <w:r>
                            <w:fldChar w:fldCharType="begin"/>
                          </w:r>
                          <w:r>
                            <w:instrText xml:space="preserve"> PAGE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2Lu/Y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8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9i7v2NAIAAGUEAAAOAAAAAAAAAAEAIAAAAB8BAABkcnMvZTJvRG9jLnhtbFBL&#10;BQYAAAAABgAGAFkBAADFBQAAAAA=&#10;">
              <v:fill on="f" focussize="0,0"/>
              <v:stroke on="f" weight="0.5pt"/>
              <v:imagedata o:title=""/>
              <o:lock v:ext="edit" aspectratio="f"/>
              <v:textbox inset="0mm,0mm,0mm,0mm" style="mso-fit-shape-to-text:t;">
                <w:txbxContent>
                  <w:p w14:paraId="2497EC99">
                    <w:pPr>
                      <w:pStyle w:val="15"/>
                    </w:pPr>
                    <w:r>
                      <w:fldChar w:fldCharType="begin"/>
                    </w:r>
                    <w:r>
                      <w:instrText xml:space="preserve"> PAGE  \* MERGEFORMAT </w:instrText>
                    </w:r>
                    <w:r>
                      <w:fldChar w:fldCharType="separate"/>
                    </w:r>
                    <w:r>
                      <w:t>105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13B63">
    <w:pPr>
      <w:spacing w:line="223" w:lineRule="auto"/>
      <w:jc w:val="center"/>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FBF27C">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1EFBF27C">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232D43">
    <w:pPr>
      <w:spacing w:line="220"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0" name="文本框 1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9F69C7">
                          <w:pPr>
                            <w:pStyle w:val="15"/>
                          </w:pPr>
                          <w:r>
                            <w:fldChar w:fldCharType="begin"/>
                          </w:r>
                          <w:r>
                            <w:instrText xml:space="preserve"> PAGE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tg+E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va2D4TICAABlBAAADgAAAAAAAAABACAAAAAfAQAAZHJzL2Uyb0RvYy54bWxQSwUG&#10;AAAAAAYABgBZAQAAwwUAAAAA&#10;">
              <v:fill on="f" focussize="0,0"/>
              <v:stroke on="f" weight="0.5pt"/>
              <v:imagedata o:title=""/>
              <o:lock v:ext="edit" aspectratio="f"/>
              <v:textbox inset="0mm,0mm,0mm,0mm" style="mso-fit-shape-to-text:t;">
                <w:txbxContent>
                  <w:p w14:paraId="219F69C7">
                    <w:pPr>
                      <w:pStyle w:val="15"/>
                    </w:pPr>
                    <w:r>
                      <w:fldChar w:fldCharType="begin"/>
                    </w:r>
                    <w:r>
                      <w:instrText xml:space="preserve"> PAGE  \* MERGEFORMAT </w:instrText>
                    </w:r>
                    <w:r>
                      <w:fldChar w:fldCharType="separate"/>
                    </w:r>
                    <w:r>
                      <w:t>105</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3032FE">
    <w:pPr>
      <w:spacing w:line="220" w:lineRule="auto"/>
      <w:ind w:left="718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05EFA8">
                          <w:pPr>
                            <w:pStyle w:val="15"/>
                          </w:pPr>
                          <w:r>
                            <w:fldChar w:fldCharType="begin"/>
                          </w:r>
                          <w:r>
                            <w:instrText xml:space="preserve"> PAGE  \* MERGEFORMAT </w:instrText>
                          </w:r>
                          <w:r>
                            <w:fldChar w:fldCharType="separate"/>
                          </w:r>
                          <w:r>
                            <w:t>156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L3o+8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wpMUyj4pfv3y4/&#10;fl1+fiU4g0C1C3PE7RwiY/PWNmib4TzgMPFuSq/TF4wI/JD3fJVXNJHwdGk2nc3GcHH4hg3ws8fr&#10;zof4TlhNkpFTj/q1srLTNsQudAhJ2YzdSKXaGipDapB4/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gvej7zICAABjBAAADgAAAAAAAAABACAAAAAfAQAAZHJzL2Uyb0RvYy54bWxQSwUG&#10;AAAAAAYABgBZAQAAwwUAAAAA&#10;">
              <v:fill on="f" focussize="0,0"/>
              <v:stroke on="f" weight="0.5pt"/>
              <v:imagedata o:title=""/>
              <o:lock v:ext="edit" aspectratio="f"/>
              <v:textbox inset="0mm,0mm,0mm,0mm" style="mso-fit-shape-to-text:t;">
                <w:txbxContent>
                  <w:p w14:paraId="5405EFA8">
                    <w:pPr>
                      <w:pStyle w:val="15"/>
                    </w:pPr>
                    <w:r>
                      <w:fldChar w:fldCharType="begin"/>
                    </w:r>
                    <w:r>
                      <w:instrText xml:space="preserve"> PAGE  \* MERGEFORMAT </w:instrText>
                    </w:r>
                    <w:r>
                      <w:fldChar w:fldCharType="separate"/>
                    </w:r>
                    <w:r>
                      <w:t>156</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15DA93">
    <w:pPr>
      <w:spacing w:line="220" w:lineRule="auto"/>
      <w:ind w:left="718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7" name="文本框 1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181BF7">
                          <w:pPr>
                            <w:pStyle w:val="15"/>
                          </w:pPr>
                          <w:r>
                            <w:fldChar w:fldCharType="begin"/>
                          </w:r>
                          <w:r>
                            <w:instrText xml:space="preserve"> PAGE  \* MERGEFORMAT </w:instrText>
                          </w:r>
                          <w:r>
                            <w:fldChar w:fldCharType="separate"/>
                          </w:r>
                          <w:r>
                            <w:t>156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v4zTQ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8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b+M00NAIAAGUEAAAOAAAAAAAAAAEAIAAAAB8BAABkcnMvZTJvRG9jLnhtbFBL&#10;BQYAAAAABgAGAFkBAADFBQAAAAA=&#10;">
              <v:fill on="f" focussize="0,0"/>
              <v:stroke on="f" weight="0.5pt"/>
              <v:imagedata o:title=""/>
              <o:lock v:ext="edit" aspectratio="f"/>
              <v:textbox inset="0mm,0mm,0mm,0mm" style="mso-fit-shape-to-text:t;">
                <w:txbxContent>
                  <w:p w14:paraId="71181BF7">
                    <w:pPr>
                      <w:pStyle w:val="15"/>
                    </w:pPr>
                    <w:r>
                      <w:fldChar w:fldCharType="begin"/>
                    </w:r>
                    <w:r>
                      <w:instrText xml:space="preserve"> PAGE  \* MERGEFORMAT </w:instrText>
                    </w:r>
                    <w:r>
                      <w:fldChar w:fldCharType="separate"/>
                    </w:r>
                    <w:r>
                      <w:t>156</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FAEC4C">
    <w:pPr>
      <w:spacing w:line="220" w:lineRule="auto"/>
      <w:ind w:left="460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48A6DE">
                          <w:pPr>
                            <w:pStyle w:val="15"/>
                          </w:pPr>
                          <w:r>
                            <w:fldChar w:fldCharType="begin"/>
                          </w:r>
                          <w:r>
                            <w:instrText xml:space="preserve"> PAGE  \* MERGEFORMAT </w:instrText>
                          </w:r>
                          <w:r>
                            <w:fldChar w:fldCharType="separate"/>
                          </w:r>
                          <w:r>
                            <w:t>158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0C48A6DE">
                    <w:pPr>
                      <w:pStyle w:val="15"/>
                    </w:pPr>
                    <w:r>
                      <w:fldChar w:fldCharType="begin"/>
                    </w:r>
                    <w:r>
                      <w:instrText xml:space="preserve"> PAGE  \* MERGEFORMAT </w:instrText>
                    </w:r>
                    <w:r>
                      <w:fldChar w:fldCharType="separate"/>
                    </w:r>
                    <w:r>
                      <w:t>158</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EEA858">
    <w:pPr>
      <w:spacing w:line="220" w:lineRule="auto"/>
      <w:ind w:left="460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1" name="文本框 1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EA6707">
                          <w:pPr>
                            <w:pStyle w:val="15"/>
                          </w:pPr>
                          <w:r>
                            <w:fldChar w:fldCharType="begin"/>
                          </w:r>
                          <w:r>
                            <w:instrText xml:space="preserve"> PAGE  \* MERGEFORMAT </w:instrText>
                          </w:r>
                          <w:r>
                            <w:fldChar w:fldCharType="separate"/>
                          </w:r>
                          <w:r>
                            <w:t>158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YRHX0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4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dfTICAABlBAAADgAAAAAAAAABACAAAAAfAQAAZHJzL2Uyb0RvYy54bWxQSwUG&#10;AAAAAAYABgBZAQAAwwUAAAAA&#10;">
              <v:fill on="f" focussize="0,0"/>
              <v:stroke on="f" weight="0.5pt"/>
              <v:imagedata o:title=""/>
              <o:lock v:ext="edit" aspectratio="f"/>
              <v:textbox inset="0mm,0mm,0mm,0mm" style="mso-fit-shape-to-text:t;">
                <w:txbxContent>
                  <w:p w14:paraId="1EEA6707">
                    <w:pPr>
                      <w:pStyle w:val="15"/>
                    </w:pPr>
                    <w:r>
                      <w:fldChar w:fldCharType="begin"/>
                    </w:r>
                    <w:r>
                      <w:instrText xml:space="preserve"> PAGE  \* MERGEFORMAT </w:instrText>
                    </w:r>
                    <w:r>
                      <w:fldChar w:fldCharType="separate"/>
                    </w:r>
                    <w:r>
                      <w:t>158</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62A38">
    <w:pPr>
      <w:spacing w:line="220" w:lineRule="auto"/>
      <w:ind w:left="7029"/>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2B07A">
                          <w:pPr>
                            <w:pStyle w:val="15"/>
                          </w:pPr>
                          <w:r>
                            <w:fldChar w:fldCharType="begin"/>
                          </w:r>
                          <w:r>
                            <w:instrText xml:space="preserve"> PAGE  \* MERGEFORMAT </w:instrText>
                          </w:r>
                          <w:r>
                            <w:fldChar w:fldCharType="separate"/>
                          </w:r>
                          <w:r>
                            <w:t>209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1gw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rK0o0U6j4+cf3&#10;88/f51/fCM4gUGP9HHEPFpGhfWdatM1w7nEYebelU/ELRgR+yHu6yCvaQHi8NJvOZmO4OHzDBvjZ&#10;03XrfHgvjCLRyKlD/ZKs7Lj1oQsdQmI2bTa1lKmGUpMGJN5ejdOFiwfgUiNHJNE9Nlqh3bU9s50p&#10;TiDmTNcb3vJNjeRb5sM9c2gGPBjjEu6wlNIgiektSirjvv7rPMajRvBS0qC5cqoxS5TIDxq1A2AY&#10;DDcYu8HQB3Vr0K0TjKHlycQFF+Rgls6oL5ihVcwBF9McmXIaBvM2dA2OGeRitUpBB+vqfdVdQOdZ&#10;Frb6wfKYJgrp7eoQIGbSOArUqdLrht5LVernJDb3n/sU9fRvWD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1gwzAgAAYwQAAA4AAAAAAAAAAQAgAAAAHwEAAGRycy9lMm9Eb2MueG1sUEsF&#10;BgAAAAAGAAYAWQEAAMQFAAAAAA==&#10;">
              <v:fill on="f" focussize="0,0"/>
              <v:stroke on="f" weight="0.5pt"/>
              <v:imagedata o:title=""/>
              <o:lock v:ext="edit" aspectratio="f"/>
              <v:textbox inset="0mm,0mm,0mm,0mm" style="mso-fit-shape-to-text:t;">
                <w:txbxContent>
                  <w:p w14:paraId="0DA2B07A">
                    <w:pPr>
                      <w:pStyle w:val="15"/>
                    </w:pPr>
                    <w:r>
                      <w:fldChar w:fldCharType="begin"/>
                    </w:r>
                    <w:r>
                      <w:instrText xml:space="preserve"> PAGE  \* MERGEFORMAT </w:instrText>
                    </w:r>
                    <w:r>
                      <w:fldChar w:fldCharType="separate"/>
                    </w:r>
                    <w:r>
                      <w:t>209</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A3F131">
    <w:pPr>
      <w:spacing w:line="223" w:lineRule="auto"/>
      <w:ind w:left="452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D96F98">
                          <w:pPr>
                            <w:pStyle w:val="1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14D96F98">
                    <w:pPr>
                      <w:pStyle w:val="15"/>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8ED45">
    <w:pPr>
      <w:spacing w:line="223" w:lineRule="auto"/>
      <w:ind w:left="462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A8B3A1">
                          <w:pPr>
                            <w:pStyle w:val="15"/>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6BA8B3A1">
                    <w:pPr>
                      <w:pStyle w:val="15"/>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908E4B">
    <w:pPr>
      <w:spacing w:line="223" w:lineRule="auto"/>
      <w:ind w:left="721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244A03">
                          <w:pPr>
                            <w:pStyle w:val="15"/>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01244A03">
                    <w:pPr>
                      <w:pStyle w:val="15"/>
                    </w:pPr>
                    <w:r>
                      <w:fldChar w:fldCharType="begin"/>
                    </w:r>
                    <w:r>
                      <w:instrText xml:space="preserve"> PAGE  \* MERGEFORMAT </w:instrText>
                    </w:r>
                    <w:r>
                      <w:fldChar w:fldCharType="separate"/>
                    </w:r>
                    <w:r>
                      <w:t>19</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EBA23">
    <w:pPr>
      <w:spacing w:line="223" w:lineRule="auto"/>
      <w:ind w:left="721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612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B1C31D">
                          <w:pPr>
                            <w:pStyle w:val="15"/>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61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1B1C31D">
                    <w:pPr>
                      <w:pStyle w:val="15"/>
                    </w:pPr>
                    <w:r>
                      <w:fldChar w:fldCharType="begin"/>
                    </w:r>
                    <w:r>
                      <w:instrText xml:space="preserve"> PAGE  \* MERGEFORMAT </w:instrText>
                    </w:r>
                    <w:r>
                      <w:fldChar w:fldCharType="separate"/>
                    </w:r>
                    <w:r>
                      <w:t>19</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241E6A">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49D42">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14:paraId="79F49D42">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08AF3">
    <w:pPr>
      <w:spacing w:line="220" w:lineRule="auto"/>
      <w:ind w:left="4613"/>
      <w:rPr>
        <w:rFonts w:ascii="Times New Roman" w:hAnsi="Times New Roman" w:eastAsia="Times New Roman" w:cs="Times New Roman"/>
        <w:sz w:val="18"/>
        <w:szCs w:val="18"/>
      </w:rPr>
    </w:pPr>
  </w:p>
  <w:p w14:paraId="6F9D906C">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B16E36">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XMCLg0AgAAZQ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CnXB1TYlhGiU/f/92&#10;/vHr/PMrSYeQqHZhjshHh9jYvLUNwofzgMPEvCm9Tl9wIvBD4NNFYNFEwtOl2XQ2G8PF4Rs2wM+e&#10;rjsf4jthNUlGTj0q2ArLjtsQu9AhJGUzdiOVaquoDKlzenN1PW4vXDwAVwY5EonuscmKza7pme1s&#10;cQIxb7vuCI5vJJJvWYgPzKMd8GAMTLzHUiqLJLa3KKms//Kv8xSPKsFLSY32yqnBNFGi3htUD4Bx&#10;MPxg7AbDHPSdRb9OMIiOtyYu+KgGs/RWf8YUrVIOuJjhyJTTOJh3sWtxTCEXq1UbdHBe7qvuAnrP&#10;sbg1j46nNEnI4FaHCDFbjZNAnSq9bui+tkr9pKT2/nPfRj39HZ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VzAi4NAIAAGUEAAAOAAAAAAAAAAEAIAAAAB8BAABkcnMvZTJvRG9jLnhtbFBL&#10;BQYAAAAABgAGAFkBAADFBQAAAAA=&#10;">
              <v:fill on="f" focussize="0,0"/>
              <v:stroke on="f" weight="0.5pt"/>
              <v:imagedata o:title=""/>
              <o:lock v:ext="edit" aspectratio="f"/>
              <v:textbox inset="0mm,0mm,0mm,0mm" style="mso-fit-shape-to-text:t;">
                <w:txbxContent>
                  <w:p w14:paraId="6EB16E36">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8BA42">
    <w:pPr>
      <w:spacing w:line="220" w:lineRule="auto"/>
      <w:ind w:left="4613"/>
      <w:rPr>
        <w:rFonts w:ascii="Times New Roman" w:hAnsi="Times New Roman" w:eastAsia="Times New Roman" w:cs="Times New Roman"/>
        <w:sz w:val="18"/>
        <w:szCs w:val="18"/>
      </w:rPr>
    </w:pPr>
  </w:p>
  <w:p w14:paraId="3EF8083F">
    <w:pPr>
      <w:spacing w:line="220" w:lineRule="auto"/>
      <w:ind w:left="461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65985E">
                          <w:pPr>
                            <w:pStyle w:val="15"/>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kO2sY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NlB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kO2sYzAgAAZQQAAA4AAAAAAAAAAQAgAAAAHwEAAGRycy9lMm9Eb2MueG1sUEsF&#10;BgAAAAAGAAYAWQEAAMQFAAAAAA==&#10;">
              <v:fill on="f" focussize="0,0"/>
              <v:stroke on="f" weight="0.5pt"/>
              <v:imagedata o:title=""/>
              <o:lock v:ext="edit" aspectratio="f"/>
              <v:textbox inset="0mm,0mm,0mm,0mm" style="mso-fit-shape-to-text:t;">
                <w:txbxContent>
                  <w:p w14:paraId="2E65985E">
                    <w:pPr>
                      <w:pStyle w:val="15"/>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378B93">
    <w:pPr>
      <w:pStyle w:val="16"/>
      <w:pBdr>
        <w:bottom w:val="single" w:color="auto" w:sz="4" w:space="1"/>
      </w:pBdr>
    </w:pPr>
  </w:p>
  <w:p w14:paraId="71FB21AD">
    <w:pPr>
      <w:pStyle w:val="16"/>
      <w:pBdr>
        <w:bottom w:val="single" w:color="auto" w:sz="4" w:space="1"/>
      </w:pBdr>
    </w:pPr>
  </w:p>
  <w:p w14:paraId="69E7618C">
    <w:pPr>
      <w:pStyle w:val="16"/>
      <w:pBdr>
        <w:bottom w:val="single" w:color="auto" w:sz="4" w:space="1"/>
      </w:pBdr>
    </w:pPr>
  </w:p>
  <w:p w14:paraId="777A7145">
    <w:pPr>
      <w:pStyle w:val="16"/>
      <w:pBdr>
        <w:bottom w:val="single" w:color="auto" w:sz="4" w:space="1"/>
      </w:pBdr>
    </w:pPr>
  </w:p>
  <w:p w14:paraId="437B7498">
    <w:pPr>
      <w:pStyle w:val="16"/>
      <w:pBdr>
        <w:bottom w:val="single" w:color="auto" w:sz="4" w:space="1"/>
      </w:pBdr>
    </w:pPr>
  </w:p>
  <w:p w14:paraId="02B3F3FB">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6FF8C9">
    <w:pPr>
      <w:pStyle w:val="16"/>
      <w:pBdr>
        <w:bottom w:val="single" w:color="auto" w:sz="4" w:space="1"/>
      </w:pBdr>
      <w:jc w:val="center"/>
      <w:rPr>
        <w:rFonts w:hint="eastAsia" w:eastAsia="宋体"/>
        <w:sz w:val="21"/>
        <w:szCs w:val="21"/>
        <w:lang w:val="en-US" w:eastAsia="zh-CN"/>
      </w:rPr>
    </w:pPr>
  </w:p>
  <w:p w14:paraId="414454F6">
    <w:pPr>
      <w:pStyle w:val="16"/>
      <w:pBdr>
        <w:bottom w:val="single" w:color="auto" w:sz="4" w:space="1"/>
      </w:pBdr>
      <w:jc w:val="center"/>
      <w:rPr>
        <w:rFonts w:hint="eastAsia" w:eastAsia="宋体"/>
        <w:sz w:val="21"/>
        <w:szCs w:val="21"/>
        <w:lang w:val="en-US" w:eastAsia="zh-CN"/>
      </w:rPr>
    </w:pPr>
  </w:p>
  <w:p w14:paraId="3894D83E">
    <w:pPr>
      <w:pStyle w:val="16"/>
      <w:pBdr>
        <w:bottom w:val="single" w:color="auto" w:sz="4" w:space="1"/>
      </w:pBdr>
      <w:jc w:val="center"/>
      <w:rPr>
        <w:rFonts w:hint="eastAsia" w:eastAsia="宋体"/>
        <w:sz w:val="21"/>
        <w:szCs w:val="21"/>
        <w:lang w:val="en-US" w:eastAsia="zh-CN"/>
      </w:rPr>
    </w:pPr>
  </w:p>
  <w:p w14:paraId="5D2BBC9B">
    <w:pPr>
      <w:pStyle w:val="16"/>
      <w:pBdr>
        <w:bottom w:val="single" w:color="auto" w:sz="4" w:space="1"/>
      </w:pBdr>
      <w:jc w:val="center"/>
      <w:rPr>
        <w:rFonts w:hint="eastAsia" w:eastAsia="宋体"/>
        <w:sz w:val="21"/>
        <w:szCs w:val="21"/>
        <w:lang w:val="en-US" w:eastAsia="zh-CN"/>
      </w:rPr>
    </w:pPr>
  </w:p>
  <w:p w14:paraId="60C62623">
    <w:pPr>
      <w:pStyle w:val="16"/>
      <w:pBdr>
        <w:bottom w:val="single" w:color="auto" w:sz="4" w:space="1"/>
      </w:pBdr>
      <w:jc w:val="center"/>
      <w:rPr>
        <w:rFonts w:hint="eastAsia" w:eastAsia="宋体"/>
        <w:sz w:val="21"/>
        <w:szCs w:val="21"/>
        <w:lang w:val="en-US" w:eastAsia="zh-CN"/>
      </w:rPr>
    </w:pPr>
  </w:p>
  <w:p w14:paraId="2A6A7276">
    <w:pPr>
      <w:pStyle w:val="16"/>
      <w:pBdr>
        <w:bottom w:val="single" w:color="auto" w:sz="4" w:space="1"/>
      </w:pBdr>
      <w:jc w:val="center"/>
      <w:rPr>
        <w:rFonts w:hint="eastAsia" w:eastAsia="宋体"/>
        <w:sz w:val="21"/>
        <w:szCs w:val="21"/>
        <w:lang w:val="en-US" w:eastAsia="zh-CN"/>
      </w:rPr>
    </w:pPr>
  </w:p>
  <w:p w14:paraId="30A361E3">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A4BC89">
    <w:pPr>
      <w:pStyle w:val="16"/>
      <w:pBdr>
        <w:bottom w:val="single" w:color="auto" w:sz="4" w:space="1"/>
      </w:pBdr>
      <w:jc w:val="center"/>
      <w:rPr>
        <w:rFonts w:hint="eastAsia" w:eastAsia="宋体"/>
        <w:sz w:val="21"/>
        <w:szCs w:val="21"/>
        <w:lang w:val="en-US" w:eastAsia="zh-CN"/>
      </w:rPr>
    </w:pPr>
  </w:p>
  <w:p w14:paraId="6950B318">
    <w:pPr>
      <w:pStyle w:val="16"/>
      <w:pBdr>
        <w:bottom w:val="single" w:color="auto" w:sz="4" w:space="1"/>
      </w:pBdr>
      <w:jc w:val="center"/>
      <w:rPr>
        <w:rFonts w:hint="eastAsia" w:eastAsia="宋体"/>
        <w:sz w:val="21"/>
        <w:szCs w:val="21"/>
        <w:lang w:val="en-US" w:eastAsia="zh-CN"/>
      </w:rPr>
    </w:pPr>
  </w:p>
  <w:p w14:paraId="3911B296">
    <w:pPr>
      <w:pStyle w:val="16"/>
      <w:pBdr>
        <w:bottom w:val="single" w:color="auto" w:sz="4" w:space="1"/>
      </w:pBdr>
      <w:jc w:val="center"/>
      <w:rPr>
        <w:rFonts w:hint="eastAsia" w:eastAsia="宋体"/>
        <w:sz w:val="21"/>
        <w:szCs w:val="21"/>
        <w:lang w:val="en-US" w:eastAsia="zh-CN"/>
      </w:rPr>
    </w:pPr>
  </w:p>
  <w:p w14:paraId="726E9F5C">
    <w:pPr>
      <w:pStyle w:val="16"/>
      <w:pBdr>
        <w:bottom w:val="single" w:color="auto" w:sz="4" w:space="1"/>
      </w:pBdr>
      <w:jc w:val="center"/>
      <w:rPr>
        <w:rFonts w:hint="eastAsia" w:eastAsia="宋体"/>
        <w:sz w:val="21"/>
        <w:szCs w:val="21"/>
        <w:lang w:val="en-US" w:eastAsia="zh-CN"/>
      </w:rPr>
    </w:pPr>
  </w:p>
  <w:p w14:paraId="32EF325C">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54177E">
    <w:pPr>
      <w:pStyle w:val="16"/>
      <w:pBdr>
        <w:bottom w:val="single" w:color="auto" w:sz="4" w:space="1"/>
      </w:pBdr>
    </w:pPr>
  </w:p>
  <w:p w14:paraId="6AFCA9B5">
    <w:pPr>
      <w:pStyle w:val="16"/>
      <w:pBdr>
        <w:bottom w:val="single" w:color="auto" w:sz="4" w:space="1"/>
      </w:pBdr>
    </w:pPr>
  </w:p>
  <w:p w14:paraId="15E99C9A">
    <w:pPr>
      <w:pStyle w:val="16"/>
      <w:pBdr>
        <w:bottom w:val="single" w:color="auto" w:sz="4" w:space="1"/>
      </w:pBdr>
    </w:pPr>
  </w:p>
  <w:p w14:paraId="60B857CD">
    <w:pPr>
      <w:pStyle w:val="16"/>
      <w:pBdr>
        <w:bottom w:val="single" w:color="auto" w:sz="4" w:space="1"/>
      </w:pBdr>
    </w:pPr>
  </w:p>
  <w:p w14:paraId="505670C8">
    <w:pPr>
      <w:pStyle w:val="16"/>
      <w:pBdr>
        <w:bottom w:val="single" w:color="auto" w:sz="4" w:space="1"/>
      </w:pBdr>
    </w:pPr>
  </w:p>
  <w:p w14:paraId="6ABA7DB5">
    <w:pPr>
      <w:pStyle w:val="16"/>
      <w:pBdr>
        <w:bottom w:val="single" w:color="auto" w:sz="4" w:space="1"/>
      </w:pBdr>
    </w:pPr>
  </w:p>
  <w:p w14:paraId="74DF9CEA">
    <w:pPr>
      <w:pStyle w:val="16"/>
      <w:pBdr>
        <w:bottom w:val="single" w:color="auto" w:sz="4" w:space="1"/>
      </w:pBdr>
    </w:pPr>
  </w:p>
  <w:p w14:paraId="6D14BF9D">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72D36">
    <w:pPr>
      <w:pStyle w:val="16"/>
      <w:pBdr>
        <w:bottom w:val="single" w:color="auto" w:sz="4" w:space="1"/>
      </w:pBdr>
    </w:pPr>
  </w:p>
  <w:p w14:paraId="4E47F78A">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8FC14C">
    <w:pPr>
      <w:rPr>
        <w:rFonts w:hint="eastAsia"/>
        <w:lang w:val="en-US" w:eastAsia="zh-CN"/>
      </w:rPr>
    </w:pPr>
  </w:p>
  <w:p w14:paraId="71CDB928">
    <w:pPr>
      <w:rPr>
        <w:rFonts w:hint="eastAsia"/>
        <w:lang w:val="en-US" w:eastAsia="zh-CN"/>
      </w:rPr>
    </w:pPr>
  </w:p>
  <w:p w14:paraId="3B21408C">
    <w:pPr>
      <w:rPr>
        <w:rFonts w:hint="eastAsia"/>
        <w:lang w:val="en-US" w:eastAsia="zh-CN"/>
      </w:rPr>
    </w:pPr>
  </w:p>
  <w:p w14:paraId="7940C0E9">
    <w:pPr>
      <w:rPr>
        <w:rFonts w:hint="eastAsia"/>
        <w:lang w:val="en-US" w:eastAsia="zh-CN"/>
      </w:rPr>
    </w:pPr>
  </w:p>
  <w:p w14:paraId="119D544C">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D3F17F">
    <w:pPr>
      <w:rPr>
        <w:rFonts w:hint="eastAsia"/>
        <w:lang w:val="en-US" w:eastAsia="zh-CN"/>
      </w:rPr>
    </w:pPr>
  </w:p>
  <w:p w14:paraId="002D84DC">
    <w:pPr>
      <w:rPr>
        <w:rFonts w:hint="eastAsia"/>
        <w:lang w:val="en-US" w:eastAsia="zh-CN"/>
      </w:rPr>
    </w:pPr>
  </w:p>
  <w:p w14:paraId="50EC113E">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E36A2C">
    <w:pPr>
      <w:pStyle w:val="16"/>
      <w:pBdr>
        <w:bottom w:val="single" w:color="auto" w:sz="4" w:space="1"/>
      </w:pBdr>
      <w:jc w:val="center"/>
      <w:rPr>
        <w:rFonts w:hint="eastAsia" w:eastAsia="宋体"/>
        <w:sz w:val="21"/>
        <w:szCs w:val="21"/>
        <w:lang w:val="en-US" w:eastAsia="zh-CN"/>
      </w:rPr>
    </w:pPr>
  </w:p>
  <w:p w14:paraId="4B53E802">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EFB40">
    <w:pPr>
      <w:rPr>
        <w:rFonts w:hint="eastAsia"/>
        <w:lang w:val="en-US" w:eastAsia="zh-CN"/>
      </w:rPr>
    </w:pPr>
  </w:p>
  <w:p w14:paraId="4B0CB5C2">
    <w:pPr>
      <w:rPr>
        <w:rFonts w:hint="eastAsia"/>
        <w:lang w:val="en-US" w:eastAsia="zh-CN"/>
      </w:rPr>
    </w:pPr>
  </w:p>
  <w:p w14:paraId="524F939C">
    <w:pPr>
      <w:rPr>
        <w:rFonts w:hint="eastAsia"/>
        <w:lang w:val="en-US" w:eastAsia="zh-CN"/>
      </w:rPr>
    </w:pPr>
  </w:p>
  <w:p w14:paraId="1EB0EC53">
    <w:pPr>
      <w:rPr>
        <w:rFonts w:hint="eastAsia"/>
        <w:lang w:val="en-US" w:eastAsia="zh-CN"/>
      </w:rPr>
    </w:pPr>
  </w:p>
  <w:p w14:paraId="1BE0D687">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40D7E7">
    <w:pPr>
      <w:pStyle w:val="16"/>
      <w:pBdr>
        <w:bottom w:val="single" w:color="auto" w:sz="4" w:space="1"/>
      </w:pBdr>
      <w:jc w:val="center"/>
      <w:rPr>
        <w:rFonts w:hint="eastAsia" w:eastAsia="宋体"/>
        <w:sz w:val="21"/>
        <w:szCs w:val="21"/>
        <w:lang w:val="en-US" w:eastAsia="zh-CN"/>
      </w:rPr>
    </w:pPr>
  </w:p>
  <w:p w14:paraId="0647A762">
    <w:pPr>
      <w:pStyle w:val="16"/>
      <w:pBdr>
        <w:bottom w:val="single" w:color="auto" w:sz="4" w:space="1"/>
      </w:pBdr>
      <w:jc w:val="center"/>
      <w:rPr>
        <w:rFonts w:hint="eastAsia" w:eastAsia="宋体"/>
        <w:sz w:val="21"/>
        <w:szCs w:val="21"/>
        <w:lang w:val="en-US" w:eastAsia="zh-CN"/>
      </w:rPr>
    </w:pPr>
  </w:p>
  <w:p w14:paraId="6A59A682">
    <w:pPr>
      <w:pStyle w:val="16"/>
      <w:pBdr>
        <w:bottom w:val="single" w:color="auto" w:sz="4" w:space="1"/>
      </w:pBdr>
      <w:jc w:val="center"/>
      <w:rPr>
        <w:rFonts w:hint="eastAsia" w:eastAsia="宋体"/>
        <w:sz w:val="21"/>
        <w:szCs w:val="21"/>
        <w:lang w:val="en-US" w:eastAsia="zh-CN"/>
      </w:rPr>
    </w:pPr>
  </w:p>
  <w:p w14:paraId="5B0DB641">
    <w:pPr>
      <w:pStyle w:val="16"/>
      <w:pBdr>
        <w:bottom w:val="single" w:color="auto" w:sz="4" w:space="1"/>
      </w:pBdr>
      <w:jc w:val="center"/>
      <w:rPr>
        <w:rFonts w:hint="eastAsia" w:eastAsia="宋体"/>
        <w:sz w:val="21"/>
        <w:szCs w:val="21"/>
        <w:lang w:val="en-US" w:eastAsia="zh-CN"/>
      </w:rPr>
    </w:pPr>
  </w:p>
  <w:p w14:paraId="61E65A87">
    <w:pPr>
      <w:pStyle w:val="16"/>
      <w:pBdr>
        <w:bottom w:val="single" w:color="auto" w:sz="4" w:space="1"/>
      </w:pBdr>
      <w:jc w:val="center"/>
      <w:rPr>
        <w:rFonts w:hint="eastAsia" w:eastAsia="宋体"/>
        <w:sz w:val="21"/>
        <w:szCs w:val="21"/>
        <w:lang w:val="en-US" w:eastAsia="zh-CN"/>
      </w:rPr>
    </w:pPr>
  </w:p>
  <w:p w14:paraId="0A214421">
    <w:pPr>
      <w:pStyle w:val="16"/>
      <w:pBdr>
        <w:bottom w:val="single" w:color="auto" w:sz="4" w:space="1"/>
      </w:pBdr>
      <w:jc w:val="center"/>
      <w:rPr>
        <w:rFonts w:hint="eastAsia" w:eastAsia="宋体"/>
        <w:sz w:val="21"/>
        <w:szCs w:val="21"/>
        <w:lang w:val="en-US" w:eastAsia="zh-CN"/>
      </w:rPr>
    </w:pPr>
  </w:p>
  <w:p w14:paraId="1FE75185">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4E0ACA">
    <w:pPr>
      <w:pStyle w:val="16"/>
      <w:pBdr>
        <w:bottom w:val="single" w:color="auto" w:sz="4" w:space="1"/>
      </w:pBdr>
      <w:jc w:val="center"/>
      <w:rPr>
        <w:rFonts w:hint="eastAsia" w:eastAsia="宋体"/>
        <w:sz w:val="21"/>
        <w:szCs w:val="21"/>
        <w:lang w:val="en-US" w:eastAsia="zh-CN"/>
      </w:rPr>
    </w:pPr>
  </w:p>
  <w:p w14:paraId="08EB3E02">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3B7E20">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986650">
    <w:pPr>
      <w:pStyle w:val="11"/>
    </w:pPr>
  </w:p>
  <w:p w14:paraId="17B28692">
    <w:pPr>
      <w:pStyle w:val="32"/>
    </w:pPr>
  </w:p>
  <w:p w14:paraId="566579A1">
    <w:pPr>
      <w:pStyle w:val="33"/>
    </w:pPr>
  </w:p>
  <w:p w14:paraId="6842557F">
    <w:pPr>
      <w:pStyle w:val="11"/>
    </w:pPr>
  </w:p>
  <w:p w14:paraId="1D4BA633">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5CF5B2">
    <w:pPr>
      <w:pStyle w:val="16"/>
      <w:pBdr>
        <w:bottom w:val="single" w:color="auto" w:sz="4" w:space="1"/>
      </w:pBdr>
      <w:jc w:val="both"/>
      <w:rPr>
        <w:rFonts w:hint="eastAsia" w:eastAsia="宋体"/>
        <w:sz w:val="21"/>
        <w:szCs w:val="21"/>
        <w:lang w:val="en-US" w:eastAsia="zh-CN"/>
      </w:rPr>
    </w:pPr>
  </w:p>
  <w:p w14:paraId="2F08B326">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6AA95">
    <w:pPr>
      <w:rPr>
        <w:rFonts w:hint="eastAsia" w:eastAsia="宋体"/>
        <w:sz w:val="21"/>
        <w:szCs w:val="21"/>
        <w:lang w:val="en-US" w:eastAsia="zh-CN"/>
      </w:rPr>
    </w:pPr>
  </w:p>
  <w:p w14:paraId="73F9EF67">
    <w:pPr>
      <w:rPr>
        <w:rFonts w:hint="eastAsia" w:eastAsia="宋体"/>
        <w:sz w:val="21"/>
        <w:szCs w:val="21"/>
        <w:lang w:val="en-US" w:eastAsia="zh-CN"/>
      </w:rPr>
    </w:pPr>
  </w:p>
  <w:p w14:paraId="2B7871BB">
    <w:pPr>
      <w:rPr>
        <w:rFonts w:hint="eastAsia" w:eastAsia="宋体"/>
        <w:sz w:val="21"/>
        <w:szCs w:val="21"/>
        <w:lang w:val="en-US" w:eastAsia="zh-CN"/>
      </w:rPr>
    </w:pPr>
  </w:p>
  <w:p w14:paraId="07CDA0E6">
    <w:pPr>
      <w:rPr>
        <w:rFonts w:hint="eastAsia" w:eastAsia="宋体"/>
        <w:sz w:val="21"/>
        <w:szCs w:val="21"/>
        <w:lang w:val="en-US" w:eastAsia="zh-CN"/>
      </w:rPr>
    </w:pPr>
  </w:p>
  <w:p w14:paraId="07D8ED40">
    <w:pPr>
      <w:rPr>
        <w:rFonts w:hint="eastAsia" w:eastAsia="宋体"/>
        <w:sz w:val="21"/>
        <w:szCs w:val="21"/>
        <w:lang w:val="en-US" w:eastAsia="zh-CN"/>
      </w:rPr>
    </w:pPr>
  </w:p>
  <w:p w14:paraId="08814054">
    <w:pPr>
      <w:rPr>
        <w:rFonts w:hint="eastAsia" w:eastAsia="宋体"/>
        <w:sz w:val="21"/>
        <w:szCs w:val="21"/>
        <w:lang w:val="en-US" w:eastAsia="zh-CN"/>
      </w:rPr>
    </w:pPr>
  </w:p>
  <w:p w14:paraId="091201B7">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4DBB9">
    <w:pPr>
      <w:rPr>
        <w:rFonts w:hint="eastAsia" w:eastAsia="宋体"/>
        <w:sz w:val="21"/>
        <w:szCs w:val="21"/>
        <w:lang w:val="en-US" w:eastAsia="zh-CN"/>
      </w:rPr>
    </w:pPr>
  </w:p>
  <w:p w14:paraId="73A8ACD1">
    <w:pPr>
      <w:rPr>
        <w:rFonts w:hint="eastAsia" w:eastAsia="宋体"/>
        <w:sz w:val="21"/>
        <w:szCs w:val="21"/>
        <w:lang w:val="en-US" w:eastAsia="zh-CN"/>
      </w:rPr>
    </w:pPr>
  </w:p>
  <w:p w14:paraId="00197689">
    <w:pPr>
      <w:rPr>
        <w:rFonts w:hint="eastAsia" w:eastAsia="宋体"/>
        <w:sz w:val="21"/>
        <w:szCs w:val="21"/>
        <w:lang w:val="en-US" w:eastAsia="zh-CN"/>
      </w:rPr>
    </w:pPr>
  </w:p>
  <w:p w14:paraId="2FCA6D87">
    <w:pPr>
      <w:rPr>
        <w:rFonts w:hint="eastAsia" w:eastAsia="宋体"/>
        <w:sz w:val="21"/>
        <w:szCs w:val="21"/>
        <w:lang w:val="en-US" w:eastAsia="zh-CN"/>
      </w:rPr>
    </w:pPr>
  </w:p>
  <w:p w14:paraId="68FBAF07">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53087">
    <w:pPr>
      <w:pStyle w:val="17"/>
      <w:ind w:left="0" w:leftChars="0" w:firstLine="0" w:firstLineChars="0"/>
    </w:pPr>
  </w:p>
  <w:p w14:paraId="69E53A7D">
    <w:pPr>
      <w:pStyle w:val="16"/>
      <w:pBdr>
        <w:bottom w:val="single" w:color="auto" w:sz="4" w:space="1"/>
      </w:pBdr>
    </w:pPr>
  </w:p>
  <w:p w14:paraId="040CB36D">
    <w:pPr>
      <w:pStyle w:val="16"/>
      <w:pBdr>
        <w:bottom w:val="single" w:color="auto" w:sz="4" w:space="1"/>
      </w:pBdr>
    </w:pPr>
  </w:p>
  <w:p w14:paraId="48151D49">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CAF76E">
    <w:pPr>
      <w:pStyle w:val="17"/>
      <w:ind w:left="0" w:leftChars="0" w:firstLine="0" w:firstLineChars="0"/>
    </w:pPr>
  </w:p>
  <w:p w14:paraId="13067EDF">
    <w:pPr>
      <w:tabs>
        <w:tab w:val="left" w:pos="9551"/>
      </w:tabs>
      <w:rPr>
        <w:rFonts w:hint="eastAsia" w:eastAsia="宋体"/>
        <w:lang w:eastAsia="zh-CN"/>
      </w:rPr>
    </w:pPr>
    <w:r>
      <w:rPr>
        <w:rFonts w:hint="eastAsia" w:eastAsia="宋体"/>
        <w:lang w:eastAsia="zh-CN"/>
      </w:rPr>
      <w:tab/>
    </w:r>
  </w:p>
  <w:p w14:paraId="2106C720">
    <w:pPr>
      <w:pStyle w:val="2"/>
    </w:pPr>
  </w:p>
  <w:p w14:paraId="6943DCA9">
    <w:pPr>
      <w:pStyle w:val="16"/>
      <w:pBdr>
        <w:bottom w:val="single" w:color="auto" w:sz="4" w:space="1"/>
      </w:pBdr>
    </w:pPr>
  </w:p>
  <w:p w14:paraId="3B1B2208">
    <w:pPr>
      <w:pStyle w:val="16"/>
      <w:pBdr>
        <w:bottom w:val="single" w:color="auto" w:sz="4" w:space="1"/>
      </w:pBdr>
    </w:pPr>
  </w:p>
  <w:p w14:paraId="639554C6">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AA3224">
    <w:pPr>
      <w:tabs>
        <w:tab w:val="left" w:pos="9551"/>
      </w:tabs>
    </w:pPr>
  </w:p>
  <w:p w14:paraId="1FF6B502">
    <w:pPr>
      <w:pStyle w:val="2"/>
    </w:pPr>
  </w:p>
  <w:p w14:paraId="46C8BF42">
    <w:pPr>
      <w:pStyle w:val="16"/>
      <w:pBdr>
        <w:bottom w:val="single" w:color="auto" w:sz="4" w:space="1"/>
      </w:pBdr>
    </w:pPr>
  </w:p>
  <w:p w14:paraId="6EDF1543">
    <w:pPr>
      <w:pStyle w:val="16"/>
      <w:pBdr>
        <w:bottom w:val="single" w:color="auto" w:sz="4" w:space="1"/>
      </w:pBdr>
    </w:pPr>
  </w:p>
  <w:p w14:paraId="20D21943">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CB203">
    <w:pPr>
      <w:tabs>
        <w:tab w:val="left" w:pos="9551"/>
      </w:tabs>
    </w:pPr>
  </w:p>
  <w:p w14:paraId="294FBBCA">
    <w:pPr>
      <w:pStyle w:val="2"/>
    </w:pPr>
  </w:p>
  <w:p w14:paraId="770E5141">
    <w:pPr>
      <w:pStyle w:val="16"/>
      <w:pBdr>
        <w:bottom w:val="single" w:color="auto" w:sz="4" w:space="1"/>
      </w:pBdr>
    </w:pPr>
  </w:p>
  <w:p w14:paraId="46114B03">
    <w:pPr>
      <w:pStyle w:val="16"/>
      <w:pBdr>
        <w:bottom w:val="single" w:color="auto" w:sz="4" w:space="1"/>
      </w:pBdr>
    </w:pPr>
  </w:p>
  <w:p w14:paraId="2877EA66">
    <w:pPr>
      <w:pStyle w:val="16"/>
      <w:pBdr>
        <w:bottom w:val="single" w:color="auto" w:sz="4" w:space="1"/>
      </w:pBdr>
      <w:jc w:val="center"/>
      <w:rPr>
        <w:rFonts w:hint="eastAsia" w:eastAsia="宋体"/>
        <w:sz w:val="21"/>
        <w:szCs w:val="21"/>
        <w:lang w:val="en-US" w:eastAsia="zh-CN"/>
      </w:rPr>
    </w:pPr>
  </w:p>
  <w:p w14:paraId="108CBE50">
    <w:pPr>
      <w:pStyle w:val="16"/>
      <w:pBdr>
        <w:bottom w:val="single" w:color="auto" w:sz="4" w:space="1"/>
      </w:pBdr>
      <w:jc w:val="center"/>
      <w:rPr>
        <w:rFonts w:hint="eastAsia" w:eastAsia="宋体"/>
        <w:sz w:val="21"/>
        <w:szCs w:val="21"/>
        <w:lang w:val="en-US" w:eastAsia="zh-CN"/>
      </w:rPr>
    </w:pPr>
  </w:p>
  <w:p w14:paraId="0B9B11B4">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51CBAC">
    <w:pPr>
      <w:pStyle w:val="16"/>
      <w:pBdr>
        <w:bottom w:val="single" w:color="auto" w:sz="4" w:space="1"/>
      </w:pBdr>
      <w:jc w:val="center"/>
      <w:rPr>
        <w:rFonts w:hint="eastAsia" w:eastAsia="宋体"/>
        <w:sz w:val="21"/>
        <w:szCs w:val="21"/>
        <w:lang w:val="en-US" w:eastAsia="zh-CN"/>
      </w:rPr>
    </w:pPr>
  </w:p>
  <w:p w14:paraId="587693EF">
    <w:pPr>
      <w:pStyle w:val="16"/>
      <w:pBdr>
        <w:bottom w:val="single" w:color="auto" w:sz="4" w:space="1"/>
      </w:pBdr>
      <w:tabs>
        <w:tab w:val="left" w:pos="7764"/>
      </w:tabs>
      <w:jc w:val="left"/>
      <w:rPr>
        <w:rFonts w:hint="eastAsia" w:eastAsia="宋体"/>
        <w:sz w:val="21"/>
        <w:szCs w:val="21"/>
        <w:lang w:val="en-US" w:eastAsia="zh-CN"/>
      </w:rPr>
    </w:pPr>
    <w:r>
      <w:rPr>
        <w:rFonts w:hint="eastAsia" w:eastAsia="宋体"/>
        <w:sz w:val="21"/>
        <w:szCs w:val="21"/>
        <w:lang w:val="en-US" w:eastAsia="zh-CN"/>
      </w:rPr>
      <w:tab/>
    </w:r>
  </w:p>
  <w:p w14:paraId="258A4990">
    <w:pPr>
      <w:pStyle w:val="16"/>
      <w:pBdr>
        <w:bottom w:val="single" w:color="auto" w:sz="4" w:space="1"/>
      </w:pBdr>
      <w:jc w:val="center"/>
      <w:rPr>
        <w:rFonts w:hint="eastAsia" w:eastAsia="宋体"/>
        <w:sz w:val="21"/>
        <w:szCs w:val="21"/>
        <w:lang w:val="en-US" w:eastAsia="zh-CN"/>
      </w:rPr>
    </w:pPr>
  </w:p>
  <w:p w14:paraId="6C83B8ED">
    <w:pPr>
      <w:pStyle w:val="16"/>
      <w:pBdr>
        <w:bottom w:val="single" w:color="auto" w:sz="4" w:space="1"/>
      </w:pBdr>
      <w:jc w:val="center"/>
      <w:rPr>
        <w:rFonts w:hint="eastAsia" w:eastAsia="宋体"/>
        <w:sz w:val="21"/>
        <w:szCs w:val="21"/>
        <w:lang w:val="en-US" w:eastAsia="zh-CN"/>
      </w:rPr>
    </w:pPr>
  </w:p>
  <w:p w14:paraId="71A745AC">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D48807">
    <w:pPr>
      <w:pStyle w:val="16"/>
      <w:pBdr>
        <w:bottom w:val="single" w:color="auto" w:sz="4" w:space="1"/>
      </w:pBdr>
      <w:jc w:val="center"/>
      <w:rPr>
        <w:rFonts w:hint="eastAsia" w:eastAsia="宋体"/>
        <w:sz w:val="21"/>
        <w:szCs w:val="21"/>
        <w:lang w:val="en-US" w:eastAsia="zh-CN"/>
      </w:rPr>
    </w:pPr>
  </w:p>
  <w:p w14:paraId="06A36CF3">
    <w:pPr>
      <w:pStyle w:val="16"/>
      <w:pBdr>
        <w:bottom w:val="single" w:color="auto" w:sz="4" w:space="1"/>
      </w:pBdr>
      <w:jc w:val="center"/>
      <w:rPr>
        <w:rFonts w:hint="eastAsia" w:eastAsia="宋体"/>
        <w:sz w:val="21"/>
        <w:szCs w:val="21"/>
        <w:lang w:val="en-US" w:eastAsia="zh-CN"/>
      </w:rPr>
    </w:pPr>
  </w:p>
  <w:p w14:paraId="0880ED42">
    <w:pPr>
      <w:pStyle w:val="16"/>
      <w:pBdr>
        <w:bottom w:val="single" w:color="auto" w:sz="4" w:space="1"/>
      </w:pBdr>
      <w:jc w:val="center"/>
      <w:rPr>
        <w:rFonts w:hint="eastAsia" w:eastAsia="宋体"/>
        <w:sz w:val="21"/>
        <w:szCs w:val="21"/>
        <w:lang w:val="en-US" w:eastAsia="zh-CN"/>
      </w:rPr>
    </w:pPr>
  </w:p>
  <w:p w14:paraId="41E21670">
    <w:pPr>
      <w:pStyle w:val="16"/>
      <w:pBdr>
        <w:bottom w:val="single" w:color="auto" w:sz="4" w:space="1"/>
      </w:pBdr>
      <w:jc w:val="center"/>
      <w:rPr>
        <w:rFonts w:hint="eastAsia" w:eastAsia="宋体"/>
        <w:sz w:val="21"/>
        <w:szCs w:val="21"/>
        <w:lang w:val="en-US" w:eastAsia="zh-CN"/>
      </w:rPr>
    </w:pPr>
  </w:p>
  <w:p w14:paraId="6E40DD1B">
    <w:pPr>
      <w:pStyle w:val="16"/>
      <w:pBdr>
        <w:bottom w:val="single" w:color="auto" w:sz="4" w:space="1"/>
      </w:pBdr>
      <w:jc w:val="center"/>
      <w:rPr>
        <w:rFonts w:hint="eastAsia" w:eastAsia="宋体"/>
        <w:sz w:val="21"/>
        <w:szCs w:val="21"/>
        <w:lang w:val="en-US" w:eastAsia="zh-CN"/>
      </w:rPr>
    </w:pPr>
  </w:p>
  <w:p w14:paraId="6F964326">
    <w:pPr>
      <w:pStyle w:val="16"/>
      <w:pBdr>
        <w:bottom w:val="single" w:color="auto" w:sz="4" w:space="1"/>
      </w:pBdr>
      <w:jc w:val="center"/>
      <w:rPr>
        <w:rFonts w:hint="eastAsia" w:eastAsia="宋体"/>
        <w:sz w:val="21"/>
        <w:szCs w:val="21"/>
        <w:lang w:val="en-US" w:eastAsia="zh-CN"/>
      </w:rPr>
    </w:pPr>
  </w:p>
  <w:p w14:paraId="76554523">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8ABF99">
    <w:pPr>
      <w:pStyle w:val="16"/>
      <w:pBdr>
        <w:bottom w:val="single" w:color="auto" w:sz="4" w:space="1"/>
      </w:pBdr>
      <w:jc w:val="center"/>
      <w:rPr>
        <w:rFonts w:hint="eastAsia" w:eastAsia="宋体"/>
        <w:sz w:val="21"/>
        <w:szCs w:val="21"/>
        <w:lang w:val="en-US" w:eastAsia="zh-CN"/>
      </w:rPr>
    </w:pPr>
  </w:p>
  <w:p w14:paraId="689982AF">
    <w:pPr>
      <w:pStyle w:val="16"/>
      <w:pBdr>
        <w:bottom w:val="single" w:color="auto" w:sz="4" w:space="1"/>
      </w:pBdr>
      <w:jc w:val="center"/>
      <w:rPr>
        <w:rFonts w:hint="eastAsia" w:eastAsia="宋体"/>
        <w:sz w:val="21"/>
        <w:szCs w:val="21"/>
        <w:lang w:val="en-US" w:eastAsia="zh-CN"/>
      </w:rPr>
    </w:pPr>
  </w:p>
  <w:p w14:paraId="51F503ED">
    <w:pPr>
      <w:pStyle w:val="16"/>
      <w:pBdr>
        <w:bottom w:val="single" w:color="auto" w:sz="4" w:space="1"/>
      </w:pBdr>
      <w:jc w:val="center"/>
      <w:rPr>
        <w:rFonts w:hint="eastAsia" w:eastAsia="宋体"/>
        <w:sz w:val="21"/>
        <w:szCs w:val="21"/>
        <w:lang w:val="en-US" w:eastAsia="zh-CN"/>
      </w:rPr>
    </w:pPr>
  </w:p>
  <w:p w14:paraId="4041CA0B">
    <w:pPr>
      <w:pStyle w:val="16"/>
      <w:pBdr>
        <w:bottom w:val="single" w:color="auto" w:sz="4" w:space="1"/>
      </w:pBdr>
      <w:jc w:val="center"/>
      <w:rPr>
        <w:rFonts w:hint="eastAsia" w:eastAsia="宋体"/>
        <w:sz w:val="21"/>
        <w:szCs w:val="21"/>
        <w:lang w:val="en-US" w:eastAsia="zh-CN"/>
      </w:rPr>
    </w:pPr>
  </w:p>
  <w:p w14:paraId="6E4E660B">
    <w:pPr>
      <w:pStyle w:val="16"/>
      <w:pBdr>
        <w:bottom w:val="single" w:color="auto" w:sz="4" w:space="1"/>
      </w:pBdr>
      <w:jc w:val="center"/>
      <w:rPr>
        <w:rFonts w:hint="default" w:eastAsia="宋体"/>
        <w:sz w:val="21"/>
        <w:szCs w:val="21"/>
        <w:lang w:val="en-US" w:eastAsia="zh-CN"/>
      </w:rPr>
    </w:pPr>
    <w:r>
      <w:rPr>
        <w:rFonts w:hint="eastAsia" w:eastAsia="宋体"/>
        <w:sz w:val="21"/>
        <w:szCs w:val="21"/>
        <w:lang w:val="en-US" w:eastAsia="zh-CN"/>
      </w:rPr>
      <w:t>双鸭山市永胜农机合作社肉牛养殖基地项目环境影响报告书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2F526C"/>
    <w:multiLevelType w:val="singleLevel"/>
    <w:tmpl w:val="912F526C"/>
    <w:lvl w:ilvl="0" w:tentative="0">
      <w:start w:val="3"/>
      <w:numFmt w:val="decimal"/>
      <w:suff w:val="nothing"/>
      <w:lvlText w:val="%1、"/>
      <w:lvlJc w:val="left"/>
    </w:lvl>
  </w:abstractNum>
  <w:abstractNum w:abstractNumId="1">
    <w:nsid w:val="E7C13164"/>
    <w:multiLevelType w:val="singleLevel"/>
    <w:tmpl w:val="E7C13164"/>
    <w:lvl w:ilvl="0" w:tentative="0">
      <w:start w:val="7"/>
      <w:numFmt w:val="decimal"/>
      <w:suff w:val="nothing"/>
      <w:lvlText w:val="（%1）"/>
      <w:lvlJc w:val="left"/>
    </w:lvl>
  </w:abstractNum>
  <w:abstractNum w:abstractNumId="2">
    <w:nsid w:val="34AE1B24"/>
    <w:multiLevelType w:val="singleLevel"/>
    <w:tmpl w:val="34AE1B24"/>
    <w:lvl w:ilvl="0" w:tentative="0">
      <w:start w:val="1"/>
      <w:numFmt w:val="decimal"/>
      <w:suff w:val="nothing"/>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compatSetting w:name="compatibilityMode" w:uri="http://schemas.microsoft.com/office/word" w:val="14"/>
  </w:compat>
  <w:docVars>
    <w:docVar w:name="commondata" w:val="eyJoZGlkIjoiZTJiZDJkZWIzN2M4YmM4MTc4MWNmNzBmNWQyMzFjYjMifQ=="/>
  </w:docVars>
  <w:rsids>
    <w:rsidRoot w:val="00000000"/>
    <w:rsid w:val="00324360"/>
    <w:rsid w:val="00FF56BA"/>
    <w:rsid w:val="018F6A3E"/>
    <w:rsid w:val="024007F5"/>
    <w:rsid w:val="03911568"/>
    <w:rsid w:val="03B54A35"/>
    <w:rsid w:val="05161364"/>
    <w:rsid w:val="06B43673"/>
    <w:rsid w:val="07864F57"/>
    <w:rsid w:val="07DD75F5"/>
    <w:rsid w:val="087543FA"/>
    <w:rsid w:val="08C319CF"/>
    <w:rsid w:val="09DE017B"/>
    <w:rsid w:val="0BDB355C"/>
    <w:rsid w:val="0CBF1914"/>
    <w:rsid w:val="0D8E52BA"/>
    <w:rsid w:val="0DD028B8"/>
    <w:rsid w:val="0F085389"/>
    <w:rsid w:val="0F115D75"/>
    <w:rsid w:val="16F3510D"/>
    <w:rsid w:val="17E21B65"/>
    <w:rsid w:val="18382362"/>
    <w:rsid w:val="18474EBB"/>
    <w:rsid w:val="18491EC1"/>
    <w:rsid w:val="18D84C2A"/>
    <w:rsid w:val="1A803161"/>
    <w:rsid w:val="1AA749A0"/>
    <w:rsid w:val="1B01690C"/>
    <w:rsid w:val="1B0D1FA5"/>
    <w:rsid w:val="1DD335E3"/>
    <w:rsid w:val="1DEB35C2"/>
    <w:rsid w:val="1EA2493A"/>
    <w:rsid w:val="201B6B26"/>
    <w:rsid w:val="215533F9"/>
    <w:rsid w:val="21BC0DE8"/>
    <w:rsid w:val="21DC422B"/>
    <w:rsid w:val="25826925"/>
    <w:rsid w:val="262B721C"/>
    <w:rsid w:val="28381F84"/>
    <w:rsid w:val="28627C18"/>
    <w:rsid w:val="2C5A2076"/>
    <w:rsid w:val="2CBD1743"/>
    <w:rsid w:val="2D4C4612"/>
    <w:rsid w:val="2E795F47"/>
    <w:rsid w:val="2F6B3D97"/>
    <w:rsid w:val="2FF316B6"/>
    <w:rsid w:val="301B756B"/>
    <w:rsid w:val="305667F5"/>
    <w:rsid w:val="312710B4"/>
    <w:rsid w:val="31CD2628"/>
    <w:rsid w:val="326233F5"/>
    <w:rsid w:val="34C55C5D"/>
    <w:rsid w:val="37684573"/>
    <w:rsid w:val="387813DF"/>
    <w:rsid w:val="39174FE5"/>
    <w:rsid w:val="39512E6D"/>
    <w:rsid w:val="3B6F65EF"/>
    <w:rsid w:val="3BE75197"/>
    <w:rsid w:val="3DB90AD0"/>
    <w:rsid w:val="3F547002"/>
    <w:rsid w:val="410F0A26"/>
    <w:rsid w:val="41133BC1"/>
    <w:rsid w:val="43D67E52"/>
    <w:rsid w:val="446D2812"/>
    <w:rsid w:val="464D13F2"/>
    <w:rsid w:val="47C46C1B"/>
    <w:rsid w:val="4874468D"/>
    <w:rsid w:val="4A6E3AAD"/>
    <w:rsid w:val="4B527CB9"/>
    <w:rsid w:val="4F69319E"/>
    <w:rsid w:val="4FBE2357"/>
    <w:rsid w:val="51ED4639"/>
    <w:rsid w:val="54163D8B"/>
    <w:rsid w:val="54D42F61"/>
    <w:rsid w:val="54F52A8D"/>
    <w:rsid w:val="56F846DD"/>
    <w:rsid w:val="59441F10"/>
    <w:rsid w:val="5A94704B"/>
    <w:rsid w:val="5BCD377E"/>
    <w:rsid w:val="5CD51E46"/>
    <w:rsid w:val="5CE42B46"/>
    <w:rsid w:val="5D162B37"/>
    <w:rsid w:val="5DD56945"/>
    <w:rsid w:val="61E10E27"/>
    <w:rsid w:val="623373D2"/>
    <w:rsid w:val="62392EB4"/>
    <w:rsid w:val="62B63B5F"/>
    <w:rsid w:val="63847751"/>
    <w:rsid w:val="64D90EEE"/>
    <w:rsid w:val="6573682C"/>
    <w:rsid w:val="65AE32B6"/>
    <w:rsid w:val="67EE4BBF"/>
    <w:rsid w:val="68601020"/>
    <w:rsid w:val="68735108"/>
    <w:rsid w:val="6B747DD8"/>
    <w:rsid w:val="6BBD60ED"/>
    <w:rsid w:val="6BC461DE"/>
    <w:rsid w:val="6C3442D0"/>
    <w:rsid w:val="6CB876C8"/>
    <w:rsid w:val="6E967EFA"/>
    <w:rsid w:val="703E4F0D"/>
    <w:rsid w:val="70500967"/>
    <w:rsid w:val="70CE3E93"/>
    <w:rsid w:val="72E11039"/>
    <w:rsid w:val="72FD643C"/>
    <w:rsid w:val="731F586B"/>
    <w:rsid w:val="73B64476"/>
    <w:rsid w:val="74811901"/>
    <w:rsid w:val="76B62C86"/>
    <w:rsid w:val="76FF7B0E"/>
    <w:rsid w:val="773D7860"/>
    <w:rsid w:val="7AFD410D"/>
    <w:rsid w:val="7B423FD4"/>
    <w:rsid w:val="7B4930E7"/>
    <w:rsid w:val="7BBD5F6A"/>
    <w:rsid w:val="7C943BD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iPriority="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iPriority="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4">
    <w:name w:val="heading 1"/>
    <w:basedOn w:val="1"/>
    <w:next w:val="1"/>
    <w:qFormat/>
    <w:uiPriority w:val="0"/>
    <w:pPr>
      <w:keepNext/>
      <w:keepLines/>
      <w:spacing w:before="340" w:after="330" w:line="578" w:lineRule="auto"/>
      <w:outlineLvl w:val="0"/>
    </w:pPr>
    <w:rPr>
      <w:b/>
      <w:bCs/>
      <w:kern w:val="44"/>
      <w:sz w:val="44"/>
      <w:szCs w:val="44"/>
    </w:rPr>
  </w:style>
  <w:style w:type="paragraph" w:styleId="5">
    <w:name w:val="heading 3"/>
    <w:basedOn w:val="1"/>
    <w:next w:val="1"/>
    <w:unhideWhenUsed/>
    <w:qFormat/>
    <w:uiPriority w:val="0"/>
    <w:pPr>
      <w:keepNext/>
      <w:keepLines/>
      <w:spacing w:before="260" w:after="260" w:line="416" w:lineRule="atLeast"/>
      <w:ind w:firstLine="425" w:firstLineChars="177"/>
      <w:outlineLvl w:val="2"/>
    </w:pPr>
    <w:rPr>
      <w:rFonts w:ascii="宋体" w:hAnsi="宋体" w:cs="宋体"/>
      <w:sz w:val="32"/>
      <w:szCs w:val="32"/>
    </w:rPr>
  </w:style>
  <w:style w:type="paragraph" w:styleId="6">
    <w:name w:val="heading 4"/>
    <w:basedOn w:val="1"/>
    <w:next w:val="1"/>
    <w:qFormat/>
    <w:uiPriority w:val="0"/>
    <w:pPr>
      <w:keepNext/>
      <w:keepLines/>
      <w:spacing w:line="500" w:lineRule="exact"/>
      <w:ind w:firstLine="0" w:firstLineChars="0"/>
      <w:outlineLvl w:val="3"/>
    </w:pPr>
    <w:rPr>
      <w:rFonts w:cs="Times New Roman"/>
      <w:szCs w:val="20"/>
      <w:lang w:val="zh-CN" w:eastAsia="zh-CN"/>
    </w:rPr>
  </w:style>
  <w:style w:type="character" w:default="1" w:styleId="28">
    <w:name w:val="Default Paragraph Font"/>
    <w:semiHidden/>
    <w:qFormat/>
    <w:uiPriority w:val="0"/>
  </w:style>
  <w:style w:type="table" w:default="1" w:styleId="26">
    <w:name w:val="Normal Table"/>
    <w:semiHidden/>
    <w:qFormat/>
    <w:uiPriority w:val="0"/>
    <w:tblPr>
      <w:tblCellMar>
        <w:top w:w="0" w:type="dxa"/>
        <w:left w:w="108" w:type="dxa"/>
        <w:bottom w:w="0" w:type="dxa"/>
        <w:right w:w="108" w:type="dxa"/>
      </w:tblCellMar>
    </w:tblPr>
  </w:style>
  <w:style w:type="paragraph" w:customStyle="1" w:styleId="2">
    <w:name w:val="Default"/>
    <w:basedOn w:val="3"/>
    <w:next w:val="1"/>
    <w:qFormat/>
    <w:uiPriority w:val="0"/>
    <w:pPr>
      <w:widowControl w:val="0"/>
      <w:autoSpaceDE w:val="0"/>
      <w:autoSpaceDN w:val="0"/>
      <w:adjustRightInd w:val="0"/>
      <w:spacing w:line="240" w:lineRule="auto"/>
      <w:jc w:val="left"/>
    </w:pPr>
    <w:rPr>
      <w:rFonts w:ascii="宋体" w:hAnsi="宋体" w:eastAsia="宋体" w:cs="宋体"/>
      <w:color w:val="000000"/>
      <w:kern w:val="2"/>
      <w:sz w:val="24"/>
      <w:szCs w:val="24"/>
      <w:lang w:val="en-US" w:eastAsia="zh-CN" w:bidi="ar-SA"/>
    </w:rPr>
  </w:style>
  <w:style w:type="paragraph" w:customStyle="1" w:styleId="3">
    <w:name w:val="纯文本1"/>
    <w:basedOn w:val="4"/>
    <w:qFormat/>
    <w:uiPriority w:val="99"/>
    <w:pPr>
      <w:keepNext w:val="0"/>
      <w:keepLines w:val="0"/>
      <w:adjustRightInd w:val="0"/>
      <w:spacing w:before="0" w:after="0" w:line="500" w:lineRule="atLeast"/>
      <w:ind w:firstLine="425" w:firstLineChars="177"/>
      <w:outlineLvl w:val="9"/>
    </w:pPr>
    <w:rPr>
      <w:rFonts w:ascii="宋体" w:hAnsi="Courier New"/>
      <w:b w:val="0"/>
      <w:bCs w:val="0"/>
      <w:color w:val="000000"/>
      <w:kern w:val="2"/>
      <w:sz w:val="24"/>
      <w:szCs w:val="20"/>
    </w:rPr>
  </w:style>
  <w:style w:type="paragraph" w:styleId="7">
    <w:name w:val="Normal Indent"/>
    <w:basedOn w:val="1"/>
    <w:next w:val="8"/>
    <w:unhideWhenUsed/>
    <w:qFormat/>
    <w:uiPriority w:val="0"/>
    <w:pPr>
      <w:keepNext w:val="0"/>
      <w:keepLines w:val="0"/>
      <w:adjustRightInd w:val="0"/>
      <w:snapToGrid w:val="0"/>
      <w:spacing w:before="0" w:after="0" w:line="300" w:lineRule="auto"/>
      <w:ind w:firstLine="200" w:firstLineChars="200"/>
      <w:outlineLvl w:val="9"/>
    </w:pPr>
    <w:rPr>
      <w:rFonts w:ascii="仿宋_GB2312" w:eastAsia="仿宋_GB2312" w:hAnsiTheme="minorHAnsi" w:cstheme="minorBidi"/>
      <w:kern w:val="2"/>
      <w:sz w:val="28"/>
      <w:szCs w:val="24"/>
    </w:rPr>
  </w:style>
  <w:style w:type="paragraph" w:styleId="8">
    <w:name w:val="Body Text First Indent 2"/>
    <w:basedOn w:val="9"/>
    <w:next w:val="1"/>
    <w:semiHidden/>
    <w:unhideWhenUsed/>
    <w:qFormat/>
    <w:uiPriority w:val="0"/>
    <w:pPr>
      <w:spacing w:after="120"/>
      <w:ind w:left="420" w:leftChars="200" w:firstLine="420"/>
    </w:pPr>
    <w:rPr>
      <w:sz w:val="28"/>
    </w:rPr>
  </w:style>
  <w:style w:type="paragraph" w:styleId="9">
    <w:name w:val="Body Text Indent"/>
    <w:basedOn w:val="1"/>
    <w:next w:val="1"/>
    <w:unhideWhenUsed/>
    <w:qFormat/>
    <w:uiPriority w:val="0"/>
    <w:pPr>
      <w:keepNext w:val="0"/>
      <w:keepLines w:val="0"/>
      <w:spacing w:before="0" w:after="0" w:line="240" w:lineRule="auto"/>
      <w:ind w:firstLine="480" w:firstLineChars="200"/>
      <w:outlineLvl w:val="9"/>
    </w:pPr>
    <w:rPr>
      <w:rFonts w:asciiTheme="minorHAnsi" w:hAnsiTheme="minorHAnsi" w:eastAsiaTheme="minorEastAsia" w:cstheme="minorBidi"/>
      <w:kern w:val="2"/>
      <w:sz w:val="24"/>
      <w:szCs w:val="24"/>
    </w:rPr>
  </w:style>
  <w:style w:type="paragraph" w:styleId="10">
    <w:name w:val="annotation text"/>
    <w:basedOn w:val="1"/>
    <w:qFormat/>
    <w:uiPriority w:val="0"/>
    <w:pPr>
      <w:jc w:val="left"/>
    </w:pPr>
  </w:style>
  <w:style w:type="paragraph" w:styleId="11">
    <w:name w:val="Body Text"/>
    <w:basedOn w:val="1"/>
    <w:next w:val="1"/>
    <w:semiHidden/>
    <w:qFormat/>
    <w:uiPriority w:val="0"/>
    <w:rPr>
      <w:rFonts w:ascii="Arial" w:hAnsi="Arial" w:eastAsia="Arial" w:cs="Arial"/>
      <w:sz w:val="21"/>
      <w:szCs w:val="21"/>
      <w:lang w:val="en-US" w:eastAsia="en-US" w:bidi="ar-SA"/>
    </w:rPr>
  </w:style>
  <w:style w:type="paragraph" w:styleId="12">
    <w:name w:val="toc 3"/>
    <w:basedOn w:val="1"/>
    <w:next w:val="1"/>
    <w:qFormat/>
    <w:uiPriority w:val="0"/>
    <w:pPr>
      <w:ind w:left="840" w:leftChars="400"/>
    </w:pPr>
  </w:style>
  <w:style w:type="paragraph" w:styleId="13">
    <w:name w:val="Plain Text"/>
    <w:basedOn w:val="1"/>
    <w:qFormat/>
    <w:uiPriority w:val="0"/>
    <w:pPr>
      <w:widowControl w:val="0"/>
      <w:spacing w:after="0"/>
      <w:jc w:val="both"/>
    </w:pPr>
    <w:rPr>
      <w:rFonts w:ascii="Times New Roman" w:hAnsi="Courier New" w:eastAsia="宋体" w:cs="Courier New"/>
      <w:kern w:val="2"/>
      <w:sz w:val="21"/>
      <w:szCs w:val="21"/>
      <w:lang w:val="en-US" w:eastAsia="zh-CN" w:bidi="ar-SA"/>
    </w:rPr>
  </w:style>
  <w:style w:type="paragraph" w:styleId="14">
    <w:name w:val="Body Text Indent 2"/>
    <w:basedOn w:val="1"/>
    <w:next w:val="1"/>
    <w:semiHidden/>
    <w:unhideWhenUsed/>
    <w:qFormat/>
    <w:uiPriority w:val="0"/>
    <w:pPr>
      <w:keepNext w:val="0"/>
      <w:keepLines w:val="0"/>
      <w:spacing w:before="0" w:after="120" w:line="480" w:lineRule="auto"/>
      <w:ind w:left="420" w:leftChars="200" w:firstLine="425" w:firstLineChars="177"/>
      <w:outlineLvl w:val="9"/>
    </w:pPr>
    <w:rPr>
      <w:rFonts w:ascii="Calibri" w:hAnsi="Calibri" w:eastAsiaTheme="minorEastAsia" w:cstheme="minorBidi"/>
      <w:color w:val="000000"/>
      <w:kern w:val="2"/>
      <w:sz w:val="21"/>
      <w:szCs w:val="22"/>
    </w:rPr>
  </w:style>
  <w:style w:type="paragraph" w:styleId="15">
    <w:name w:val="footer"/>
    <w:basedOn w:val="1"/>
    <w:qFormat/>
    <w:uiPriority w:val="0"/>
    <w:pPr>
      <w:tabs>
        <w:tab w:val="center" w:pos="4153"/>
        <w:tab w:val="right" w:pos="8306"/>
      </w:tabs>
      <w:snapToGrid w:val="0"/>
      <w:jc w:val="left"/>
    </w:pPr>
    <w:rPr>
      <w:sz w:val="18"/>
    </w:rPr>
  </w:style>
  <w:style w:type="paragraph" w:styleId="16">
    <w:name w:val="header"/>
    <w:basedOn w:val="1"/>
    <w:next w:val="17"/>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17">
    <w:name w:val="样式5"/>
    <w:basedOn w:val="18"/>
    <w:next w:val="1"/>
    <w:qFormat/>
    <w:uiPriority w:val="99"/>
    <w:pPr>
      <w:spacing w:line="500" w:lineRule="atLeast"/>
      <w:ind w:left="482" w:firstLine="0" w:firstLineChars="0"/>
      <w:contextualSpacing w:val="0"/>
    </w:pPr>
    <w:rPr>
      <w:sz w:val="24"/>
    </w:rPr>
  </w:style>
  <w:style w:type="paragraph" w:customStyle="1" w:styleId="18">
    <w:name w:val="正文1"/>
    <w:next w:val="1"/>
    <w:qFormat/>
    <w:uiPriority w:val="0"/>
    <w:pPr>
      <w:widowControl w:val="0"/>
      <w:adjustRightInd w:val="0"/>
      <w:spacing w:line="360" w:lineRule="atLeast"/>
      <w:jc w:val="left"/>
    </w:pPr>
    <w:rPr>
      <w:rFonts w:ascii="宋体" w:hAnsi="宋体" w:eastAsia="宋体" w:cstheme="minorBidi"/>
      <w:kern w:val="2"/>
      <w:sz w:val="24"/>
      <w:szCs w:val="24"/>
      <w:lang w:val="en-US" w:eastAsia="zh-CN" w:bidi="ar-SA"/>
    </w:rPr>
  </w:style>
  <w:style w:type="paragraph" w:styleId="19">
    <w:name w:val="toc 1"/>
    <w:basedOn w:val="1"/>
    <w:next w:val="1"/>
    <w:qFormat/>
    <w:uiPriority w:val="0"/>
  </w:style>
  <w:style w:type="paragraph" w:styleId="20">
    <w:name w:val="List"/>
    <w:basedOn w:val="1"/>
    <w:semiHidden/>
    <w:unhideWhenUsed/>
    <w:qFormat/>
    <w:uiPriority w:val="0"/>
    <w:pPr>
      <w:ind w:left="200" w:hanging="200" w:hangingChars="200"/>
      <w:contextualSpacing/>
    </w:pPr>
  </w:style>
  <w:style w:type="paragraph" w:styleId="21">
    <w:name w:val="toc 2"/>
    <w:basedOn w:val="1"/>
    <w:next w:val="1"/>
    <w:qFormat/>
    <w:uiPriority w:val="0"/>
    <w:pPr>
      <w:widowControl/>
      <w:spacing w:line="276" w:lineRule="auto"/>
      <w:ind w:left="220"/>
      <w:jc w:val="left"/>
    </w:pPr>
    <w:rPr>
      <w:rFonts w:ascii="Calibri" w:hAnsi="Calibri" w:eastAsia="宋体" w:cs="Times New Roman"/>
      <w:kern w:val="0"/>
      <w:sz w:val="22"/>
      <w:szCs w:val="22"/>
    </w:rPr>
  </w:style>
  <w:style w:type="paragraph" w:styleId="22">
    <w:name w:val="Normal (Web)"/>
    <w:basedOn w:val="1"/>
    <w:qFormat/>
    <w:uiPriority w:val="0"/>
    <w:rPr>
      <w:sz w:val="24"/>
    </w:rPr>
  </w:style>
  <w:style w:type="paragraph" w:styleId="23">
    <w:name w:val="Title"/>
    <w:basedOn w:val="1"/>
    <w:next w:val="1"/>
    <w:qFormat/>
    <w:uiPriority w:val="10"/>
    <w:pPr>
      <w:tabs>
        <w:tab w:val="left" w:pos="5400"/>
      </w:tabs>
      <w:snapToGrid w:val="0"/>
      <w:spacing w:before="200" w:after="200" w:line="360" w:lineRule="auto"/>
      <w:ind w:firstLine="581" w:firstLineChars="177"/>
      <w:jc w:val="left"/>
      <w:outlineLvl w:val="0"/>
    </w:pPr>
    <w:rPr>
      <w:rFonts w:ascii="黑体" w:hAnsi="黑体" w:eastAsia="黑体"/>
      <w:color w:val="000000"/>
      <w:spacing w:val="4"/>
      <w:kern w:val="44"/>
      <w:sz w:val="32"/>
      <w:szCs w:val="32"/>
    </w:rPr>
  </w:style>
  <w:style w:type="paragraph" w:styleId="24">
    <w:name w:val="Body Text First Indent"/>
    <w:basedOn w:val="11"/>
    <w:next w:val="25"/>
    <w:qFormat/>
    <w:uiPriority w:val="0"/>
    <w:pPr>
      <w:ind w:firstLine="420" w:firstLineChars="100"/>
    </w:pPr>
    <w:rPr>
      <w:rFonts w:ascii="Times New Roman" w:hAnsi="Times New Roman"/>
      <w:szCs w:val="24"/>
    </w:rPr>
  </w:style>
  <w:style w:type="paragraph" w:customStyle="1" w:styleId="25">
    <w:name w:val="样式 正文首行缩进 + 首行缩进:  2 字符1"/>
    <w:basedOn w:val="1"/>
    <w:next w:val="19"/>
    <w:qFormat/>
    <w:uiPriority w:val="0"/>
    <w:pPr>
      <w:spacing w:line="360" w:lineRule="auto"/>
      <w:ind w:firstLine="480" w:firstLineChars="200"/>
    </w:pPr>
    <w:rPr>
      <w:sz w:val="24"/>
    </w:rPr>
  </w:style>
  <w:style w:type="table" w:styleId="27">
    <w:name w:val="Table Grid"/>
    <w:basedOn w:val="2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basedOn w:val="28"/>
    <w:qFormat/>
    <w:uiPriority w:val="0"/>
    <w:rPr>
      <w:b/>
    </w:rPr>
  </w:style>
  <w:style w:type="character" w:styleId="30">
    <w:name w:val="Hyperlink"/>
    <w:basedOn w:val="28"/>
    <w:qFormat/>
    <w:uiPriority w:val="0"/>
    <w:rPr>
      <w:color w:val="0000FF"/>
      <w:u w:val="single"/>
    </w:rPr>
  </w:style>
  <w:style w:type="character" w:styleId="31">
    <w:name w:val="annotation reference"/>
    <w:semiHidden/>
    <w:qFormat/>
    <w:uiPriority w:val="99"/>
    <w:rPr>
      <w:rFonts w:cs="Times New Roman"/>
      <w:sz w:val="21"/>
      <w:szCs w:val="21"/>
    </w:rPr>
  </w:style>
  <w:style w:type="paragraph" w:customStyle="1" w:styleId="32">
    <w:name w:val="Normal (Web)1"/>
    <w:basedOn w:val="1"/>
    <w:next w:val="33"/>
    <w:qFormat/>
    <w:uiPriority w:val="0"/>
    <w:pPr>
      <w:widowControl/>
      <w:jc w:val="left"/>
    </w:pPr>
    <w:rPr>
      <w:rFonts w:ascii="宋体"/>
      <w:kern w:val="0"/>
      <w:sz w:val="24"/>
      <w:szCs w:val="21"/>
    </w:rPr>
  </w:style>
  <w:style w:type="paragraph" w:customStyle="1" w:styleId="33">
    <w:name w:val="Date1"/>
    <w:basedOn w:val="4"/>
    <w:next w:val="1"/>
    <w:qFormat/>
    <w:uiPriority w:val="99"/>
    <w:pPr>
      <w:keepNext w:val="0"/>
      <w:keepLines w:val="0"/>
      <w:adjustRightInd w:val="0"/>
      <w:spacing w:before="0" w:after="0" w:line="500" w:lineRule="atLeast"/>
      <w:ind w:firstLine="425" w:firstLineChars="177"/>
      <w:outlineLvl w:val="9"/>
    </w:pPr>
    <w:rPr>
      <w:b w:val="0"/>
      <w:bCs w:val="0"/>
      <w:kern w:val="2"/>
      <w:sz w:val="24"/>
      <w:szCs w:val="20"/>
    </w:rPr>
  </w:style>
  <w:style w:type="table" w:customStyle="1" w:styleId="34">
    <w:name w:val="Table Normal"/>
    <w:semiHidden/>
    <w:unhideWhenUsed/>
    <w:qFormat/>
    <w:uiPriority w:val="0"/>
    <w:tblPr>
      <w:tblCellMar>
        <w:top w:w="0" w:type="dxa"/>
        <w:left w:w="0" w:type="dxa"/>
        <w:bottom w:w="0" w:type="dxa"/>
        <w:right w:w="0" w:type="dxa"/>
      </w:tblCellMar>
    </w:tblPr>
  </w:style>
  <w:style w:type="paragraph" w:customStyle="1" w:styleId="35">
    <w:name w:val="Table Text"/>
    <w:basedOn w:val="1"/>
    <w:semiHidden/>
    <w:qFormat/>
    <w:uiPriority w:val="0"/>
    <w:rPr>
      <w:rFonts w:ascii="宋体" w:hAnsi="宋体" w:eastAsia="宋体" w:cs="宋体"/>
      <w:sz w:val="21"/>
      <w:szCs w:val="21"/>
      <w:lang w:val="en-US" w:eastAsia="en-US" w:bidi="ar-SA"/>
    </w:rPr>
  </w:style>
  <w:style w:type="paragraph" w:customStyle="1" w:styleId="36">
    <w:name w:val="表头"/>
    <w:basedOn w:val="21"/>
    <w:next w:val="13"/>
    <w:qFormat/>
    <w:uiPriority w:val="0"/>
    <w:pPr>
      <w:adjustRightInd w:val="0"/>
      <w:snapToGrid w:val="0"/>
      <w:ind w:left="420" w:hanging="420"/>
      <w:jc w:val="center"/>
    </w:pPr>
    <w:rPr>
      <w:rFonts w:ascii="Times New Roman" w:hAnsi="Times New Roman" w:eastAsia="宋体" w:cs="Times New Roman"/>
      <w:b/>
      <w:color w:val="000000"/>
      <w:szCs w:val="21"/>
    </w:rPr>
  </w:style>
  <w:style w:type="paragraph" w:customStyle="1" w:styleId="37">
    <w:name w:val="TOC Heading1"/>
    <w:basedOn w:val="4"/>
    <w:next w:val="1"/>
    <w:qFormat/>
    <w:uiPriority w:val="99"/>
    <w:pPr>
      <w:widowControl/>
      <w:spacing w:after="0" w:line="259" w:lineRule="auto"/>
      <w:jc w:val="left"/>
      <w:outlineLvl w:val="9"/>
    </w:pPr>
    <w:rPr>
      <w:rFonts w:ascii="Cambria" w:hAnsi="Cambria"/>
      <w:b w:val="0"/>
      <w:bCs w:val="0"/>
      <w:color w:val="365F91"/>
      <w:kern w:val="0"/>
      <w:sz w:val="32"/>
      <w:szCs w:val="32"/>
    </w:rPr>
  </w:style>
  <w:style w:type="paragraph" w:customStyle="1" w:styleId="38">
    <w:name w:val="【表中文字】"/>
    <w:basedOn w:val="39"/>
    <w:qFormat/>
    <w:uiPriority w:val="0"/>
    <w:pPr>
      <w:spacing w:line="240" w:lineRule="auto"/>
      <w:ind w:firstLine="0" w:firstLineChars="0"/>
      <w:jc w:val="center"/>
    </w:pPr>
    <w:rPr>
      <w:sz w:val="21"/>
      <w:lang w:val="zh-CN" w:eastAsia="zh-CN"/>
    </w:rPr>
  </w:style>
  <w:style w:type="paragraph" w:customStyle="1" w:styleId="39">
    <w:name w:val="表格字"/>
    <w:basedOn w:val="20"/>
    <w:qFormat/>
    <w:uiPriority w:val="0"/>
    <w:pPr>
      <w:ind w:left="0" w:firstLine="0" w:firstLineChars="0"/>
      <w:jc w:val="center"/>
    </w:pPr>
  </w:style>
  <w:style w:type="paragraph" w:customStyle="1" w:styleId="40">
    <w:name w:val="【正文】"/>
    <w:basedOn w:val="11"/>
    <w:link w:val="58"/>
    <w:qFormat/>
    <w:uiPriority w:val="0"/>
    <w:pPr>
      <w:adjustRightInd/>
      <w:snapToGrid/>
      <w:spacing w:line="500" w:lineRule="exact"/>
    </w:pPr>
    <w:rPr>
      <w:snapToGrid w:val="0"/>
    </w:rPr>
  </w:style>
  <w:style w:type="paragraph" w:customStyle="1" w:styleId="41">
    <w:name w:val="标题4-梁"/>
    <w:basedOn w:val="42"/>
    <w:qFormat/>
    <w:uiPriority w:val="0"/>
    <w:pPr>
      <w:outlineLvl w:val="3"/>
    </w:pPr>
  </w:style>
  <w:style w:type="paragraph" w:customStyle="1" w:styleId="42">
    <w:name w:val="标题3-梁"/>
    <w:basedOn w:val="43"/>
    <w:qFormat/>
    <w:uiPriority w:val="0"/>
    <w:pPr>
      <w:outlineLvl w:val="2"/>
    </w:pPr>
    <w:rPr>
      <w:rFonts w:eastAsia="宋体"/>
      <w:sz w:val="24"/>
    </w:rPr>
  </w:style>
  <w:style w:type="paragraph" w:customStyle="1" w:styleId="43">
    <w:name w:val="标题2-梁"/>
    <w:basedOn w:val="1"/>
    <w:qFormat/>
    <w:uiPriority w:val="0"/>
    <w:pPr>
      <w:adjustRightInd/>
      <w:snapToGrid/>
      <w:spacing w:line="500" w:lineRule="exact"/>
      <w:ind w:firstLine="0" w:firstLineChars="0"/>
      <w:outlineLvl w:val="1"/>
    </w:pPr>
    <w:rPr>
      <w:rFonts w:eastAsia="黑体" w:cs="Times New Roman"/>
      <w:snapToGrid w:val="0"/>
      <w:color w:val="000000" w:themeColor="text1"/>
      <w:kern w:val="0"/>
      <w:sz w:val="28"/>
      <w14:textFill>
        <w14:solidFill>
          <w14:schemeClr w14:val="tx1"/>
        </w14:solidFill>
      </w14:textFill>
    </w:rPr>
  </w:style>
  <w:style w:type="paragraph" w:customStyle="1" w:styleId="44">
    <w:name w:val="【表头】"/>
    <w:basedOn w:val="1"/>
    <w:link w:val="55"/>
    <w:qFormat/>
    <w:uiPriority w:val="0"/>
    <w:pPr>
      <w:spacing w:line="240" w:lineRule="auto"/>
      <w:ind w:firstLine="0" w:firstLineChars="0"/>
      <w:jc w:val="center"/>
    </w:pPr>
    <w:rPr>
      <w:rFonts w:eastAsia="黑体"/>
      <w:lang w:val="zh-CN" w:eastAsia="zh-CN"/>
    </w:rPr>
  </w:style>
  <w:style w:type="table" w:customStyle="1" w:styleId="45">
    <w:name w:val="[表格样式]"/>
    <w:basedOn w:val="26"/>
    <w:qFormat/>
    <w:uiPriority w:val="99"/>
    <w:pPr>
      <w:adjustRightInd w:val="0"/>
      <w:snapToGrid w:val="0"/>
      <w:jc w:val="center"/>
    </w:pPr>
    <w:rPr>
      <w:rFonts w:ascii="Times New Roman" w:hAnsi="Times New Roman" w:eastAsia="宋体"/>
      <w:snapToGrid w:val="0"/>
      <w:kern w:val="0"/>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46">
    <w:name w:val="AAA首行缩进2字符正文"/>
    <w:basedOn w:val="47"/>
    <w:qFormat/>
    <w:uiPriority w:val="0"/>
    <w:pPr>
      <w:adjustRightInd w:val="0"/>
      <w:snapToGrid w:val="0"/>
      <w:spacing w:line="500" w:lineRule="exact"/>
    </w:pPr>
    <w:rPr>
      <w:rFonts w:eastAsia="仿宋"/>
      <w:sz w:val="24"/>
    </w:rPr>
  </w:style>
  <w:style w:type="paragraph" w:customStyle="1" w:styleId="47">
    <w:name w:val="首行缩进正文"/>
    <w:basedOn w:val="40"/>
    <w:qFormat/>
    <w:uiPriority w:val="0"/>
    <w:rPr>
      <w:sz w:val="21"/>
    </w:rPr>
  </w:style>
  <w:style w:type="table" w:customStyle="1" w:styleId="48">
    <w:name w:val="网格型11"/>
    <w:basedOn w:val="26"/>
    <w:qFormat/>
    <w:uiPriority w:val="59"/>
    <w:pPr>
      <w:jc w:val="center"/>
    </w:pPr>
    <w:rPr>
      <w:rFonts w:ascii="Calibri" w:hAnsi="Calibri" w:eastAsia="宋体" w:cs="Times New Roman"/>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49">
    <w:name w:val="表格内文字"/>
    <w:next w:val="1"/>
    <w:qFormat/>
    <w:uiPriority w:val="0"/>
    <w:pPr>
      <w:spacing w:line="240" w:lineRule="auto"/>
      <w:jc w:val="left"/>
    </w:pPr>
    <w:rPr>
      <w:rFonts w:asciiTheme="minorHAnsi" w:hAnsiTheme="minorHAnsi" w:eastAsiaTheme="minorEastAsia" w:cstheme="minorBidi"/>
      <w:kern w:val="2"/>
      <w:sz w:val="21"/>
      <w:szCs w:val="21"/>
      <w:lang w:val="zh-CN" w:eastAsia="zh-CN" w:bidi="ar-SA"/>
    </w:rPr>
  </w:style>
  <w:style w:type="paragraph" w:styleId="50">
    <w:name w:val="No Spacing"/>
    <w:qFormat/>
    <w:uiPriority w:val="0"/>
    <w:pPr>
      <w:widowControl w:val="0"/>
      <w:spacing w:line="240" w:lineRule="auto"/>
      <w:jc w:val="both"/>
    </w:pPr>
    <w:rPr>
      <w:rFonts w:ascii="Calibri" w:hAnsi="Calibri" w:eastAsiaTheme="minorEastAsia" w:cstheme="minorBidi"/>
      <w:color w:val="000000"/>
      <w:kern w:val="2"/>
      <w:sz w:val="24"/>
      <w:szCs w:val="24"/>
      <w:lang w:val="en-US" w:eastAsia="zh-CN" w:bidi="ar-SA"/>
    </w:rPr>
  </w:style>
  <w:style w:type="paragraph" w:customStyle="1" w:styleId="51">
    <w:name w:val="表格内容"/>
    <w:basedOn w:val="52"/>
    <w:next w:val="1"/>
    <w:qFormat/>
    <w:uiPriority w:val="0"/>
    <w:pPr>
      <w:keepNext w:val="0"/>
      <w:keepLines w:val="0"/>
      <w:snapToGrid w:val="0"/>
      <w:spacing w:before="0" w:after="0" w:line="240" w:lineRule="exact"/>
      <w:ind w:firstLine="425" w:firstLineChars="177"/>
      <w:jc w:val="center"/>
      <w:outlineLvl w:val="9"/>
    </w:pPr>
    <w:rPr>
      <w:rFonts w:asciiTheme="minorHAnsi" w:hAnsiTheme="minorHAnsi" w:eastAsiaTheme="minorEastAsia" w:cstheme="minorBidi"/>
      <w:snapToGrid w:val="0"/>
      <w:color w:val="FF0000"/>
      <w:kern w:val="2"/>
      <w:sz w:val="21"/>
      <w:szCs w:val="21"/>
    </w:rPr>
  </w:style>
  <w:style w:type="paragraph" w:customStyle="1" w:styleId="52">
    <w:name w:val="封皮-证书编号"/>
    <w:basedOn w:val="1"/>
    <w:qFormat/>
    <w:uiPriority w:val="0"/>
    <w:pPr>
      <w:jc w:val="center"/>
    </w:pPr>
    <w:rPr>
      <w:rFonts w:ascii="Times New Roman" w:hAnsi="Times New Roman" w:eastAsia="黑体"/>
      <w:sz w:val="28"/>
    </w:rPr>
  </w:style>
  <w:style w:type="paragraph" w:customStyle="1" w:styleId="53">
    <w:name w:val="样式 正文缩进正文缩进2正文缩进 Char Char正文缩进 Char Char Char Char正文缩进 Char ..."/>
    <w:basedOn w:val="7"/>
    <w:qFormat/>
    <w:uiPriority w:val="0"/>
    <w:pPr>
      <w:ind w:firstLine="200"/>
    </w:pPr>
    <w:rPr>
      <w:rFonts w:ascii="Times New Roman" w:cs="宋体"/>
    </w:rPr>
  </w:style>
  <w:style w:type="paragraph" w:customStyle="1" w:styleId="54">
    <w:name w:val="a正文"/>
    <w:basedOn w:val="1"/>
    <w:autoRedefine/>
    <w:qFormat/>
    <w:uiPriority w:val="0"/>
    <w:pPr>
      <w:spacing w:line="520" w:lineRule="exact"/>
      <w:ind w:firstLine="561"/>
    </w:pPr>
    <w:rPr>
      <w:rFonts w:ascii="Times New Roman" w:hAnsi="Times New Roman"/>
      <w:sz w:val="28"/>
      <w:szCs w:val="20"/>
    </w:rPr>
  </w:style>
  <w:style w:type="character" w:customStyle="1" w:styleId="55">
    <w:name w:val="【表头】 Char"/>
    <w:link w:val="44"/>
    <w:qFormat/>
    <w:locked/>
    <w:uiPriority w:val="0"/>
    <w:rPr>
      <w:rFonts w:eastAsia="黑体"/>
      <w:lang w:val="zh-CN" w:eastAsia="zh-CN"/>
    </w:rPr>
  </w:style>
  <w:style w:type="paragraph" w:customStyle="1" w:styleId="56">
    <w:name w:val="报告书正文"/>
    <w:basedOn w:val="14"/>
    <w:qFormat/>
    <w:uiPriority w:val="0"/>
    <w:pPr>
      <w:adjustRightInd w:val="0"/>
      <w:snapToGrid w:val="0"/>
      <w:spacing w:line="360" w:lineRule="auto"/>
      <w:ind w:firstLine="425"/>
      <w:textAlignment w:val="baseline"/>
    </w:pPr>
    <w:rPr>
      <w:rFonts w:ascii="Arial" w:hAnsi="Arial"/>
    </w:rPr>
  </w:style>
  <w:style w:type="paragraph" w:customStyle="1" w:styleId="57">
    <w:name w:val="报告表正文"/>
    <w:basedOn w:val="1"/>
    <w:next w:val="1"/>
    <w:qFormat/>
    <w:uiPriority w:val="0"/>
    <w:pPr>
      <w:spacing w:line="360" w:lineRule="auto"/>
      <w:ind w:firstLine="420" w:firstLineChars="200"/>
      <w:jc w:val="both"/>
    </w:pPr>
    <w:rPr>
      <w:rFonts w:ascii="Times New Roman" w:hAnsi="Times New Roman" w:eastAsia="宋体" w:cs="Times New Roman"/>
      <w:sz w:val="24"/>
      <w:szCs w:val="22"/>
      <w:lang w:val="zh-CN"/>
    </w:rPr>
  </w:style>
  <w:style w:type="character" w:customStyle="1" w:styleId="58">
    <w:name w:val="【正文】 Char"/>
    <w:basedOn w:val="28"/>
    <w:link w:val="40"/>
    <w:qFormat/>
    <w:locked/>
    <w:uiPriority w:val="0"/>
    <w:rPr>
      <w:snapToGrid w:val="0"/>
    </w:rPr>
  </w:style>
  <w:style w:type="table" w:customStyle="1" w:styleId="59">
    <w:name w:val="环评表格"/>
    <w:basedOn w:val="26"/>
    <w:qFormat/>
    <w:uiPriority w:val="0"/>
    <w:pPr>
      <w:snapToGrid w:val="0"/>
      <w:jc w:val="center"/>
    </w:pPr>
    <w:rPr>
      <w:rFonts w:ascii="Times New Roman" w:hAnsi="Times New Roman" w:eastAsia="宋体" w:cs="Times New Roman"/>
      <w:kern w:val="0"/>
      <w:szCs w:val="20"/>
    </w:rPr>
    <w:tblPr>
      <w:tblBorders>
        <w:top w:val="single" w:color="auto" w:sz="12" w:space="0"/>
        <w:bottom w:val="single" w:color="auto" w:sz="12" w:space="0"/>
        <w:insideH w:val="single" w:color="auto" w:sz="4" w:space="0"/>
        <w:insideV w:val="single" w:color="auto" w:sz="4" w:space="0"/>
      </w:tblBorders>
      <w:tblCellMar>
        <w:top w:w="0" w:type="dxa"/>
        <w:left w:w="108" w:type="dxa"/>
        <w:bottom w:w="0" w:type="dxa"/>
        <w:right w:w="108" w:type="dxa"/>
      </w:tblCellMar>
    </w:tblPr>
    <w:tcPr>
      <w:vAlign w:val="center"/>
    </w:tcPr>
  </w:style>
  <w:style w:type="paragraph" w:customStyle="1" w:styleId="60">
    <w:name w:val="Table Paragraph"/>
    <w:basedOn w:val="1"/>
    <w:qFormat/>
    <w:uiPriority w:val="99"/>
    <w:pPr>
      <w:adjustRightInd/>
      <w:snapToGrid/>
      <w:spacing w:line="240" w:lineRule="auto"/>
      <w:ind w:firstLine="0" w:firstLineChars="0"/>
      <w:jc w:val="left"/>
    </w:pPr>
    <w:rPr>
      <w:rFonts w:ascii="Calibri" w:hAnsi="Calibri" w:cs="Times New Roman"/>
      <w:kern w:val="0"/>
      <w:sz w:val="22"/>
      <w:lang w:eastAsia="en-US"/>
    </w:rPr>
  </w:style>
  <w:style w:type="paragraph" w:customStyle="1" w:styleId="61">
    <w:name w:val="00通用正文"/>
    <w:basedOn w:val="1"/>
    <w:qFormat/>
    <w:uiPriority w:val="0"/>
    <w:pPr>
      <w:widowControl w:val="0"/>
      <w:wordWrap w:val="0"/>
      <w:spacing w:after="0" w:line="360" w:lineRule="auto"/>
      <w:ind w:firstLine="420" w:firstLineChars="200"/>
      <w:jc w:val="left"/>
    </w:pPr>
    <w:rPr>
      <w:rFonts w:ascii="Times New Roman" w:hAnsi="Times New Roman" w:eastAsia="宋体" w:cs="Times New Roman"/>
      <w:color w:val="000000"/>
      <w:kern w:val="2"/>
      <w:sz w:val="24"/>
      <w:szCs w:val="24"/>
      <w:lang w:val="en-US" w:bidi="ar-SA"/>
    </w:rPr>
  </w:style>
  <w:style w:type="paragraph" w:customStyle="1" w:styleId="62">
    <w:name w:val="正文00"/>
    <w:basedOn w:val="4"/>
    <w:next w:val="1"/>
    <w:qFormat/>
    <w:uiPriority w:val="0"/>
    <w:pPr>
      <w:keepNext w:val="0"/>
      <w:keepLines w:val="0"/>
      <w:spacing w:before="0" w:after="0" w:line="360" w:lineRule="auto"/>
      <w:ind w:firstLine="420" w:firstLineChars="200"/>
      <w:outlineLvl w:val="9"/>
    </w:pPr>
    <w:rPr>
      <w:rFonts w:eastAsiaTheme="minorEastAsia"/>
      <w:b w:val="0"/>
      <w:bCs w:val="0"/>
      <w:kern w:val="2"/>
      <w:sz w:val="21"/>
      <w:szCs w:val="21"/>
    </w:rPr>
  </w:style>
</w:styles>
</file>

<file path=word/_rels/document.xml.rels><?xml version="1.0" encoding="UTF-8" standalone="yes"?>
<Relationships xmlns="http://schemas.openxmlformats.org/package/2006/relationships"><Relationship Id="rId99" Type="http://schemas.openxmlformats.org/officeDocument/2006/relationships/image" Target="media/image36.png"/><Relationship Id="rId98" Type="http://schemas.openxmlformats.org/officeDocument/2006/relationships/image" Target="media/image35.png"/><Relationship Id="rId97" Type="http://schemas.openxmlformats.org/officeDocument/2006/relationships/image" Target="media/image34.png"/><Relationship Id="rId96" Type="http://schemas.openxmlformats.org/officeDocument/2006/relationships/image" Target="media/image33.jpeg"/><Relationship Id="rId95" Type="http://schemas.openxmlformats.org/officeDocument/2006/relationships/image" Target="media/image32.png"/><Relationship Id="rId94" Type="http://schemas.openxmlformats.org/officeDocument/2006/relationships/image" Target="media/image31.wmf"/><Relationship Id="rId93" Type="http://schemas.openxmlformats.org/officeDocument/2006/relationships/oleObject" Target="embeddings/oleObject9.bin"/><Relationship Id="rId92" Type="http://schemas.openxmlformats.org/officeDocument/2006/relationships/image" Target="media/image30.wmf"/><Relationship Id="rId91" Type="http://schemas.openxmlformats.org/officeDocument/2006/relationships/oleObject" Target="embeddings/oleObject8.bin"/><Relationship Id="rId90" Type="http://schemas.openxmlformats.org/officeDocument/2006/relationships/image" Target="media/image29.wmf"/><Relationship Id="rId9" Type="http://schemas.openxmlformats.org/officeDocument/2006/relationships/footer" Target="footer4.xml"/><Relationship Id="rId89" Type="http://schemas.openxmlformats.org/officeDocument/2006/relationships/oleObject" Target="embeddings/oleObject7.bin"/><Relationship Id="rId88" Type="http://schemas.openxmlformats.org/officeDocument/2006/relationships/image" Target="media/image28.wmf"/><Relationship Id="rId87" Type="http://schemas.openxmlformats.org/officeDocument/2006/relationships/oleObject" Target="embeddings/oleObject6.bin"/><Relationship Id="rId86" Type="http://schemas.openxmlformats.org/officeDocument/2006/relationships/image" Target="media/image27.wmf"/><Relationship Id="rId85" Type="http://schemas.openxmlformats.org/officeDocument/2006/relationships/oleObject" Target="embeddings/oleObject5.bin"/><Relationship Id="rId84" Type="http://schemas.openxmlformats.org/officeDocument/2006/relationships/image" Target="media/image26.png"/><Relationship Id="rId83" Type="http://schemas.openxmlformats.org/officeDocument/2006/relationships/image" Target="media/image25.png"/><Relationship Id="rId82" Type="http://schemas.openxmlformats.org/officeDocument/2006/relationships/image" Target="media/image24.png"/><Relationship Id="rId81" Type="http://schemas.openxmlformats.org/officeDocument/2006/relationships/image" Target="media/image23.png"/><Relationship Id="rId80" Type="http://schemas.openxmlformats.org/officeDocument/2006/relationships/image" Target="media/image22.png"/><Relationship Id="rId8" Type="http://schemas.openxmlformats.org/officeDocument/2006/relationships/footer" Target="footer3.xml"/><Relationship Id="rId79" Type="http://schemas.openxmlformats.org/officeDocument/2006/relationships/image" Target="media/image21.png"/><Relationship Id="rId78" Type="http://schemas.openxmlformats.org/officeDocument/2006/relationships/image" Target="media/image20.png"/><Relationship Id="rId77" Type="http://schemas.openxmlformats.org/officeDocument/2006/relationships/image" Target="media/image19.png"/><Relationship Id="rId76" Type="http://schemas.openxmlformats.org/officeDocument/2006/relationships/image" Target="media/image18.png"/><Relationship Id="rId75" Type="http://schemas.openxmlformats.org/officeDocument/2006/relationships/image" Target="media/image17.emf"/><Relationship Id="rId74" Type="http://schemas.openxmlformats.org/officeDocument/2006/relationships/oleObject" Target="embeddings/oleObject4.bin"/><Relationship Id="rId73" Type="http://schemas.openxmlformats.org/officeDocument/2006/relationships/image" Target="media/image16.emf"/><Relationship Id="rId72" Type="http://schemas.openxmlformats.org/officeDocument/2006/relationships/oleObject" Target="embeddings/oleObject3.bin"/><Relationship Id="rId71" Type="http://schemas.openxmlformats.org/officeDocument/2006/relationships/image" Target="media/image15.emf"/><Relationship Id="rId70" Type="http://schemas.openxmlformats.org/officeDocument/2006/relationships/oleObject" Target="embeddings/oleObject2.bin"/><Relationship Id="rId7" Type="http://schemas.openxmlformats.org/officeDocument/2006/relationships/footer" Target="footer2.xml"/><Relationship Id="rId69" Type="http://schemas.openxmlformats.org/officeDocument/2006/relationships/image" Target="media/image14.emf"/><Relationship Id="rId68" Type="http://schemas.openxmlformats.org/officeDocument/2006/relationships/oleObject" Target="embeddings/Microsoft_Visio_2003-2010___1.vsd"/><Relationship Id="rId67" Type="http://schemas.openxmlformats.org/officeDocument/2006/relationships/image" Target="media/image13.emf"/><Relationship Id="rId66" Type="http://schemas.openxmlformats.org/officeDocument/2006/relationships/oleObject" Target="embeddings/oleObject1.bin"/><Relationship Id="rId65" Type="http://schemas.openxmlformats.org/officeDocument/2006/relationships/image" Target="media/image12.png"/><Relationship Id="rId64" Type="http://schemas.openxmlformats.org/officeDocument/2006/relationships/image" Target="media/image11.jpeg"/><Relationship Id="rId63" Type="http://schemas.openxmlformats.org/officeDocument/2006/relationships/image" Target="media/image10.png"/><Relationship Id="rId62" Type="http://schemas.openxmlformats.org/officeDocument/2006/relationships/image" Target="media/image9.png"/><Relationship Id="rId61" Type="http://schemas.openxmlformats.org/officeDocument/2006/relationships/image" Target="media/image8.png"/><Relationship Id="rId60" Type="http://schemas.openxmlformats.org/officeDocument/2006/relationships/image" Target="media/image7.png"/><Relationship Id="rId6" Type="http://schemas.openxmlformats.org/officeDocument/2006/relationships/footer" Target="footer1.xml"/><Relationship Id="rId59" Type="http://schemas.openxmlformats.org/officeDocument/2006/relationships/image" Target="media/image6.png"/><Relationship Id="rId58" Type="http://schemas.openxmlformats.org/officeDocument/2006/relationships/image" Target="media/image5.jpeg"/><Relationship Id="rId57" Type="http://schemas.openxmlformats.org/officeDocument/2006/relationships/image" Target="media/image4.png"/><Relationship Id="rId56" Type="http://schemas.openxmlformats.org/officeDocument/2006/relationships/image" Target="media/image3.png"/><Relationship Id="rId55" Type="http://schemas.openxmlformats.org/officeDocument/2006/relationships/image" Target="media/image2.png"/><Relationship Id="rId54" Type="http://schemas.openxmlformats.org/officeDocument/2006/relationships/image" Target="media/image1.png"/><Relationship Id="rId53" Type="http://schemas.openxmlformats.org/officeDocument/2006/relationships/theme" Target="theme/theme1.xml"/><Relationship Id="rId52" Type="http://schemas.openxmlformats.org/officeDocument/2006/relationships/footer" Target="footer25.xml"/><Relationship Id="rId51" Type="http://schemas.openxmlformats.org/officeDocument/2006/relationships/footer" Target="footer24.xml"/><Relationship Id="rId50" Type="http://schemas.openxmlformats.org/officeDocument/2006/relationships/header" Target="header23.xml"/><Relationship Id="rId5" Type="http://schemas.openxmlformats.org/officeDocument/2006/relationships/header" Target="header1.xml"/><Relationship Id="rId49" Type="http://schemas.openxmlformats.org/officeDocument/2006/relationships/footer" Target="footer23.xml"/><Relationship Id="rId48" Type="http://schemas.openxmlformats.org/officeDocument/2006/relationships/header" Target="header22.xml"/><Relationship Id="rId47" Type="http://schemas.openxmlformats.org/officeDocument/2006/relationships/footer" Target="footer22.xml"/><Relationship Id="rId46" Type="http://schemas.openxmlformats.org/officeDocument/2006/relationships/header" Target="header21.xml"/><Relationship Id="rId45" Type="http://schemas.openxmlformats.org/officeDocument/2006/relationships/footer" Target="footer21.xml"/><Relationship Id="rId44" Type="http://schemas.openxmlformats.org/officeDocument/2006/relationships/header" Target="header20.xml"/><Relationship Id="rId43" Type="http://schemas.openxmlformats.org/officeDocument/2006/relationships/footer" Target="footer20.xml"/><Relationship Id="rId42" Type="http://schemas.openxmlformats.org/officeDocument/2006/relationships/header" Target="header19.xml"/><Relationship Id="rId41" Type="http://schemas.openxmlformats.org/officeDocument/2006/relationships/header" Target="header18.xml"/><Relationship Id="rId40" Type="http://schemas.openxmlformats.org/officeDocument/2006/relationships/footer" Target="footer19.xml"/><Relationship Id="rId4" Type="http://schemas.openxmlformats.org/officeDocument/2006/relationships/endnotes" Target="endnotes.xml"/><Relationship Id="rId39" Type="http://schemas.openxmlformats.org/officeDocument/2006/relationships/header" Target="header17.xml"/><Relationship Id="rId38" Type="http://schemas.openxmlformats.org/officeDocument/2006/relationships/footer" Target="footer18.xml"/><Relationship Id="rId37" Type="http://schemas.openxmlformats.org/officeDocument/2006/relationships/header" Target="header16.xml"/><Relationship Id="rId36" Type="http://schemas.openxmlformats.org/officeDocument/2006/relationships/footer" Target="footer17.xml"/><Relationship Id="rId35" Type="http://schemas.openxmlformats.org/officeDocument/2006/relationships/header" Target="header15.xml"/><Relationship Id="rId34" Type="http://schemas.openxmlformats.org/officeDocument/2006/relationships/footer" Target="footer16.xml"/><Relationship Id="rId33" Type="http://schemas.openxmlformats.org/officeDocument/2006/relationships/header" Target="header14.xml"/><Relationship Id="rId32" Type="http://schemas.openxmlformats.org/officeDocument/2006/relationships/header" Target="header13.xml"/><Relationship Id="rId31" Type="http://schemas.openxmlformats.org/officeDocument/2006/relationships/header" Target="header12.xml"/><Relationship Id="rId30" Type="http://schemas.openxmlformats.org/officeDocument/2006/relationships/footer" Target="footer15.xml"/><Relationship Id="rId3" Type="http://schemas.openxmlformats.org/officeDocument/2006/relationships/footnotes" Target="footnotes.xml"/><Relationship Id="rId29" Type="http://schemas.openxmlformats.org/officeDocument/2006/relationships/header" Target="header11.xml"/><Relationship Id="rId28" Type="http://schemas.openxmlformats.org/officeDocument/2006/relationships/footer" Target="footer14.xml"/><Relationship Id="rId27" Type="http://schemas.openxmlformats.org/officeDocument/2006/relationships/header" Target="header10.xml"/><Relationship Id="rId26" Type="http://schemas.openxmlformats.org/officeDocument/2006/relationships/footer" Target="footer13.xml"/><Relationship Id="rId25" Type="http://schemas.openxmlformats.org/officeDocument/2006/relationships/header" Target="header9.xml"/><Relationship Id="rId24" Type="http://schemas.openxmlformats.org/officeDocument/2006/relationships/footer" Target="footer12.xml"/><Relationship Id="rId23" Type="http://schemas.openxmlformats.org/officeDocument/2006/relationships/header" Target="header8.xml"/><Relationship Id="rId22" Type="http://schemas.openxmlformats.org/officeDocument/2006/relationships/footer" Target="footer11.xml"/><Relationship Id="rId21" Type="http://schemas.openxmlformats.org/officeDocument/2006/relationships/header" Target="header7.xml"/><Relationship Id="rId20" Type="http://schemas.openxmlformats.org/officeDocument/2006/relationships/footer" Target="footer10.xml"/><Relationship Id="rId2" Type="http://schemas.openxmlformats.org/officeDocument/2006/relationships/settings" Target="settings.xml"/><Relationship Id="rId19" Type="http://schemas.openxmlformats.org/officeDocument/2006/relationships/header" Target="header6.xml"/><Relationship Id="rId189" Type="http://schemas.openxmlformats.org/officeDocument/2006/relationships/fontTable" Target="fontTable.xml"/><Relationship Id="rId188" Type="http://schemas.openxmlformats.org/officeDocument/2006/relationships/numbering" Target="numbering.xml"/><Relationship Id="rId187" Type="http://schemas.openxmlformats.org/officeDocument/2006/relationships/customXml" Target="../customXml/item1.xml"/><Relationship Id="rId186" Type="http://schemas.openxmlformats.org/officeDocument/2006/relationships/image" Target="media/image123.png"/><Relationship Id="rId185" Type="http://schemas.openxmlformats.org/officeDocument/2006/relationships/image" Target="media/image122.png"/><Relationship Id="rId184" Type="http://schemas.openxmlformats.org/officeDocument/2006/relationships/image" Target="media/image121.png"/><Relationship Id="rId183" Type="http://schemas.openxmlformats.org/officeDocument/2006/relationships/image" Target="media/image120.png"/><Relationship Id="rId182" Type="http://schemas.openxmlformats.org/officeDocument/2006/relationships/image" Target="media/image119.jpeg"/><Relationship Id="rId181" Type="http://schemas.openxmlformats.org/officeDocument/2006/relationships/image" Target="media/image118.jpeg"/><Relationship Id="rId180" Type="http://schemas.openxmlformats.org/officeDocument/2006/relationships/image" Target="media/image117.jpeg"/><Relationship Id="rId18" Type="http://schemas.openxmlformats.org/officeDocument/2006/relationships/footer" Target="footer9.xml"/><Relationship Id="rId179" Type="http://schemas.openxmlformats.org/officeDocument/2006/relationships/image" Target="media/image116.jpeg"/><Relationship Id="rId178" Type="http://schemas.openxmlformats.org/officeDocument/2006/relationships/image" Target="media/image115.png"/><Relationship Id="rId177" Type="http://schemas.openxmlformats.org/officeDocument/2006/relationships/image" Target="media/image114.png"/><Relationship Id="rId176" Type="http://schemas.openxmlformats.org/officeDocument/2006/relationships/image" Target="media/image113.png"/><Relationship Id="rId175" Type="http://schemas.openxmlformats.org/officeDocument/2006/relationships/image" Target="media/image112.png"/><Relationship Id="rId174" Type="http://schemas.openxmlformats.org/officeDocument/2006/relationships/image" Target="media/image111.png"/><Relationship Id="rId173" Type="http://schemas.openxmlformats.org/officeDocument/2006/relationships/image" Target="media/image110.png"/><Relationship Id="rId172" Type="http://schemas.openxmlformats.org/officeDocument/2006/relationships/image" Target="media/image109.jpeg"/><Relationship Id="rId171" Type="http://schemas.openxmlformats.org/officeDocument/2006/relationships/image" Target="media/image108.png"/><Relationship Id="rId170" Type="http://schemas.openxmlformats.org/officeDocument/2006/relationships/image" Target="media/image107.png"/><Relationship Id="rId17" Type="http://schemas.openxmlformats.org/officeDocument/2006/relationships/header" Target="header5.xml"/><Relationship Id="rId169" Type="http://schemas.openxmlformats.org/officeDocument/2006/relationships/image" Target="media/image106.jpeg"/><Relationship Id="rId168" Type="http://schemas.openxmlformats.org/officeDocument/2006/relationships/image" Target="media/image105.jpeg"/><Relationship Id="rId167" Type="http://schemas.openxmlformats.org/officeDocument/2006/relationships/image" Target="media/image104.jpeg"/><Relationship Id="rId166" Type="http://schemas.openxmlformats.org/officeDocument/2006/relationships/image" Target="media/image103.jpeg"/><Relationship Id="rId165" Type="http://schemas.openxmlformats.org/officeDocument/2006/relationships/image" Target="media/image102.jpeg"/><Relationship Id="rId164" Type="http://schemas.openxmlformats.org/officeDocument/2006/relationships/image" Target="media/image101.png"/><Relationship Id="rId163" Type="http://schemas.openxmlformats.org/officeDocument/2006/relationships/image" Target="media/image100.png"/><Relationship Id="rId162" Type="http://schemas.openxmlformats.org/officeDocument/2006/relationships/image" Target="media/image99.png"/><Relationship Id="rId161" Type="http://schemas.openxmlformats.org/officeDocument/2006/relationships/image" Target="media/image98.jpeg"/><Relationship Id="rId160" Type="http://schemas.openxmlformats.org/officeDocument/2006/relationships/image" Target="media/image97.png"/><Relationship Id="rId16" Type="http://schemas.openxmlformats.org/officeDocument/2006/relationships/footer" Target="footer8.xml"/><Relationship Id="rId159" Type="http://schemas.openxmlformats.org/officeDocument/2006/relationships/image" Target="media/image96.png"/><Relationship Id="rId158" Type="http://schemas.openxmlformats.org/officeDocument/2006/relationships/image" Target="media/image95.png"/><Relationship Id="rId157" Type="http://schemas.openxmlformats.org/officeDocument/2006/relationships/image" Target="media/image94.png"/><Relationship Id="rId156" Type="http://schemas.openxmlformats.org/officeDocument/2006/relationships/image" Target="media/image93.png"/><Relationship Id="rId155" Type="http://schemas.openxmlformats.org/officeDocument/2006/relationships/image" Target="media/image92.png"/><Relationship Id="rId154" Type="http://schemas.openxmlformats.org/officeDocument/2006/relationships/image" Target="media/image91.png"/><Relationship Id="rId153" Type="http://schemas.openxmlformats.org/officeDocument/2006/relationships/image" Target="media/image90.png"/><Relationship Id="rId152" Type="http://schemas.openxmlformats.org/officeDocument/2006/relationships/image" Target="media/image89.png"/><Relationship Id="rId151" Type="http://schemas.openxmlformats.org/officeDocument/2006/relationships/image" Target="media/image88.png"/><Relationship Id="rId150" Type="http://schemas.openxmlformats.org/officeDocument/2006/relationships/image" Target="media/image87.png"/><Relationship Id="rId15" Type="http://schemas.openxmlformats.org/officeDocument/2006/relationships/header" Target="header4.xml"/><Relationship Id="rId149" Type="http://schemas.openxmlformats.org/officeDocument/2006/relationships/image" Target="media/image86.png"/><Relationship Id="rId148" Type="http://schemas.openxmlformats.org/officeDocument/2006/relationships/image" Target="media/image85.png"/><Relationship Id="rId147" Type="http://schemas.openxmlformats.org/officeDocument/2006/relationships/image" Target="media/image84.png"/><Relationship Id="rId146" Type="http://schemas.openxmlformats.org/officeDocument/2006/relationships/image" Target="media/image83.png"/><Relationship Id="rId145" Type="http://schemas.openxmlformats.org/officeDocument/2006/relationships/image" Target="media/image82.png"/><Relationship Id="rId144" Type="http://schemas.openxmlformats.org/officeDocument/2006/relationships/image" Target="media/image81.png"/><Relationship Id="rId143" Type="http://schemas.openxmlformats.org/officeDocument/2006/relationships/image" Target="media/image80.png"/><Relationship Id="rId142" Type="http://schemas.openxmlformats.org/officeDocument/2006/relationships/image" Target="media/image79.png"/><Relationship Id="rId141" Type="http://schemas.openxmlformats.org/officeDocument/2006/relationships/image" Target="media/image78.png"/><Relationship Id="rId140" Type="http://schemas.openxmlformats.org/officeDocument/2006/relationships/image" Target="media/image77.png"/><Relationship Id="rId14" Type="http://schemas.openxmlformats.org/officeDocument/2006/relationships/footer" Target="footer7.xml"/><Relationship Id="rId139" Type="http://schemas.openxmlformats.org/officeDocument/2006/relationships/image" Target="media/image76.png"/><Relationship Id="rId138" Type="http://schemas.openxmlformats.org/officeDocument/2006/relationships/image" Target="media/image75.png"/><Relationship Id="rId137" Type="http://schemas.openxmlformats.org/officeDocument/2006/relationships/image" Target="media/image74.png"/><Relationship Id="rId136" Type="http://schemas.openxmlformats.org/officeDocument/2006/relationships/image" Target="media/image73.png"/><Relationship Id="rId135" Type="http://schemas.openxmlformats.org/officeDocument/2006/relationships/image" Target="media/image72.png"/><Relationship Id="rId134" Type="http://schemas.openxmlformats.org/officeDocument/2006/relationships/image" Target="media/image71.png"/><Relationship Id="rId133" Type="http://schemas.openxmlformats.org/officeDocument/2006/relationships/image" Target="media/image70.png"/><Relationship Id="rId132" Type="http://schemas.openxmlformats.org/officeDocument/2006/relationships/image" Target="media/image69.png"/><Relationship Id="rId131" Type="http://schemas.openxmlformats.org/officeDocument/2006/relationships/image" Target="media/image68.png"/><Relationship Id="rId130" Type="http://schemas.openxmlformats.org/officeDocument/2006/relationships/image" Target="media/image67.png"/><Relationship Id="rId13" Type="http://schemas.openxmlformats.org/officeDocument/2006/relationships/header" Target="header3.xml"/><Relationship Id="rId129" Type="http://schemas.openxmlformats.org/officeDocument/2006/relationships/image" Target="media/image66.png"/><Relationship Id="rId128" Type="http://schemas.openxmlformats.org/officeDocument/2006/relationships/image" Target="media/image65.png"/><Relationship Id="rId127" Type="http://schemas.openxmlformats.org/officeDocument/2006/relationships/image" Target="media/image64.png"/><Relationship Id="rId126" Type="http://schemas.openxmlformats.org/officeDocument/2006/relationships/image" Target="media/image63.png"/><Relationship Id="rId125" Type="http://schemas.openxmlformats.org/officeDocument/2006/relationships/image" Target="media/image62.png"/><Relationship Id="rId124" Type="http://schemas.openxmlformats.org/officeDocument/2006/relationships/image" Target="media/image61.png"/><Relationship Id="rId123" Type="http://schemas.openxmlformats.org/officeDocument/2006/relationships/image" Target="media/image60.png"/><Relationship Id="rId122" Type="http://schemas.openxmlformats.org/officeDocument/2006/relationships/image" Target="media/image59.png"/><Relationship Id="rId121" Type="http://schemas.openxmlformats.org/officeDocument/2006/relationships/image" Target="media/image58.png"/><Relationship Id="rId120" Type="http://schemas.openxmlformats.org/officeDocument/2006/relationships/image" Target="media/image57.png"/><Relationship Id="rId12" Type="http://schemas.openxmlformats.org/officeDocument/2006/relationships/footer" Target="footer6.xml"/><Relationship Id="rId119" Type="http://schemas.openxmlformats.org/officeDocument/2006/relationships/image" Target="media/image56.png"/><Relationship Id="rId118" Type="http://schemas.openxmlformats.org/officeDocument/2006/relationships/image" Target="media/image55.png"/><Relationship Id="rId117" Type="http://schemas.openxmlformats.org/officeDocument/2006/relationships/image" Target="media/image54.png"/><Relationship Id="rId116" Type="http://schemas.openxmlformats.org/officeDocument/2006/relationships/image" Target="media/image53.png"/><Relationship Id="rId115" Type="http://schemas.openxmlformats.org/officeDocument/2006/relationships/image" Target="media/image52.jpeg"/><Relationship Id="rId114" Type="http://schemas.openxmlformats.org/officeDocument/2006/relationships/image" Target="media/image51.png"/><Relationship Id="rId113" Type="http://schemas.openxmlformats.org/officeDocument/2006/relationships/image" Target="media/image50.png"/><Relationship Id="rId112" Type="http://schemas.openxmlformats.org/officeDocument/2006/relationships/image" Target="media/image49.jpeg"/><Relationship Id="rId111" Type="http://schemas.openxmlformats.org/officeDocument/2006/relationships/image" Target="media/image48.jpeg"/><Relationship Id="rId110" Type="http://schemas.openxmlformats.org/officeDocument/2006/relationships/image" Target="media/image47.jpeg"/><Relationship Id="rId11" Type="http://schemas.openxmlformats.org/officeDocument/2006/relationships/header" Target="header2.xml"/><Relationship Id="rId109" Type="http://schemas.openxmlformats.org/officeDocument/2006/relationships/image" Target="media/image46.png"/><Relationship Id="rId108" Type="http://schemas.openxmlformats.org/officeDocument/2006/relationships/image" Target="media/image45.jpeg"/><Relationship Id="rId107" Type="http://schemas.openxmlformats.org/officeDocument/2006/relationships/image" Target="media/image44.wmf"/><Relationship Id="rId106" Type="http://schemas.openxmlformats.org/officeDocument/2006/relationships/image" Target="media/image43.jpeg"/><Relationship Id="rId105" Type="http://schemas.openxmlformats.org/officeDocument/2006/relationships/image" Target="media/image42.png"/><Relationship Id="rId104" Type="http://schemas.openxmlformats.org/officeDocument/2006/relationships/image" Target="media/image41.png"/><Relationship Id="rId103" Type="http://schemas.openxmlformats.org/officeDocument/2006/relationships/image" Target="media/image40.png"/><Relationship Id="rId102" Type="http://schemas.openxmlformats.org/officeDocument/2006/relationships/image" Target="media/image39.png"/><Relationship Id="rId101" Type="http://schemas.openxmlformats.org/officeDocument/2006/relationships/image" Target="media/image38.png"/><Relationship Id="rId100" Type="http://schemas.openxmlformats.org/officeDocument/2006/relationships/image" Target="media/image37.png"/><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33"/>
    <customShpInfo spid="_x0000_s1039"/>
    <customShpInfo spid="_x0000_s1040"/>
    <customShpInfo spid="_x0000_s1172"/>
    <customShpInfo spid="_x0000_s1173"/>
    <customShpInfo spid="_x0000_s1174"/>
    <customShpInfo spid="_x0000_s1175"/>
    <customShpInfo spid="_x0000_s117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259</Pages>
  <Words>6147</Words>
  <Characters>7138</Characters>
  <TotalTime>136</TotalTime>
  <ScaleCrop>false</ScaleCrop>
  <LinksUpToDate>false</LinksUpToDate>
  <CharactersWithSpaces>7326</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2023-04-23T14:01:00Z</dcterms:created>
  <dc:creator>Tiny。</dc:creator>
  <cp:lastModifiedBy>赵爽</cp:lastModifiedBy>
  <dcterms:modified xsi:type="dcterms:W3CDTF">2025-10-20T05:31:28Z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2025-05-23T16:37:46Z</vt:filetime>
  </property>
  <property fmtid="{D5CDD505-2E9C-101B-9397-08002B2CF9AE}" pid="4" name="KSOTemplateDocerSaveRecord">
    <vt:lpwstr>eyJoZGlkIjoiOWU3ZTJlYmFhZjc4YzYxOTU2M2M3OGQ2MTRjNjIyMjQiLCJ1c2VySWQiOiI0MzQ5NzAwNzIifQ==</vt:lpwstr>
  </property>
  <property fmtid="{D5CDD505-2E9C-101B-9397-08002B2CF9AE}" pid="5" name="KSOProductBuildVer">
    <vt:lpwstr>2052-12.1.0.22529</vt:lpwstr>
  </property>
  <property fmtid="{D5CDD505-2E9C-101B-9397-08002B2CF9AE}" pid="6" name="ICV">
    <vt:lpwstr>E051BF43AB9F414B8560D0408BE96A0D_13</vt:lpwstr>
  </property>
</Properties>
</file>